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0"/>
          <w:szCs w:val="20"/>
          <w:b w:val="1"/>
          <w:bCs w:val="1"/>
          <w:color w:val="auto"/>
        </w:rPr>
        <w:t>UNITED STATES</w:t>
      </w:r>
    </w:p>
    <w:p>
      <w:pPr>
        <w:jc w:val="center"/>
        <w:spacing w:after="0" w:line="225" w:lineRule="auto"/>
        <w:rPr>
          <w:sz w:val="20"/>
          <w:szCs w:val="20"/>
          <w:color w:val="auto"/>
        </w:rPr>
      </w:pPr>
      <w:r>
        <w:rPr>
          <w:rFonts w:ascii="Calibri" w:cs="Calibri" w:eastAsia="Calibri" w:hAnsi="Calibri"/>
          <w:sz w:val="20"/>
          <w:szCs w:val="20"/>
          <w:b w:val="1"/>
          <w:bCs w:val="1"/>
          <w:color w:val="auto"/>
        </w:rPr>
        <w:t>SECURITIES AND EXCHANGE COMMISSION</w:t>
      </w:r>
    </w:p>
    <w:p>
      <w:pPr>
        <w:jc w:val="center"/>
        <w:spacing w:after="0" w:line="226" w:lineRule="auto"/>
        <w:rPr>
          <w:sz w:val="20"/>
          <w:szCs w:val="20"/>
          <w:color w:val="auto"/>
        </w:rPr>
      </w:pPr>
      <w:r>
        <w:rPr>
          <w:rFonts w:ascii="Calibri" w:cs="Calibri" w:eastAsia="Calibri" w:hAnsi="Calibri"/>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158115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FORM 10-Q</w:t>
      </w:r>
    </w:p>
    <w:p>
      <w:pPr>
        <w:spacing w:after="0" w:line="247"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760" w:right="3420" w:hanging="3739"/>
        <w:spacing w:after="0" w:line="310" w:lineRule="auto"/>
        <w:tabs>
          <w:tab w:leader="none" w:pos="487" w:val="left"/>
        </w:tabs>
        <w:numPr>
          <w:ilvl w:val="0"/>
          <w:numId w:val="1"/>
        </w:numPr>
        <w:rPr>
          <w:rFonts w:ascii="MS PGothic" w:cs="MS PGothic" w:eastAsia="MS PGothic" w:hAnsi="MS PGothic"/>
          <w:sz w:val="17"/>
          <w:szCs w:val="17"/>
          <w:color w:val="auto"/>
          <w:highlight w:val="black"/>
        </w:rPr>
      </w:pPr>
      <w:r>
        <w:rPr>
          <w:rFonts w:ascii="Calibri" w:cs="Calibri" w:eastAsia="Calibri" w:hAnsi="Calibri"/>
          <w:sz w:val="17"/>
          <w:szCs w:val="17"/>
          <w:b w:val="1"/>
          <w:bCs w:val="1"/>
          <w:color w:val="auto"/>
        </w:rPr>
        <w:t>QUARTERLY REPORT PURSUANT TO SECTION 13 OR 15(d) OF THE SECURITIES EXCHANGE ACT OF 1934 For the quarterly period ended September 30, 2022</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OR</w:t>
      </w:r>
    </w:p>
    <w:p>
      <w:pPr>
        <w:spacing w:after="0" w:line="9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Calibri" w:cs="Calibri" w:eastAsia="Calibri" w:hAnsi="Calibri"/>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540"/>
        <w:spacing w:after="0"/>
        <w:tabs>
          <w:tab w:leader="none" w:pos="7440" w:val="left"/>
        </w:tabs>
        <w:rPr>
          <w:sz w:val="20"/>
          <w:szCs w:val="20"/>
          <w:color w:val="auto"/>
        </w:rPr>
      </w:pPr>
      <w:r>
        <w:rPr>
          <w:rFonts w:ascii="Calibri" w:cs="Calibri" w:eastAsia="Calibri" w:hAnsi="Calibri"/>
          <w:sz w:val="18"/>
          <w:szCs w:val="18"/>
          <w:b w:val="1"/>
          <w:bCs w:val="1"/>
          <w:color w:val="auto"/>
        </w:rPr>
        <w:t>For the transiton period from</w:t>
      </w:r>
      <w:r>
        <w:rPr>
          <w:sz w:val="20"/>
          <w:szCs w:val="20"/>
          <w:color w:val="auto"/>
        </w:rPr>
        <w:tab/>
      </w:r>
      <w:r>
        <w:rPr>
          <w:rFonts w:ascii="Calibri" w:cs="Calibri" w:eastAsia="Calibri" w:hAnsi="Calibri"/>
          <w:sz w:val="18"/>
          <w:szCs w:val="18"/>
          <w:b w:val="1"/>
          <w:bCs w:val="1"/>
          <w:color w:val="auto"/>
        </w:rPr>
        <w:t>to</w:t>
      </w:r>
    </w:p>
    <w:p>
      <w:pPr>
        <w:spacing w:after="0" w:line="91"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Calibri" w:cs="Calibri" w:eastAsia="Calibri" w:hAnsi="Calibri"/>
          <w:sz w:val="20"/>
          <w:szCs w:val="20"/>
          <w:b w:val="1"/>
          <w:bCs w:val="1"/>
          <w:color w:val="auto"/>
        </w:rPr>
        <w:t>MARTIN MARIETTA MATERIALS, INC.</w:t>
      </w:r>
    </w:p>
    <w:p>
      <w:pPr>
        <w:spacing w:after="0" w:line="6"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720" w:type="dxa"/>
            <w:vAlign w:val="bottom"/>
          </w:tcPr>
          <w:p>
            <w:pPr>
              <w:jc w:val="center"/>
              <w:ind w:right="1484"/>
              <w:spacing w:after="0"/>
              <w:rPr>
                <w:sz w:val="20"/>
                <w:szCs w:val="20"/>
                <w:color w:val="auto"/>
              </w:rPr>
            </w:pPr>
            <w:r>
              <w:rPr>
                <w:rFonts w:ascii="Calibri" w:cs="Calibri" w:eastAsia="Calibri" w:hAnsi="Calibri"/>
                <w:sz w:val="18"/>
                <w:szCs w:val="18"/>
                <w:b w:val="1"/>
                <w:bCs w:val="1"/>
                <w:color w:val="auto"/>
                <w:w w:val="98"/>
              </w:rPr>
              <w:t>North Carolina</w:t>
            </w:r>
          </w:p>
        </w:tc>
        <w:tc>
          <w:tcPr>
            <w:tcW w:w="3380" w:type="dxa"/>
            <w:vAlign w:val="bottom"/>
          </w:tcPr>
          <w:p>
            <w:pPr>
              <w:jc w:val="right"/>
              <w:ind w:right="404"/>
              <w:spacing w:after="0"/>
              <w:rPr>
                <w:sz w:val="20"/>
                <w:szCs w:val="20"/>
                <w:color w:val="auto"/>
              </w:rPr>
            </w:pPr>
            <w:r>
              <w:rPr>
                <w:rFonts w:ascii="Calibri" w:cs="Calibri" w:eastAsia="Calibri" w:hAnsi="Calibri"/>
                <w:sz w:val="18"/>
                <w:szCs w:val="18"/>
                <w:b w:val="1"/>
                <w:bCs w:val="1"/>
                <w:color w:val="auto"/>
              </w:rPr>
              <w:t>56-1848578</w:t>
            </w:r>
          </w:p>
        </w:tc>
      </w:tr>
      <w:tr>
        <w:trPr>
          <w:trHeight w:val="161"/>
        </w:trPr>
        <w:tc>
          <w:tcPr>
            <w:tcW w:w="4720" w:type="dxa"/>
            <w:vAlign w:val="bottom"/>
          </w:tcPr>
          <w:p>
            <w:pPr>
              <w:jc w:val="center"/>
              <w:ind w:right="1504"/>
              <w:spacing w:after="0"/>
              <w:rPr>
                <w:sz w:val="20"/>
                <w:szCs w:val="20"/>
                <w:color w:val="auto"/>
              </w:rPr>
            </w:pPr>
            <w:r>
              <w:rPr>
                <w:rFonts w:ascii="Calibri" w:cs="Calibri" w:eastAsia="Calibri" w:hAnsi="Calibri"/>
                <w:sz w:val="13"/>
                <w:szCs w:val="13"/>
                <w:b w:val="1"/>
                <w:bCs w:val="1"/>
                <w:color w:val="auto"/>
                <w:w w:val="99"/>
              </w:rPr>
              <w:t>( State or other jurisdicton of incorporaton or organizaton)</w:t>
            </w:r>
          </w:p>
        </w:tc>
        <w:tc>
          <w:tcPr>
            <w:tcW w:w="3380" w:type="dxa"/>
            <w:vAlign w:val="bottom"/>
          </w:tcPr>
          <w:p>
            <w:pPr>
              <w:jc w:val="center"/>
              <w:ind w:left="1484"/>
              <w:spacing w:after="0"/>
              <w:rPr>
                <w:sz w:val="20"/>
                <w:szCs w:val="20"/>
                <w:color w:val="auto"/>
              </w:rPr>
            </w:pPr>
            <w:r>
              <w:rPr>
                <w:rFonts w:ascii="Calibri" w:cs="Calibri" w:eastAsia="Calibri" w:hAnsi="Calibri"/>
                <w:sz w:val="13"/>
                <w:szCs w:val="13"/>
                <w:b w:val="1"/>
                <w:bCs w:val="1"/>
                <w:color w:val="auto"/>
              </w:rPr>
              <w:t>(I.R.S. Employer Identfcaton No.)</w:t>
            </w:r>
          </w:p>
        </w:tc>
      </w:tr>
      <w:tr>
        <w:trPr>
          <w:trHeight w:val="230"/>
        </w:trPr>
        <w:tc>
          <w:tcPr>
            <w:tcW w:w="4720" w:type="dxa"/>
            <w:vAlign w:val="bottom"/>
          </w:tcPr>
          <w:p>
            <w:pPr>
              <w:jc w:val="center"/>
              <w:ind w:right="1484"/>
              <w:spacing w:after="0" w:line="217" w:lineRule="exact"/>
              <w:rPr>
                <w:sz w:val="20"/>
                <w:szCs w:val="20"/>
                <w:color w:val="auto"/>
              </w:rPr>
            </w:pPr>
            <w:r>
              <w:rPr>
                <w:rFonts w:ascii="Calibri" w:cs="Calibri" w:eastAsia="Calibri" w:hAnsi="Calibri"/>
                <w:sz w:val="18"/>
                <w:szCs w:val="18"/>
                <w:b w:val="1"/>
                <w:bCs w:val="1"/>
                <w:color w:val="auto"/>
                <w:w w:val="96"/>
              </w:rPr>
              <w:t>4123 Parklake Avenue, Raleigh, NC</w:t>
            </w:r>
          </w:p>
        </w:tc>
        <w:tc>
          <w:tcPr>
            <w:tcW w:w="3380" w:type="dxa"/>
            <w:vAlign w:val="bottom"/>
          </w:tcPr>
          <w:p>
            <w:pPr>
              <w:jc w:val="right"/>
              <w:ind w:right="604"/>
              <w:spacing w:after="0"/>
              <w:rPr>
                <w:sz w:val="20"/>
                <w:szCs w:val="20"/>
                <w:color w:val="auto"/>
              </w:rPr>
            </w:pPr>
            <w:r>
              <w:rPr>
                <w:rFonts w:ascii="Calibri" w:cs="Calibri" w:eastAsia="Calibri" w:hAnsi="Calibri"/>
                <w:sz w:val="18"/>
                <w:szCs w:val="18"/>
                <w:b w:val="1"/>
                <w:bCs w:val="1"/>
                <w:color w:val="auto"/>
              </w:rPr>
              <w:t>27612</w:t>
            </w:r>
          </w:p>
        </w:tc>
      </w:tr>
      <w:tr>
        <w:trPr>
          <w:trHeight w:val="161"/>
        </w:trPr>
        <w:tc>
          <w:tcPr>
            <w:tcW w:w="4720" w:type="dxa"/>
            <w:vAlign w:val="bottom"/>
          </w:tcPr>
          <w:p>
            <w:pPr>
              <w:jc w:val="center"/>
              <w:ind w:right="1484"/>
              <w:spacing w:after="0"/>
              <w:rPr>
                <w:sz w:val="20"/>
                <w:szCs w:val="20"/>
                <w:color w:val="auto"/>
              </w:rPr>
            </w:pPr>
            <w:r>
              <w:rPr>
                <w:rFonts w:ascii="Calibri" w:cs="Calibri" w:eastAsia="Calibri" w:hAnsi="Calibri"/>
                <w:sz w:val="13"/>
                <w:szCs w:val="13"/>
                <w:b w:val="1"/>
                <w:bCs w:val="1"/>
                <w:color w:val="auto"/>
              </w:rPr>
              <w:t>(Address of principal executve ofces)</w:t>
            </w:r>
          </w:p>
        </w:tc>
        <w:tc>
          <w:tcPr>
            <w:tcW w:w="3380" w:type="dxa"/>
            <w:vAlign w:val="bottom"/>
          </w:tcPr>
          <w:p>
            <w:pPr>
              <w:jc w:val="center"/>
              <w:ind w:left="1484"/>
              <w:spacing w:after="0"/>
              <w:rPr>
                <w:sz w:val="20"/>
                <w:szCs w:val="20"/>
                <w:color w:val="auto"/>
              </w:rPr>
            </w:pPr>
            <w:r>
              <w:rPr>
                <w:rFonts w:ascii="Calibri" w:cs="Calibri" w:eastAsia="Calibri" w:hAnsi="Calibri"/>
                <w:sz w:val="13"/>
                <w:szCs w:val="13"/>
                <w:b w:val="1"/>
                <w:bCs w:val="1"/>
                <w:color w:val="auto"/>
                <w:w w:val="98"/>
              </w:rPr>
              <w:t>(Zip Code)</w:t>
            </w:r>
          </w:p>
        </w:tc>
      </w:tr>
    </w:tbl>
    <w:p>
      <w:pPr>
        <w:spacing w:after="0" w:line="78"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7" w:lineRule="exact"/>
        <w:rPr>
          <w:sz w:val="24"/>
          <w:szCs w:val="24"/>
          <w:color w:val="auto"/>
        </w:rPr>
      </w:pPr>
    </w:p>
    <w:p>
      <w:pPr>
        <w:ind w:left="600"/>
        <w:spacing w:after="0"/>
        <w:rPr>
          <w:sz w:val="20"/>
          <w:szCs w:val="20"/>
          <w:color w:val="auto"/>
        </w:rPr>
      </w:pPr>
      <w:r>
        <w:rPr>
          <w:rFonts w:ascii="Calibri" w:cs="Calibri" w:eastAsia="Calibri" w:hAnsi="Calibri"/>
          <w:sz w:val="16"/>
          <w:szCs w:val="16"/>
          <w:color w:val="auto"/>
        </w:rPr>
        <w:t>Securites registered pursuant to Secton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alibri" w:cs="Calibri" w:eastAsia="Calibri" w:hAnsi="Calibri"/>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3"/>
        </w:trPr>
        <w:tc>
          <w:tcPr>
            <w:tcW w:w="42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194"/>
        </w:trPr>
        <w:tc>
          <w:tcPr>
            <w:tcW w:w="4280" w:type="dxa"/>
            <w:vAlign w:val="bottom"/>
          </w:tcPr>
          <w:p>
            <w:pPr>
              <w:jc w:val="center"/>
              <w:spacing w:after="0" w:line="193" w:lineRule="exact"/>
              <w:rPr>
                <w:sz w:val="20"/>
                <w:szCs w:val="20"/>
                <w:color w:val="auto"/>
              </w:rPr>
            </w:pPr>
            <w:r>
              <w:rPr>
                <w:rFonts w:ascii="Calibri" w:cs="Calibri" w:eastAsia="Calibri" w:hAnsi="Calibri"/>
                <w:sz w:val="16"/>
                <w:szCs w:val="16"/>
                <w:color w:val="auto"/>
              </w:rPr>
              <w:t>Common Stock (Par Value $0.01)</w:t>
            </w:r>
          </w:p>
        </w:tc>
        <w:tc>
          <w:tcPr>
            <w:tcW w:w="120" w:type="dxa"/>
            <w:vAlign w:val="bottom"/>
          </w:tcPr>
          <w:p>
            <w:pPr>
              <w:spacing w:after="0"/>
              <w:rPr>
                <w:sz w:val="16"/>
                <w:szCs w:val="16"/>
                <w:color w:val="auto"/>
              </w:rPr>
            </w:pPr>
          </w:p>
        </w:tc>
        <w:tc>
          <w:tcPr>
            <w:tcW w:w="1680" w:type="dxa"/>
            <w:vAlign w:val="bottom"/>
          </w:tcPr>
          <w:p>
            <w:pPr>
              <w:jc w:val="center"/>
              <w:spacing w:after="0" w:line="193" w:lineRule="exact"/>
              <w:rPr>
                <w:sz w:val="20"/>
                <w:szCs w:val="20"/>
                <w:color w:val="auto"/>
              </w:rPr>
            </w:pPr>
            <w:r>
              <w:rPr>
                <w:rFonts w:ascii="Calibri" w:cs="Calibri" w:eastAsia="Calibri" w:hAnsi="Calibri"/>
                <w:sz w:val="16"/>
                <w:szCs w:val="16"/>
                <w:color w:val="auto"/>
                <w:w w:val="99"/>
              </w:rPr>
              <w:t>MLM</w:t>
            </w:r>
          </w:p>
        </w:tc>
        <w:tc>
          <w:tcPr>
            <w:tcW w:w="120" w:type="dxa"/>
            <w:vAlign w:val="bottom"/>
          </w:tcPr>
          <w:p>
            <w:pPr>
              <w:spacing w:after="0"/>
              <w:rPr>
                <w:sz w:val="16"/>
                <w:szCs w:val="16"/>
                <w:color w:val="auto"/>
              </w:rPr>
            </w:pPr>
          </w:p>
        </w:tc>
        <w:tc>
          <w:tcPr>
            <w:tcW w:w="5040" w:type="dxa"/>
            <w:vAlign w:val="bottom"/>
          </w:tcPr>
          <w:p>
            <w:pPr>
              <w:jc w:val="center"/>
              <w:spacing w:after="0" w:line="193" w:lineRule="exact"/>
              <w:rPr>
                <w:sz w:val="20"/>
                <w:szCs w:val="20"/>
                <w:color w:val="auto"/>
              </w:rPr>
            </w:pPr>
            <w:r>
              <w:rPr>
                <w:rFonts w:ascii="Calibri" w:cs="Calibri" w:eastAsia="Calibri" w:hAnsi="Calibri"/>
                <w:sz w:val="16"/>
                <w:szCs w:val="16"/>
                <w:color w:val="auto"/>
              </w:rPr>
              <w:t>NYSE</w:t>
            </w:r>
          </w:p>
        </w:tc>
      </w:tr>
    </w:tbl>
    <w:p>
      <w:pPr>
        <w:spacing w:after="0" w:line="85" w:lineRule="exact"/>
        <w:rPr>
          <w:sz w:val="24"/>
          <w:szCs w:val="24"/>
          <w:color w:val="auto"/>
        </w:rPr>
      </w:pPr>
    </w:p>
    <w:p>
      <w:pPr>
        <w:ind w:right="60" w:firstLine="599"/>
        <w:spacing w:after="0" w:line="204"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center"/>
        <w:ind w:right="120"/>
        <w:spacing w:after="0"/>
        <w:rPr>
          <w:sz w:val="20"/>
          <w:szCs w:val="20"/>
          <w:color w:val="auto"/>
        </w:rPr>
      </w:pPr>
      <w:r>
        <w:rPr>
          <w:rFonts w:ascii="Calibri" w:cs="Calibri" w:eastAsia="Calibri" w:hAnsi="Calibri"/>
          <w:sz w:val="16"/>
          <w:szCs w:val="16"/>
          <w:color w:val="auto"/>
        </w:rPr>
        <w:t>Indicate by check mark whether the registrant has submited electronically every Interactve Data File required to be submited pursuant to Rule 405 of</w:t>
      </w:r>
    </w:p>
    <w:p>
      <w:pPr>
        <w:jc w:val="center"/>
        <w:ind w:right="160"/>
        <w:spacing w:after="0" w:line="196" w:lineRule="exact"/>
        <w:tabs>
          <w:tab w:leader="none" w:pos="180" w:val="left"/>
          <w:tab w:leader="none" w:pos="140" w:val="left"/>
        </w:tabs>
        <w:rPr>
          <w:sz w:val="20"/>
          <w:szCs w:val="20"/>
          <w:color w:val="auto"/>
        </w:rPr>
      </w:pPr>
      <w:r>
        <w:rPr>
          <w:rFonts w:ascii="Calibri" w:cs="Calibri" w:eastAsia="Calibri" w:hAnsi="Calibri"/>
          <w:sz w:val="16"/>
          <w:szCs w:val="16"/>
          <w:color w:val="auto"/>
        </w:rPr>
        <w:t>Regulaton S-T (§232.405 of this chapter) during the preceding 12 months (or for such shorter period that the registrant was required to submit such fles).</w:t>
        <w:tab/>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5"/>
          <w:szCs w:val="15"/>
          <w:color w:val="auto"/>
        </w:rPr>
        <w:t>No</w:t>
      </w:r>
    </w:p>
    <w:p>
      <w:pPr>
        <w:spacing w:after="0" w:line="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0" w:lineRule="exact"/>
        <w:rPr>
          <w:sz w:val="24"/>
          <w:szCs w:val="24"/>
          <w:color w:val="auto"/>
        </w:rPr>
      </w:pPr>
    </w:p>
    <w:p>
      <w:pPr>
        <w:ind w:right="140" w:firstLine="599"/>
        <w:spacing w:after="0" w:line="234" w:lineRule="auto"/>
        <w:rPr>
          <w:sz w:val="20"/>
          <w:szCs w:val="20"/>
          <w:color w:val="auto"/>
        </w:rPr>
      </w:pPr>
      <w:r>
        <w:rPr>
          <w:rFonts w:ascii="Calibri" w:cs="Calibri" w:eastAsia="Calibri" w:hAnsi="Calibri"/>
          <w:sz w:val="16"/>
          <w:szCs w:val="16"/>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Calibri" w:cs="Calibri" w:eastAsia="Calibri" w:hAnsi="Calibri"/>
                <w:sz w:val="16"/>
                <w:szCs w:val="16"/>
                <w:color w:val="auto"/>
              </w:rPr>
              <w:t>Large 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Accelerated fler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Calibri" w:cs="Calibri" w:eastAsia="Calibri" w:hAnsi="Calibri"/>
                <w:sz w:val="16"/>
                <w:szCs w:val="16"/>
                <w:color w:val="auto"/>
              </w:rPr>
              <w:t>Non-accelerated fler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Calibri" w:cs="Calibri" w:eastAsia="Calibri" w:hAnsi="Calibri"/>
                <w:sz w:val="16"/>
                <w:szCs w:val="16"/>
                <w:color w:val="auto"/>
              </w:rPr>
              <w:t>Smaller reportng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Calibri" w:cs="Calibri" w:eastAsia="Calibri" w:hAnsi="Calibri"/>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58" w:lineRule="exact"/>
        <w:rPr>
          <w:sz w:val="24"/>
          <w:szCs w:val="24"/>
          <w:color w:val="auto"/>
        </w:rPr>
      </w:pPr>
    </w:p>
    <w:p>
      <w:pPr>
        <w:ind w:right="360" w:firstLine="599"/>
        <w:spacing w:after="0" w:line="211"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120"/>
        <w:spacing w:after="0" w:line="256"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Exchange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Indicate the number of shares outstanding of each of the issuer’s classes of Common Stock, as of the latest practcable date.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jc w:val="center"/>
              <w:spacing w:after="0"/>
              <w:rPr>
                <w:sz w:val="20"/>
                <w:szCs w:val="20"/>
                <w:color w:val="auto"/>
              </w:rPr>
            </w:pPr>
            <w:r>
              <w:rPr>
                <w:rFonts w:ascii="Calibri" w:cs="Calibri" w:eastAsia="Calibri" w:hAnsi="Calibri"/>
                <w:sz w:val="14"/>
                <w:szCs w:val="14"/>
                <w:b w:val="1"/>
                <w:bCs w:val="1"/>
                <w:color w:val="auto"/>
              </w:rPr>
              <w:t>Class</w:t>
            </w:r>
          </w:p>
        </w:tc>
        <w:tc>
          <w:tcPr>
            <w:tcW w:w="220" w:type="dxa"/>
            <w:vAlign w:val="bottom"/>
          </w:tcPr>
          <w:p>
            <w:pPr>
              <w:spacing w:after="0"/>
              <w:rPr>
                <w:sz w:val="16"/>
                <w:szCs w:val="16"/>
                <w:color w:val="auto"/>
              </w:rPr>
            </w:pPr>
          </w:p>
        </w:tc>
        <w:tc>
          <w:tcPr>
            <w:tcW w:w="5500" w:type="dxa"/>
            <w:vAlign w:val="bottom"/>
          </w:tcPr>
          <w:p>
            <w:pPr>
              <w:jc w:val="center"/>
              <w:spacing w:after="0"/>
              <w:rPr>
                <w:sz w:val="20"/>
                <w:szCs w:val="20"/>
                <w:color w:val="auto"/>
              </w:rPr>
            </w:pPr>
            <w:r>
              <w:rPr>
                <w:rFonts w:ascii="Calibri" w:cs="Calibri" w:eastAsia="Calibri" w:hAnsi="Calibri"/>
                <w:sz w:val="14"/>
                <w:szCs w:val="14"/>
                <w:b w:val="1"/>
                <w:bCs w:val="1"/>
                <w:color w:val="auto"/>
              </w:rPr>
              <w:t>Outstanding as of October 27, 2022</w:t>
            </w:r>
          </w:p>
        </w:tc>
        <w:tc>
          <w:tcPr>
            <w:tcW w:w="0" w:type="dxa"/>
            <w:vAlign w:val="bottom"/>
          </w:tcPr>
          <w:p>
            <w:pPr>
              <w:spacing w:after="0"/>
              <w:rPr>
                <w:sz w:val="1"/>
                <w:szCs w:val="1"/>
                <w:color w:val="auto"/>
              </w:rPr>
            </w:pPr>
          </w:p>
        </w:tc>
      </w:tr>
      <w:tr>
        <w:trPr>
          <w:trHeight w:val="34"/>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2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20" w:type="dxa"/>
            <w:vAlign w:val="bottom"/>
            <w:vMerge w:val="continue"/>
          </w:tcPr>
          <w:p>
            <w:pPr>
              <w:spacing w:after="0"/>
              <w:rPr>
                <w:sz w:val="16"/>
                <w:szCs w:val="16"/>
                <w:color w:val="auto"/>
              </w:rPr>
            </w:pPr>
          </w:p>
        </w:tc>
        <w:tc>
          <w:tcPr>
            <w:tcW w:w="5500" w:type="dxa"/>
            <w:vAlign w:val="bottom"/>
          </w:tcPr>
          <w:p>
            <w:pPr>
              <w:jc w:val="right"/>
              <w:ind w:right="2304"/>
              <w:spacing w:after="0" w:line="187" w:lineRule="exact"/>
              <w:rPr>
                <w:sz w:val="20"/>
                <w:szCs w:val="20"/>
                <w:color w:val="auto"/>
              </w:rPr>
            </w:pPr>
            <w:r>
              <w:rPr>
                <w:rFonts w:ascii="Calibri" w:cs="Calibri" w:eastAsia="Calibri" w:hAnsi="Calibri"/>
                <w:sz w:val="16"/>
                <w:szCs w:val="16"/>
                <w:color w:val="auto"/>
              </w:rPr>
              <w:t>62,090,694</w:t>
            </w:r>
          </w:p>
        </w:tc>
        <w:tc>
          <w:tcPr>
            <w:tcW w:w="0" w:type="dxa"/>
            <w:vAlign w:val="bottom"/>
          </w:tcPr>
          <w:p>
            <w:pPr>
              <w:spacing w:after="0"/>
              <w:rPr>
                <w:sz w:val="1"/>
                <w:szCs w:val="1"/>
                <w:color w:val="auto"/>
              </w:rPr>
            </w:pPr>
          </w:p>
        </w:tc>
      </w:tr>
      <w:tr>
        <w:trPr>
          <w:trHeight w:val="69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 w:name="page2"/>
    <w:bookmarkEnd w:id="1"/>
    <w:p>
      <w:pPr>
        <w:jc w:val="center"/>
        <w:ind w:right="6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60"/>
        <w:spacing w:after="0" w:line="225" w:lineRule="auto"/>
        <w:rPr>
          <w:sz w:val="20"/>
          <w:szCs w:val="20"/>
          <w:color w:val="auto"/>
        </w:rPr>
      </w:pPr>
      <w:r>
        <w:rPr>
          <w:rFonts w:ascii="Calibri" w:cs="Calibri" w:eastAsia="Calibri" w:hAnsi="Calibri"/>
          <w:sz w:val="20"/>
          <w:szCs w:val="20"/>
          <w:color w:val="auto"/>
        </w:rPr>
        <w:t>FORM 10-Q</w:t>
      </w:r>
    </w:p>
    <w:p>
      <w:pPr>
        <w:jc w:val="center"/>
        <w:ind w:right="20"/>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0540" w:type="dxa"/>
            <w:vAlign w:val="bottom"/>
            <w:gridSpan w:val="17"/>
            <w:vMerge w:val="restart"/>
          </w:tcPr>
          <w:p>
            <w:pPr>
              <w:spacing w:after="0"/>
              <w:rPr>
                <w:sz w:val="20"/>
                <w:szCs w:val="20"/>
                <w:color w:val="auto"/>
              </w:rPr>
            </w:pPr>
            <w:r>
              <w:rPr>
                <w:rFonts w:ascii="Calibri" w:cs="Calibri" w:eastAsia="Calibri" w:hAnsi="Calibri"/>
                <w:sz w:val="20"/>
                <w:szCs w:val="20"/>
                <w:color w:val="auto"/>
              </w:rPr>
              <w:t>Part I. Financial Informaton:</w:t>
            </w:r>
          </w:p>
        </w:tc>
        <w:tc>
          <w:tcPr>
            <w:tcW w:w="68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20"/>
                <w:szCs w:val="20"/>
                <w:color w:val="auto"/>
              </w:rPr>
              <w:t>Page</w:t>
            </w:r>
          </w:p>
        </w:tc>
        <w:tc>
          <w:tcPr>
            <w:tcW w:w="0" w:type="dxa"/>
            <w:vAlign w:val="bottom"/>
          </w:tcPr>
          <w:p>
            <w:pPr>
              <w:spacing w:after="0"/>
              <w:rPr>
                <w:sz w:val="1"/>
                <w:szCs w:val="1"/>
                <w:color w:val="auto"/>
              </w:rPr>
            </w:pPr>
          </w:p>
        </w:tc>
      </w:tr>
      <w:tr>
        <w:trPr>
          <w:trHeight w:val="197"/>
        </w:trPr>
        <w:tc>
          <w:tcPr>
            <w:tcW w:w="10540" w:type="dxa"/>
            <w:vAlign w:val="bottom"/>
            <w:gridSpan w:val="17"/>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Calibri" w:cs="Calibri" w:eastAsia="Calibri" w:hAnsi="Calibri"/>
                <w:sz w:val="20"/>
                <w:szCs w:val="20"/>
                <w:color w:val="0000FF"/>
              </w:rPr>
              <w:t>Item 1. Financial Statements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Calibri" w:cs="Calibri" w:eastAsia="Calibri" w:hAnsi="Calibri"/>
                <w:sz w:val="20"/>
                <w:szCs w:val="20"/>
                <w:color w:val="0000FF"/>
              </w:rPr>
              <w:t>Consolidated Balance Sheets – September 30, 2022 and December 31, 2021</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Calibri" w:cs="Calibri" w:eastAsia="Calibri" w:hAnsi="Calibri"/>
                <w:sz w:val="20"/>
                <w:szCs w:val="20"/>
                <w:color w:val="0000FF"/>
              </w:rPr>
              <w:t>Consolidated Statements of Earnings and Comprehensive Earnings – Three and Nine Months Ended September 30, 2022</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gridSpan w:val="15"/>
          </w:tcPr>
          <w:p>
            <w:pPr>
              <w:spacing w:after="0" w:line="196" w:lineRule="exact"/>
              <w:rPr>
                <w:sz w:val="20"/>
                <w:szCs w:val="20"/>
                <w:color w:val="auto"/>
              </w:rPr>
            </w:pPr>
            <w:r>
              <w:rPr>
                <w:rFonts w:ascii="Calibri" w:cs="Calibri" w:eastAsia="Calibri" w:hAnsi="Calibri"/>
                <w:sz w:val="20"/>
                <w:szCs w:val="20"/>
                <w:color w:val="0000FF"/>
              </w:rPr>
              <w:t>and 2021</w:t>
            </w:r>
          </w:p>
        </w:tc>
        <w:tc>
          <w:tcPr>
            <w:tcW w:w="680" w:type="dxa"/>
            <w:vAlign w:val="bottom"/>
          </w:tcPr>
          <w:p>
            <w:pPr>
              <w:jc w:val="right"/>
              <w:spacing w:after="0" w:line="196" w:lineRule="exact"/>
              <w:rPr>
                <w:sz w:val="20"/>
                <w:szCs w:val="20"/>
                <w:color w:val="auto"/>
              </w:rPr>
            </w:pPr>
            <w:r>
              <w:rPr>
                <w:rFonts w:ascii="Calibri" w:cs="Calibri" w:eastAsia="Calibri" w:hAnsi="Calibri"/>
                <w:sz w:val="20"/>
                <w:szCs w:val="20"/>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Calibri" w:cs="Calibri" w:eastAsia="Calibri" w:hAnsi="Calibri"/>
                <w:sz w:val="20"/>
                <w:szCs w:val="20"/>
                <w:color w:val="0000FF"/>
              </w:rPr>
              <w:t>Consolidated Statements of Cash Flows – Nine Months Ended September 30, 2022 and 2021</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Calibri" w:cs="Calibri" w:eastAsia="Calibri" w:hAnsi="Calibri"/>
                <w:sz w:val="20"/>
                <w:szCs w:val="20"/>
                <w:color w:val="0000FF"/>
              </w:rPr>
              <w:t>Consolidated Statements of Total Equity – Three and Nine Months Ended September 30, 2022 and 2021</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5"/>
          </w:tcPr>
          <w:p>
            <w:pPr>
              <w:spacing w:after="0"/>
              <w:rPr>
                <w:sz w:val="20"/>
                <w:szCs w:val="20"/>
                <w:color w:val="auto"/>
              </w:rPr>
            </w:pPr>
            <w:r>
              <w:rPr>
                <w:rFonts w:ascii="Calibri" w:cs="Calibri" w:eastAsia="Calibri" w:hAnsi="Calibri"/>
                <w:sz w:val="20"/>
                <w:szCs w:val="20"/>
                <w:color w:val="0000FF"/>
              </w:rPr>
              <w:t>Notes to Consolidated Financial Statements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Calibri" w:cs="Calibri" w:eastAsia="Calibri" w:hAnsi="Calibri"/>
                <w:sz w:val="20"/>
                <w:szCs w:val="20"/>
                <w:color w:val="0000FF"/>
              </w:rPr>
              <w:t>Item 2. Management’s Discussion and Analysis of Financial Conditon and Results of Operatons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26</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Calibri" w:cs="Calibri" w:eastAsia="Calibri" w:hAnsi="Calibri"/>
                <w:sz w:val="20"/>
                <w:szCs w:val="20"/>
                <w:color w:val="0000FF"/>
              </w:rPr>
              <w:t>Item 3. Quanttatve and Qualitatve Disclosures About Market Risk</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49</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Calibri" w:cs="Calibri" w:eastAsia="Calibri" w:hAnsi="Calibri"/>
                <w:sz w:val="20"/>
                <w:szCs w:val="20"/>
                <w:color w:val="0000FF"/>
              </w:rPr>
              <w:t>Item 4. Controls and Procedures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50</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0540" w:type="dxa"/>
            <w:vAlign w:val="bottom"/>
            <w:gridSpan w:val="17"/>
          </w:tcPr>
          <w:p>
            <w:pPr>
              <w:spacing w:after="0"/>
              <w:rPr>
                <w:sz w:val="20"/>
                <w:szCs w:val="20"/>
                <w:color w:val="auto"/>
              </w:rPr>
            </w:pPr>
            <w:r>
              <w:rPr>
                <w:rFonts w:ascii="Calibri" w:cs="Calibri" w:eastAsia="Calibri" w:hAnsi="Calibri"/>
                <w:sz w:val="20"/>
                <w:szCs w:val="20"/>
                <w:color w:val="auto"/>
              </w:rPr>
              <w:t>Part II. Other Informaton: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1.</w:t>
            </w:r>
          </w:p>
        </w:tc>
        <w:tc>
          <w:tcPr>
            <w:tcW w:w="9680" w:type="dxa"/>
            <w:vAlign w:val="bottom"/>
            <w:gridSpan w:val="14"/>
          </w:tcPr>
          <w:p>
            <w:pPr>
              <w:spacing w:after="0"/>
              <w:rPr>
                <w:sz w:val="20"/>
                <w:szCs w:val="20"/>
                <w:color w:val="auto"/>
              </w:rPr>
            </w:pPr>
            <w:r>
              <w:rPr>
                <w:rFonts w:ascii="Calibri" w:cs="Calibri" w:eastAsia="Calibri" w:hAnsi="Calibri"/>
                <w:sz w:val="20"/>
                <w:szCs w:val="20"/>
                <w:color w:val="0000FF"/>
              </w:rPr>
              <w:t>Legal Proceedings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10300" w:type="dxa"/>
            <w:vAlign w:val="bottom"/>
            <w:gridSpan w:val="16"/>
          </w:tcPr>
          <w:p>
            <w:pPr>
              <w:spacing w:after="0"/>
              <w:rPr>
                <w:sz w:val="20"/>
                <w:szCs w:val="20"/>
                <w:color w:val="auto"/>
              </w:rPr>
            </w:pPr>
            <w:r>
              <w:rPr>
                <w:rFonts w:ascii="Calibri" w:cs="Calibri" w:eastAsia="Calibri" w:hAnsi="Calibri"/>
                <w:sz w:val="20"/>
                <w:szCs w:val="20"/>
                <w:color w:val="0000FF"/>
              </w:rPr>
              <w:t>Item 1A. Risk Factors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2.</w:t>
            </w:r>
          </w:p>
        </w:tc>
        <w:tc>
          <w:tcPr>
            <w:tcW w:w="9680" w:type="dxa"/>
            <w:vAlign w:val="bottom"/>
            <w:gridSpan w:val="14"/>
          </w:tcPr>
          <w:p>
            <w:pPr>
              <w:spacing w:after="0"/>
              <w:rPr>
                <w:sz w:val="20"/>
                <w:szCs w:val="20"/>
                <w:color w:val="auto"/>
              </w:rPr>
            </w:pPr>
            <w:r>
              <w:rPr>
                <w:rFonts w:ascii="Calibri" w:cs="Calibri" w:eastAsia="Calibri" w:hAnsi="Calibri"/>
                <w:sz w:val="20"/>
                <w:szCs w:val="20"/>
                <w:color w:val="0000FF"/>
              </w:rPr>
              <w:t>Unregistered Sales of Equity Securites and Use of Proceeds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4.</w:t>
            </w:r>
          </w:p>
        </w:tc>
        <w:tc>
          <w:tcPr>
            <w:tcW w:w="9680" w:type="dxa"/>
            <w:vAlign w:val="bottom"/>
            <w:gridSpan w:val="14"/>
          </w:tcPr>
          <w:p>
            <w:pPr>
              <w:spacing w:after="0"/>
              <w:rPr>
                <w:sz w:val="20"/>
                <w:szCs w:val="20"/>
                <w:color w:val="auto"/>
              </w:rPr>
            </w:pPr>
            <w:r>
              <w:rPr>
                <w:rFonts w:ascii="Calibri" w:cs="Calibri" w:eastAsia="Calibri" w:hAnsi="Calibri"/>
                <w:sz w:val="20"/>
                <w:szCs w:val="20"/>
                <w:color w:val="0000FF"/>
              </w:rPr>
              <w:t>Mine Safety Disclosures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51</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77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Calibri" w:cs="Calibri" w:eastAsia="Calibri" w:hAnsi="Calibri"/>
                <w:sz w:val="20"/>
                <w:szCs w:val="20"/>
                <w:color w:val="0000FF"/>
              </w:rPr>
              <w:t>Item 6.</w:t>
            </w:r>
          </w:p>
        </w:tc>
        <w:tc>
          <w:tcPr>
            <w:tcW w:w="9680" w:type="dxa"/>
            <w:vAlign w:val="bottom"/>
            <w:gridSpan w:val="14"/>
          </w:tcPr>
          <w:p>
            <w:pPr>
              <w:spacing w:after="0"/>
              <w:rPr>
                <w:sz w:val="20"/>
                <w:szCs w:val="20"/>
                <w:color w:val="auto"/>
              </w:rPr>
            </w:pPr>
            <w:r>
              <w:rPr>
                <w:rFonts w:ascii="Calibri" w:cs="Calibri" w:eastAsia="Calibri" w:hAnsi="Calibri"/>
                <w:sz w:val="20"/>
                <w:szCs w:val="20"/>
                <w:color w:val="0000FF"/>
              </w:rPr>
              <w:t>Exhibits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52</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06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40" w:type="dxa"/>
            <w:vAlign w:val="bottom"/>
            <w:gridSpan w:val="17"/>
          </w:tcPr>
          <w:p>
            <w:pPr>
              <w:spacing w:after="0"/>
              <w:rPr>
                <w:sz w:val="20"/>
                <w:szCs w:val="20"/>
                <w:color w:val="auto"/>
              </w:rPr>
            </w:pPr>
            <w:r>
              <w:rPr>
                <w:rFonts w:ascii="Calibri" w:cs="Calibri" w:eastAsia="Calibri" w:hAnsi="Calibri"/>
                <w:sz w:val="20"/>
                <w:szCs w:val="20"/>
                <w:color w:val="0000FF"/>
              </w:rPr>
              <w:t>Signatures</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53</w:t>
            </w:r>
          </w:p>
        </w:tc>
        <w:tc>
          <w:tcPr>
            <w:tcW w:w="0" w:type="dxa"/>
            <w:vAlign w:val="bottom"/>
          </w:tcPr>
          <w:p>
            <w:pPr>
              <w:spacing w:after="0"/>
              <w:rPr>
                <w:sz w:val="1"/>
                <w:szCs w:val="1"/>
                <w:color w:val="auto"/>
              </w:rPr>
            </w:pPr>
          </w:p>
        </w:tc>
      </w:tr>
      <w:tr>
        <w:trPr>
          <w:trHeight w:val="20"/>
        </w:trPr>
        <w:tc>
          <w:tcPr>
            <w:tcW w:w="2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Page 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94"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color w:val="auto"/>
        </w:rPr>
        <w:t>PART I. FINANCIAL INFORMATION</w:t>
      </w:r>
    </w:p>
    <w:p>
      <w:pPr>
        <w:spacing w:after="0" w:line="235" w:lineRule="auto"/>
        <w:rPr>
          <w:sz w:val="20"/>
          <w:szCs w:val="20"/>
          <w:color w:val="auto"/>
        </w:rPr>
      </w:pPr>
      <w:r>
        <w:rPr>
          <w:rFonts w:ascii="Calibri" w:cs="Calibri" w:eastAsia="Calibri" w:hAnsi="Calibri"/>
          <w:sz w:val="18"/>
          <w:szCs w:val="18"/>
          <w:color w:val="auto"/>
        </w:rPr>
        <w:t>Item 1. Financial Statements.</w:t>
      </w:r>
    </w:p>
    <w:p>
      <w:pPr>
        <w:jc w:val="center"/>
        <w:ind w:right="-19"/>
        <w:spacing w:after="0" w:line="222" w:lineRule="auto"/>
        <w:rPr>
          <w:sz w:val="20"/>
          <w:szCs w:val="20"/>
          <w:color w:val="auto"/>
        </w:rPr>
      </w:pPr>
      <w:r>
        <w:rPr>
          <w:rFonts w:ascii="Calibri" w:cs="Calibri" w:eastAsia="Calibri" w:hAnsi="Calibri"/>
          <w:sz w:val="18"/>
          <w:szCs w:val="18"/>
          <w:color w:val="auto"/>
        </w:rPr>
        <w:t>MARTIN MARIETTA MATERIALS, INC. AND CONSOLIDATED SUBSIDIARIES</w:t>
      </w:r>
    </w:p>
    <w:p>
      <w:pPr>
        <w:jc w:val="center"/>
        <w:ind w:right="20"/>
        <w:spacing w:after="0" w:line="221" w:lineRule="auto"/>
        <w:rPr>
          <w:sz w:val="20"/>
          <w:szCs w:val="20"/>
          <w:color w:val="auto"/>
        </w:rPr>
      </w:pPr>
      <w:r>
        <w:rPr>
          <w:rFonts w:ascii="Calibri" w:cs="Calibri" w:eastAsia="Calibri" w:hAnsi="Calibri"/>
          <w:sz w:val="18"/>
          <w:szCs w:val="18"/>
          <w:color w:val="auto"/>
        </w:rPr>
        <w:t>(UNAUDITED) 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Calibri" w:cs="Calibri" w:eastAsia="Calibri" w:hAnsi="Calibri"/>
                <w:sz w:val="16"/>
                <w:szCs w:val="16"/>
                <w:color w:val="auto"/>
              </w:rPr>
              <w:t>September 30,</w:t>
            </w:r>
          </w:p>
        </w:tc>
        <w:tc>
          <w:tcPr>
            <w:tcW w:w="240" w:type="dxa"/>
            <w:vAlign w:val="bottom"/>
          </w:tcPr>
          <w:p>
            <w:pPr>
              <w:spacing w:after="0"/>
              <w:rPr>
                <w:sz w:val="16"/>
                <w:szCs w:val="16"/>
                <w:color w:val="auto"/>
              </w:rPr>
            </w:pPr>
          </w:p>
        </w:tc>
        <w:tc>
          <w:tcPr>
            <w:tcW w:w="1560" w:type="dxa"/>
            <w:vAlign w:val="bottom"/>
            <w:gridSpan w:val="2"/>
          </w:tcPr>
          <w:p>
            <w:pPr>
              <w:jc w:val="right"/>
              <w:ind w:right="500"/>
              <w:spacing w:after="0"/>
              <w:rPr>
                <w:sz w:val="20"/>
                <w:szCs w:val="20"/>
                <w:color w:val="auto"/>
              </w:rPr>
            </w:pPr>
            <w:r>
              <w:rPr>
                <w:rFonts w:ascii="Calibri" w:cs="Calibri" w:eastAsia="Calibri" w:hAnsi="Calibri"/>
                <w:sz w:val="16"/>
                <w:szCs w:val="16"/>
                <w:color w:val="auto"/>
              </w:rPr>
              <w:t>December 31,</w:t>
            </w:r>
          </w:p>
        </w:tc>
      </w:tr>
      <w:tr>
        <w:trPr>
          <w:trHeight w:val="203"/>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619"/>
              <w:spacing w:after="0"/>
              <w:rPr>
                <w:sz w:val="20"/>
                <w:szCs w:val="20"/>
                <w:color w:val="auto"/>
              </w:rPr>
            </w:pPr>
            <w:r>
              <w:rPr>
                <w:rFonts w:ascii="Calibri" w:cs="Calibri" w:eastAsia="Calibri" w:hAnsi="Calibri"/>
                <w:sz w:val="16"/>
                <w:szCs w:val="16"/>
                <w:color w:val="auto"/>
              </w:rPr>
              <w:t>2022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19"/>
              <w:spacing w:after="0"/>
              <w:rPr>
                <w:sz w:val="20"/>
                <w:szCs w:val="20"/>
                <w:color w:val="auto"/>
              </w:rPr>
            </w:pPr>
            <w:r>
              <w:rPr>
                <w:rFonts w:ascii="Calibri" w:cs="Calibri" w:eastAsia="Calibri" w:hAnsi="Calibri"/>
                <w:sz w:val="16"/>
                <w:szCs w:val="16"/>
                <w:color w:val="auto"/>
              </w:rPr>
              <w:t>2021</w:t>
            </w:r>
          </w:p>
        </w:tc>
        <w:tc>
          <w:tcPr>
            <w:tcW w:w="100" w:type="dxa"/>
            <w:vAlign w:val="bottom"/>
          </w:tcPr>
          <w:p>
            <w:pPr>
              <w:spacing w:after="0"/>
              <w:rPr>
                <w:sz w:val="17"/>
                <w:szCs w:val="17"/>
                <w:color w:val="auto"/>
              </w:rPr>
            </w:pPr>
          </w:p>
        </w:tc>
      </w:tr>
      <w:tr>
        <w:trPr>
          <w:trHeight w:val="28"/>
        </w:trPr>
        <w:tc>
          <w:tcPr>
            <w:tcW w:w="7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192"/>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5"/>
          </w:tcPr>
          <w:p>
            <w:pPr>
              <w:jc w:val="right"/>
              <w:ind w:right="840"/>
              <w:spacing w:after="0" w:line="192" w:lineRule="exact"/>
              <w:rPr>
                <w:sz w:val="20"/>
                <w:szCs w:val="20"/>
                <w:color w:val="auto"/>
              </w:rPr>
            </w:pPr>
            <w:r>
              <w:rPr>
                <w:rFonts w:ascii="Calibri" w:cs="Calibri" w:eastAsia="Calibri" w:hAnsi="Calibri"/>
                <w:sz w:val="16"/>
                <w:szCs w:val="16"/>
                <w:i w:val="1"/>
                <w:iCs w:val="1"/>
                <w:color w:val="auto"/>
              </w:rPr>
              <w:t>(In Millions, Except Par Value Data)</w:t>
            </w: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Cash and cash equivalents</w:t>
            </w:r>
          </w:p>
        </w:tc>
        <w:tc>
          <w:tcPr>
            <w:tcW w:w="240" w:type="dxa"/>
            <w:vAlign w:val="bottom"/>
            <w:shd w:val="clear" w:color="auto" w:fill="CFF0FC"/>
          </w:tcPr>
          <w:p>
            <w:pPr>
              <w:jc w:val="right"/>
              <w:ind w:right="79"/>
              <w:spacing w:after="0"/>
              <w:rPr>
                <w:sz w:val="20"/>
                <w:szCs w:val="20"/>
                <w:color w:val="auto"/>
              </w:rPr>
            </w:pPr>
            <w:r>
              <w:rPr>
                <w:rFonts w:ascii="Calibri" w:cs="Calibri" w:eastAsia="Calibri" w:hAnsi="Calibri"/>
                <w:sz w:val="16"/>
                <w:szCs w:val="16"/>
                <w:color w:val="auto"/>
                <w:w w:val="73"/>
              </w:rPr>
              <w:t>$</w:t>
            </w: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135.7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Calibri" w:cs="Calibri" w:eastAsia="Calibri" w:hAnsi="Calibri"/>
                <w:sz w:val="16"/>
                <w:szCs w:val="16"/>
                <w:color w:val="auto"/>
                <w:w w:val="73"/>
              </w:rPr>
              <w:t>$</w:t>
            </w: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258.4</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Restricted cash</w:t>
            </w:r>
          </w:p>
        </w:tc>
        <w:tc>
          <w:tcPr>
            <w:tcW w:w="240" w:type="dxa"/>
            <w:vAlign w:val="bottom"/>
          </w:tcPr>
          <w:p>
            <w:pPr>
              <w:spacing w:after="0"/>
              <w:rPr>
                <w:sz w:val="17"/>
                <w:szCs w:val="17"/>
                <w:color w:val="auto"/>
              </w:rPr>
            </w:pPr>
          </w:p>
        </w:tc>
        <w:tc>
          <w:tcPr>
            <w:tcW w:w="1800" w:type="dxa"/>
            <w:vAlign w:val="bottom"/>
            <w:gridSpan w:val="2"/>
          </w:tcPr>
          <w:p>
            <w:pPr>
              <w:jc w:val="right"/>
              <w:ind w:right="30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0.5</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Restricted investments (to satsfy discharged debt and related interest)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704.6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Accounts receivable, net</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1,011.7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774.0</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Inventories,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823.4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752.6</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 held for sale</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79.5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102.2</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92.4</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137.9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0"/>
              <w:spacing w:after="0" w:line="193" w:lineRule="exact"/>
              <w:rPr>
                <w:sz w:val="20"/>
                <w:szCs w:val="20"/>
                <w:color w:val="auto"/>
              </w:rPr>
            </w:pPr>
            <w:r>
              <w:rPr>
                <w:rFonts w:ascii="Calibri" w:cs="Calibri" w:eastAsia="Calibri" w:hAnsi="Calibri"/>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2,847.3</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2,025.6</w:t>
            </w:r>
          </w:p>
        </w:tc>
        <w:tc>
          <w:tcPr>
            <w:tcW w:w="100" w:type="dxa"/>
            <w:vAlign w:val="bottom"/>
          </w:tcPr>
          <w:p>
            <w:pPr>
              <w:spacing w:after="0"/>
              <w:rPr>
                <w:sz w:val="17"/>
                <w:szCs w:val="17"/>
                <w:color w:val="auto"/>
              </w:rPr>
            </w:pPr>
          </w:p>
        </w:tc>
      </w:tr>
      <w:tr>
        <w:trPr>
          <w:trHeight w:val="201"/>
        </w:trPr>
        <w:tc>
          <w:tcPr>
            <w:tcW w:w="7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10,400.0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10,370.0</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Allowances for depreciaton, depleton and amortzaton</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6"/>
                <w:szCs w:val="16"/>
                <w:color w:val="auto"/>
              </w:rPr>
              <w:t>(4,246.2 )</w:t>
            </w: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(4,032.0 )</w:t>
            </w:r>
          </w:p>
        </w:tc>
      </w:tr>
      <w:tr>
        <w:trPr>
          <w:trHeight w:val="196"/>
        </w:trPr>
        <w:tc>
          <w:tcPr>
            <w:tcW w:w="7400" w:type="dxa"/>
            <w:vAlign w:val="bottom"/>
            <w:tcBorders>
              <w:top w:val="single" w:sz="8" w:color="CFF0FC"/>
            </w:tcBorders>
          </w:tcPr>
          <w:p>
            <w:pPr>
              <w:ind w:left="20"/>
              <w:spacing w:after="0" w:line="193" w:lineRule="exact"/>
              <w:rPr>
                <w:sz w:val="20"/>
                <w:szCs w:val="20"/>
                <w:color w:val="auto"/>
              </w:rPr>
            </w:pPr>
            <w:r>
              <w:rPr>
                <w:rFonts w:ascii="Calibri" w:cs="Calibri" w:eastAsia="Calibri" w:hAnsi="Calibri"/>
                <w:sz w:val="16"/>
                <w:szCs w:val="16"/>
                <w:color w:val="auto"/>
              </w:rPr>
              <w:t>Net property, plant and equipment</w:t>
            </w: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6,153.8</w:t>
            </w:r>
          </w:p>
        </w:tc>
        <w:tc>
          <w:tcPr>
            <w:tcW w:w="3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6,338.0</w:t>
            </w:r>
          </w:p>
        </w:tc>
        <w:tc>
          <w:tcPr>
            <w:tcW w:w="100" w:type="dxa"/>
            <w:vAlign w:val="bottom"/>
            <w:tcBorders>
              <w:top w:val="single" w:sz="8" w:color="CFF0FC"/>
            </w:tcBorders>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Goodwill</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3,640.4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3,494.4</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Other intangibles, net</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855.7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1,065.0</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Operatng lease right-of-use assets,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397.3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426.7</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Noncurrent assets held for sale</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375.1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616.9</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Other noncurrent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460.1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426.4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1"/>
        </w:trPr>
        <w:tc>
          <w:tcPr>
            <w:tcW w:w="7400" w:type="dxa"/>
            <w:vAlign w:val="bottom"/>
          </w:tcPr>
          <w:p>
            <w:pPr>
              <w:ind w:left="200"/>
              <w:spacing w:after="0"/>
              <w:rPr>
                <w:sz w:val="20"/>
                <w:szCs w:val="20"/>
                <w:color w:val="auto"/>
              </w:rPr>
            </w:pPr>
            <w:r>
              <w:rPr>
                <w:rFonts w:ascii="Calibri" w:cs="Calibri" w:eastAsia="Calibri" w:hAnsi="Calibri"/>
                <w:sz w:val="16"/>
                <w:szCs w:val="16"/>
                <w:color w:val="auto"/>
              </w:rPr>
              <w:t>Total Assets</w:t>
            </w:r>
          </w:p>
        </w:tc>
        <w:tc>
          <w:tcPr>
            <w:tcW w:w="24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w w:val="73"/>
              </w:rPr>
              <w:t>$</w:t>
            </w:r>
          </w:p>
        </w:tc>
        <w:tc>
          <w:tcPr>
            <w:tcW w:w="15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14,729.7</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w w:val="73"/>
              </w:rPr>
              <w:t>$</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14,393.0</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LIABILITIES AND EQUITY</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Current Liabilites: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Accounts payable</w:t>
            </w:r>
          </w:p>
        </w:tc>
        <w:tc>
          <w:tcPr>
            <w:tcW w:w="24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73"/>
              </w:rPr>
              <w:t>$</w:t>
            </w: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333.5</w:t>
            </w:r>
          </w:p>
        </w:tc>
        <w:tc>
          <w:tcPr>
            <w:tcW w:w="300" w:type="dxa"/>
            <w:vAlign w:val="bottom"/>
          </w:tcPr>
          <w:p>
            <w:pPr>
              <w:spacing w:after="0"/>
              <w:rPr>
                <w:sz w:val="17"/>
                <w:szCs w:val="17"/>
                <w:color w:val="auto"/>
              </w:rPr>
            </w:pPr>
          </w:p>
        </w:tc>
        <w:tc>
          <w:tcPr>
            <w:tcW w:w="24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73"/>
              </w:rPr>
              <w:t>$</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356.2</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Accrued salaries, benefts and payroll taxes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77.1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86.6</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Accrued other taxes</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57.9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58.4</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Accrued interest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41.1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48.0</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maturites of discharged long-term debt</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698.7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Operatng lease liabilites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55.0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53.9</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liabilites held for sale</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4.6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7.5</w:t>
            </w:r>
          </w:p>
        </w:tc>
        <w:tc>
          <w:tcPr>
            <w:tcW w:w="100" w:type="dxa"/>
            <w:vAlign w:val="bottom"/>
          </w:tcPr>
          <w:p>
            <w:pPr>
              <w:spacing w:after="0"/>
              <w:rPr>
                <w:sz w:val="17"/>
                <w:szCs w:val="17"/>
                <w:color w:val="auto"/>
              </w:rPr>
            </w:pPr>
          </w:p>
        </w:tc>
      </w:tr>
      <w:tr>
        <w:trPr>
          <w:trHeight w:val="203"/>
        </w:trPr>
        <w:tc>
          <w:tcPr>
            <w:tcW w:w="74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Other current liabilites</w:t>
            </w: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151.8</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rPr>
              <w:t>142.0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00" w:type="dxa"/>
            <w:vAlign w:val="bottom"/>
          </w:tcPr>
          <w:p>
            <w:pPr>
              <w:ind w:left="200"/>
              <w:spacing w:after="0" w:line="193" w:lineRule="exact"/>
              <w:rPr>
                <w:sz w:val="20"/>
                <w:szCs w:val="20"/>
                <w:color w:val="auto"/>
              </w:rPr>
            </w:pPr>
            <w:r>
              <w:rPr>
                <w:rFonts w:ascii="Calibri" w:cs="Calibri" w:eastAsia="Calibri" w:hAnsi="Calibri"/>
                <w:sz w:val="16"/>
                <w:szCs w:val="16"/>
                <w:color w:val="auto"/>
              </w:rPr>
              <w:t>Total Current Liabilites</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1,419.7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752.6</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4,339.9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5,100.8</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Deferred income taxes, net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886.0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895.3</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Noncurrent operatng lease liabilites</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348.4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379.4</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Noncurrent liabilites held for sale</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23.8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53.5</w:t>
            </w:r>
          </w:p>
        </w:tc>
        <w:tc>
          <w:tcPr>
            <w:tcW w:w="100" w:type="dxa"/>
            <w:vAlign w:val="bottom"/>
            <w:shd w:val="clear" w:color="auto" w:fill="CFF0FC"/>
          </w:tcPr>
          <w:p>
            <w:pPr>
              <w:spacing w:after="0"/>
              <w:rPr>
                <w:sz w:val="18"/>
                <w:szCs w:val="18"/>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Other noncurrent liabilites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774.1</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673.8</w:t>
            </w:r>
          </w:p>
        </w:tc>
        <w:tc>
          <w:tcPr>
            <w:tcW w:w="100" w:type="dxa"/>
            <w:vAlign w:val="bottom"/>
          </w:tcPr>
          <w:p>
            <w:pPr>
              <w:spacing w:after="0"/>
              <w:rPr>
                <w:sz w:val="17"/>
                <w:szCs w:val="17"/>
                <w:color w:val="auto"/>
              </w:rPr>
            </w:pPr>
          </w:p>
        </w:tc>
      </w:tr>
      <w:tr>
        <w:trPr>
          <w:trHeight w:val="196"/>
        </w:trPr>
        <w:tc>
          <w:tcPr>
            <w:tcW w:w="740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Total Liabilites</w:t>
            </w: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7,791.9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7,855.4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0"/>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Equity:</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43"/>
        </w:trPr>
        <w:tc>
          <w:tcPr>
            <w:tcW w:w="7400" w:type="dxa"/>
            <w:vAlign w:val="bottom"/>
          </w:tcPr>
          <w:p>
            <w:pPr>
              <w:ind w:left="20"/>
              <w:spacing w:after="0" w:line="144" w:lineRule="exact"/>
              <w:rPr>
                <w:sz w:val="20"/>
                <w:szCs w:val="20"/>
                <w:color w:val="auto"/>
              </w:rPr>
            </w:pPr>
            <w:r>
              <w:rPr>
                <w:rFonts w:ascii="Calibri" w:cs="Calibri" w:eastAsia="Calibri" w:hAnsi="Calibri"/>
                <w:sz w:val="15"/>
                <w:szCs w:val="15"/>
                <w:color w:val="auto"/>
              </w:rPr>
              <w:t>Common stock, par value $0.01 per share (62.1 shares and 62.4 shares</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7400" w:type="dxa"/>
            <w:vAlign w:val="bottom"/>
          </w:tcPr>
          <w:p>
            <w:pPr>
              <w:ind w:left="140"/>
              <w:spacing w:after="0" w:line="193" w:lineRule="exact"/>
              <w:rPr>
                <w:sz w:val="20"/>
                <w:szCs w:val="20"/>
                <w:color w:val="auto"/>
              </w:rPr>
            </w:pPr>
            <w:r>
              <w:rPr>
                <w:rFonts w:ascii="Calibri" w:cs="Calibri" w:eastAsia="Calibri" w:hAnsi="Calibri"/>
                <w:sz w:val="16"/>
                <w:szCs w:val="16"/>
                <w:color w:val="auto"/>
              </w:rPr>
              <w:t>outstanding at September 30, 2022 and December 31, 2021, respectvely)</w:t>
            </w:r>
          </w:p>
        </w:tc>
        <w:tc>
          <w:tcPr>
            <w:tcW w:w="240" w:type="dxa"/>
            <w:vAlign w:val="bottom"/>
          </w:tcPr>
          <w:p>
            <w:pPr>
              <w:spacing w:after="0"/>
              <w:rPr>
                <w:sz w:val="16"/>
                <w:szCs w:val="16"/>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0.6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0.6</w:t>
            </w:r>
          </w:p>
        </w:tc>
        <w:tc>
          <w:tcPr>
            <w:tcW w:w="100" w:type="dxa"/>
            <w:vAlign w:val="bottom"/>
          </w:tcPr>
          <w:p>
            <w:pPr>
              <w:spacing w:after="0"/>
              <w:rPr>
                <w:sz w:val="16"/>
                <w:szCs w:val="16"/>
                <w:color w:val="auto"/>
              </w:rPr>
            </w:pPr>
          </w:p>
        </w:tc>
      </w:tr>
      <w:tr>
        <w:trPr>
          <w:trHeight w:val="28"/>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03"/>
        </w:trPr>
        <w:tc>
          <w:tcPr>
            <w:tcW w:w="740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Preferred stock, par value $0.01 per share</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30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Additonal paid-in capital</w:t>
            </w:r>
          </w:p>
        </w:tc>
        <w:tc>
          <w:tcPr>
            <w:tcW w:w="240" w:type="dxa"/>
            <w:vAlign w:val="bottom"/>
          </w:tcPr>
          <w:p>
            <w:pPr>
              <w:spacing w:after="0"/>
              <w:rPr>
                <w:sz w:val="17"/>
                <w:szCs w:val="17"/>
                <w:color w:val="auto"/>
              </w:rPr>
            </w:pP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3,483.2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color w:val="auto"/>
              </w:rPr>
              <w:t>3,470.4</w:t>
            </w:r>
          </w:p>
        </w:tc>
        <w:tc>
          <w:tcPr>
            <w:tcW w:w="100" w:type="dxa"/>
            <w:vAlign w:val="bottom"/>
          </w:tcPr>
          <w:p>
            <w:pPr>
              <w:spacing w:after="0"/>
              <w:rPr>
                <w:sz w:val="17"/>
                <w:szCs w:val="17"/>
                <w:color w:val="auto"/>
              </w:rPr>
            </w:pPr>
          </w:p>
        </w:tc>
      </w:tr>
      <w:tr>
        <w:trPr>
          <w:trHeight w:val="207"/>
        </w:trPr>
        <w:tc>
          <w:tcPr>
            <w:tcW w:w="740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Accumulated other comprehensive loss</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6"/>
                <w:szCs w:val="16"/>
                <w:color w:val="auto"/>
              </w:rPr>
              <w:t>(125.1 )</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Calibri" w:cs="Calibri" w:eastAsia="Calibri" w:hAnsi="Calibri"/>
                <w:sz w:val="16"/>
                <w:szCs w:val="16"/>
                <w:color w:val="auto"/>
              </w:rPr>
              <w:t>(97.6 )</w:t>
            </w:r>
          </w:p>
        </w:tc>
      </w:tr>
      <w:tr>
        <w:trPr>
          <w:trHeight w:val="196"/>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Retained earnings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3,577.0</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3,161.9</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Total Shareholders' Equity</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6,935.7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6,535.3</w:t>
            </w:r>
          </w:p>
        </w:tc>
        <w:tc>
          <w:tcPr>
            <w:tcW w:w="100" w:type="dxa"/>
            <w:vAlign w:val="bottom"/>
            <w:shd w:val="clear" w:color="auto" w:fill="CFF0FC"/>
          </w:tcPr>
          <w:p>
            <w:pPr>
              <w:spacing w:after="0"/>
              <w:rPr>
                <w:sz w:val="17"/>
                <w:szCs w:val="17"/>
                <w:color w:val="auto"/>
              </w:rPr>
            </w:pPr>
          </w:p>
        </w:tc>
      </w:tr>
      <w:tr>
        <w:trPr>
          <w:trHeight w:val="198"/>
        </w:trPr>
        <w:tc>
          <w:tcPr>
            <w:tcW w:w="7400" w:type="dxa"/>
            <w:vAlign w:val="bottom"/>
          </w:tcPr>
          <w:p>
            <w:pPr>
              <w:ind w:left="20"/>
              <w:spacing w:after="0" w:line="193" w:lineRule="exact"/>
              <w:rPr>
                <w:sz w:val="20"/>
                <w:szCs w:val="20"/>
                <w:color w:val="auto"/>
              </w:rPr>
            </w:pPr>
            <w:r>
              <w:rPr>
                <w:rFonts w:ascii="Calibri" w:cs="Calibri" w:eastAsia="Calibri" w:hAnsi="Calibri"/>
                <w:sz w:val="16"/>
                <w:szCs w:val="16"/>
                <w:color w:val="auto"/>
              </w:rPr>
              <w:t>Noncontrolling interests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2.1</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2.3</w:t>
            </w:r>
          </w:p>
        </w:tc>
        <w:tc>
          <w:tcPr>
            <w:tcW w:w="100" w:type="dxa"/>
            <w:vAlign w:val="bottom"/>
          </w:tcPr>
          <w:p>
            <w:pPr>
              <w:spacing w:after="0"/>
              <w:rPr>
                <w:sz w:val="17"/>
                <w:szCs w:val="17"/>
                <w:color w:val="auto"/>
              </w:rPr>
            </w:pPr>
          </w:p>
        </w:tc>
      </w:tr>
      <w:tr>
        <w:trPr>
          <w:trHeight w:val="196"/>
        </w:trPr>
        <w:tc>
          <w:tcPr>
            <w:tcW w:w="740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Total Equity</w:t>
            </w: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6,937.8</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6,537.6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0"/>
        </w:trPr>
        <w:tc>
          <w:tcPr>
            <w:tcW w:w="7400" w:type="dxa"/>
            <w:vAlign w:val="bottom"/>
          </w:tcPr>
          <w:p>
            <w:pPr>
              <w:ind w:left="200"/>
              <w:spacing w:after="0"/>
              <w:rPr>
                <w:sz w:val="20"/>
                <w:szCs w:val="20"/>
                <w:color w:val="auto"/>
              </w:rPr>
            </w:pPr>
            <w:r>
              <w:rPr>
                <w:rFonts w:ascii="Calibri" w:cs="Calibri" w:eastAsia="Calibri" w:hAnsi="Calibri"/>
                <w:sz w:val="16"/>
                <w:szCs w:val="16"/>
                <w:color w:val="auto"/>
              </w:rPr>
              <w:t>Total Liabilites and Equity</w:t>
            </w:r>
          </w:p>
        </w:tc>
        <w:tc>
          <w:tcPr>
            <w:tcW w:w="24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w w:val="73"/>
              </w:rPr>
              <w:t>$</w:t>
            </w:r>
          </w:p>
        </w:tc>
        <w:tc>
          <w:tcPr>
            <w:tcW w:w="15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14,729.7</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w w:val="73"/>
              </w:rPr>
              <w:t>$</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14,393.0</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-5511165</wp:posOffset>
            </wp:positionV>
            <wp:extent cx="6858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-5511165</wp:posOffset>
            </wp:positionV>
            <wp:extent cx="685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-4979670</wp:posOffset>
            </wp:positionV>
            <wp:extent cx="6858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-4199890</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-2622550</wp:posOffset>
            </wp:positionV>
            <wp:extent cx="685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-1576705</wp:posOffset>
            </wp:positionV>
            <wp:extent cx="6858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-161925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21" w:lineRule="auto"/>
        <w:rPr>
          <w:sz w:val="20"/>
          <w:szCs w:val="20"/>
          <w:color w:val="auto"/>
        </w:rPr>
      </w:pPr>
      <w:r>
        <w:rPr>
          <w:rFonts w:ascii="Calibri" w:cs="Calibri" w:eastAsia="Calibri" w:hAnsi="Calibri"/>
          <w:sz w:val="18"/>
          <w:szCs w:val="18"/>
          <w:color w:val="auto"/>
        </w:rPr>
        <w:t>(UNAUDITED) CONSOLIDATED STATEMENTS OF EARNINGS AND COMPREHENSIVE EARNINGS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right"/>
              <w:ind w:right="535"/>
              <w:spacing w:after="0"/>
              <w:rPr>
                <w:sz w:val="20"/>
                <w:szCs w:val="20"/>
                <w:color w:val="auto"/>
              </w:rPr>
            </w:pPr>
            <w:r>
              <w:rPr>
                <w:rFonts w:ascii="Calibri" w:cs="Calibri" w:eastAsia="Calibri" w:hAnsi="Calibri"/>
                <w:sz w:val="17"/>
                <w:szCs w:val="17"/>
                <w:color w:val="auto"/>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75"/>
              <w:spacing w:after="0"/>
              <w:rPr>
                <w:sz w:val="20"/>
                <w:szCs w:val="20"/>
                <w:color w:val="auto"/>
              </w:rPr>
            </w:pPr>
            <w:r>
              <w:rPr>
                <w:rFonts w:ascii="Calibri" w:cs="Calibri" w:eastAsia="Calibri" w:hAnsi="Calibri"/>
                <w:sz w:val="17"/>
                <w:szCs w:val="17"/>
                <w:color w:val="auto"/>
              </w:rPr>
              <w:t>Nine Months Ended</w:t>
            </w:r>
          </w:p>
        </w:tc>
        <w:tc>
          <w:tcPr>
            <w:tcW w:w="100" w:type="dxa"/>
            <w:vAlign w:val="bottom"/>
          </w:tcPr>
          <w:p>
            <w:pPr>
              <w:spacing w:after="0"/>
              <w:rPr>
                <w:sz w:val="18"/>
                <w:szCs w:val="18"/>
                <w:color w:val="auto"/>
              </w:rPr>
            </w:pPr>
          </w:p>
        </w:tc>
      </w:tr>
      <w:tr>
        <w:trPr>
          <w:trHeight w:val="204"/>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755"/>
              <w:spacing w:after="0" w:line="205" w:lineRule="exact"/>
              <w:rPr>
                <w:sz w:val="20"/>
                <w:szCs w:val="20"/>
                <w:color w:val="auto"/>
              </w:rPr>
            </w:pPr>
            <w:r>
              <w:rPr>
                <w:rFonts w:ascii="Calibri" w:cs="Calibri" w:eastAsia="Calibri" w:hAnsi="Calibri"/>
                <w:sz w:val="17"/>
                <w:szCs w:val="17"/>
                <w:color w:val="auto"/>
              </w:rPr>
              <w:t>September 30,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4"/>
          </w:tcPr>
          <w:p>
            <w:pPr>
              <w:jc w:val="right"/>
              <w:ind w:right="755"/>
              <w:spacing w:after="0" w:line="205" w:lineRule="exact"/>
              <w:rPr>
                <w:sz w:val="20"/>
                <w:szCs w:val="20"/>
                <w:color w:val="auto"/>
              </w:rPr>
            </w:pPr>
            <w:r>
              <w:rPr>
                <w:rFonts w:ascii="Calibri" w:cs="Calibri" w:eastAsia="Calibri" w:hAnsi="Calibri"/>
                <w:sz w:val="17"/>
                <w:szCs w:val="17"/>
                <w:color w:val="auto"/>
              </w:rPr>
              <w:t>September 30,</w:t>
            </w:r>
          </w:p>
        </w:tc>
        <w:tc>
          <w:tcPr>
            <w:tcW w:w="100" w:type="dxa"/>
            <w:vAlign w:val="bottom"/>
          </w:tcPr>
          <w:p>
            <w:pPr>
              <w:spacing w:after="0"/>
              <w:rPr>
                <w:sz w:val="17"/>
                <w:szCs w:val="17"/>
                <w:color w:val="auto"/>
              </w:rPr>
            </w:pPr>
          </w:p>
        </w:tc>
      </w:tr>
      <w:tr>
        <w:trPr>
          <w:trHeight w:val="26"/>
        </w:trPr>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5"/>
              <w:spacing w:after="0" w:line="196" w:lineRule="exact"/>
              <w:rPr>
                <w:sz w:val="20"/>
                <w:szCs w:val="20"/>
                <w:color w:val="auto"/>
              </w:rPr>
            </w:pPr>
            <w:r>
              <w:rPr>
                <w:rFonts w:ascii="Calibri" w:cs="Calibri" w:eastAsia="Calibri" w:hAnsi="Calibri"/>
                <w:sz w:val="17"/>
                <w:szCs w:val="17"/>
                <w:color w:val="auto"/>
              </w:rPr>
              <w:t>2022</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5"/>
              <w:spacing w:after="0" w:line="196" w:lineRule="exact"/>
              <w:rPr>
                <w:sz w:val="20"/>
                <w:szCs w:val="20"/>
                <w:color w:val="auto"/>
              </w:rPr>
            </w:pPr>
            <w:r>
              <w:rPr>
                <w:rFonts w:ascii="Calibri" w:cs="Calibri" w:eastAsia="Calibri" w:hAnsi="Calibri"/>
                <w:sz w:val="17"/>
                <w:szCs w:val="17"/>
                <w:color w:val="auto"/>
              </w:rPr>
              <w:t>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line="196" w:lineRule="exact"/>
              <w:rPr>
                <w:sz w:val="20"/>
                <w:szCs w:val="20"/>
                <w:color w:val="auto"/>
              </w:rPr>
            </w:pPr>
            <w:r>
              <w:rPr>
                <w:rFonts w:ascii="Calibri" w:cs="Calibri" w:eastAsia="Calibri" w:hAnsi="Calibri"/>
                <w:sz w:val="17"/>
                <w:szCs w:val="17"/>
                <w:color w:val="auto"/>
              </w:rPr>
              <w:t>2022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line="196" w:lineRule="exact"/>
              <w:rPr>
                <w:sz w:val="20"/>
                <w:szCs w:val="20"/>
                <w:color w:val="auto"/>
              </w:rPr>
            </w:pPr>
            <w:r>
              <w:rPr>
                <w:rFonts w:ascii="Calibri" w:cs="Calibri" w:eastAsia="Calibri" w:hAnsi="Calibri"/>
                <w:sz w:val="17"/>
                <w:szCs w:val="17"/>
                <w:color w:val="auto"/>
              </w:rPr>
              <w:t>2021</w:t>
            </w:r>
          </w:p>
        </w:tc>
        <w:tc>
          <w:tcPr>
            <w:tcW w:w="100" w:type="dxa"/>
            <w:vAlign w:val="bottom"/>
          </w:tcPr>
          <w:p>
            <w:pPr>
              <w:spacing w:after="0"/>
              <w:rPr>
                <w:sz w:val="17"/>
                <w:szCs w:val="17"/>
                <w:color w:val="auto"/>
              </w:rPr>
            </w:pPr>
          </w:p>
        </w:tc>
      </w:t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4"/>
          </w:tcPr>
          <w:p>
            <w:pPr>
              <w:jc w:val="right"/>
              <w:spacing w:after="0" w:line="196" w:lineRule="exact"/>
              <w:rPr>
                <w:sz w:val="20"/>
                <w:szCs w:val="20"/>
                <w:color w:val="auto"/>
              </w:rPr>
            </w:pPr>
            <w:r>
              <w:rPr>
                <w:rFonts w:ascii="Calibri" w:cs="Calibri" w:eastAsia="Calibri" w:hAnsi="Calibri"/>
                <w:sz w:val="17"/>
                <w:szCs w:val="17"/>
                <w:i w:val="1"/>
                <w:iCs w:val="1"/>
                <w:color w:val="auto"/>
              </w:rPr>
              <w:t>(In Millions, Except Per Share Data)</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ind w:left="20"/>
              <w:spacing w:after="0" w:line="203" w:lineRule="exact"/>
              <w:rPr>
                <w:sz w:val="20"/>
                <w:szCs w:val="20"/>
                <w:color w:val="auto"/>
              </w:rPr>
            </w:pPr>
            <w:r>
              <w:rPr>
                <w:rFonts w:ascii="Calibri" w:cs="Calibri" w:eastAsia="Calibri" w:hAnsi="Calibri"/>
                <w:sz w:val="17"/>
                <w:szCs w:val="17"/>
                <w:color w:val="auto"/>
              </w:rPr>
              <w:t>Products and services revenues</w:t>
            </w:r>
          </w:p>
        </w:tc>
        <w:tc>
          <w:tcPr>
            <w:tcW w:w="240" w:type="dxa"/>
            <w:vAlign w:val="bottom"/>
            <w:shd w:val="clear" w:color="auto" w:fill="CFF0FC"/>
          </w:tcPr>
          <w:p>
            <w:pPr>
              <w:jc w:val="right"/>
              <w:ind w:right="55"/>
              <w:spacing w:after="0" w:line="203" w:lineRule="exact"/>
              <w:rPr>
                <w:sz w:val="20"/>
                <w:szCs w:val="20"/>
                <w:color w:val="auto"/>
              </w:rPr>
            </w:pPr>
            <w:r>
              <w:rPr>
                <w:rFonts w:ascii="Calibri" w:cs="Calibri" w:eastAsia="Calibri" w:hAnsi="Calibri"/>
                <w:sz w:val="17"/>
                <w:szCs w:val="17"/>
                <w:color w:val="auto"/>
                <w:w w:val="92"/>
              </w:rPr>
              <w:t>$</w:t>
            </w:r>
          </w:p>
        </w:tc>
        <w:tc>
          <w:tcPr>
            <w:tcW w:w="92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1,680.5</w:t>
            </w:r>
          </w:p>
        </w:tc>
        <w:tc>
          <w:tcPr>
            <w:tcW w:w="420" w:type="dxa"/>
            <w:vAlign w:val="bottom"/>
            <w:gridSpan w:val="2"/>
            <w:shd w:val="clear" w:color="auto" w:fill="CFF0FC"/>
          </w:tcPr>
          <w:p>
            <w:pPr>
              <w:jc w:val="right"/>
              <w:ind w:right="40"/>
              <w:spacing w:after="0" w:line="203" w:lineRule="exact"/>
              <w:rPr>
                <w:sz w:val="20"/>
                <w:szCs w:val="20"/>
                <w:color w:val="auto"/>
              </w:rPr>
            </w:pPr>
            <w:r>
              <w:rPr>
                <w:rFonts w:ascii="Calibri" w:cs="Calibri" w:eastAsia="Calibri" w:hAnsi="Calibri"/>
                <w:sz w:val="17"/>
                <w:szCs w:val="17"/>
                <w:color w:val="auto"/>
              </w:rPr>
              <w:t>$</w:t>
            </w:r>
          </w:p>
        </w:tc>
        <w:tc>
          <w:tcPr>
            <w:tcW w:w="116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1,462.7</w:t>
            </w:r>
          </w:p>
        </w:tc>
        <w:tc>
          <w:tcPr>
            <w:tcW w:w="500" w:type="dxa"/>
            <w:vAlign w:val="bottom"/>
            <w:gridSpan w:val="2"/>
            <w:shd w:val="clear" w:color="auto" w:fill="CFF0FC"/>
          </w:tcPr>
          <w:p>
            <w:pPr>
              <w:jc w:val="right"/>
              <w:ind w:right="140"/>
              <w:spacing w:after="0" w:line="203" w:lineRule="exact"/>
              <w:rPr>
                <w:sz w:val="20"/>
                <w:szCs w:val="20"/>
                <w:color w:val="auto"/>
              </w:rPr>
            </w:pPr>
            <w:r>
              <w:rPr>
                <w:rFonts w:ascii="Calibri" w:cs="Calibri" w:eastAsia="Calibri" w:hAnsi="Calibri"/>
                <w:sz w:val="17"/>
                <w:szCs w:val="17"/>
                <w:color w:val="auto"/>
              </w:rPr>
              <w:t>$</w:t>
            </w:r>
          </w:p>
        </w:tc>
        <w:tc>
          <w:tcPr>
            <w:tcW w:w="90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4,352.1</w:t>
            </w:r>
          </w:p>
        </w:tc>
        <w:tc>
          <w:tcPr>
            <w:tcW w:w="540" w:type="dxa"/>
            <w:vAlign w:val="bottom"/>
            <w:gridSpan w:val="2"/>
            <w:shd w:val="clear" w:color="auto" w:fill="CFF0FC"/>
          </w:tcPr>
          <w:p>
            <w:pPr>
              <w:jc w:val="right"/>
              <w:ind w:right="200"/>
              <w:spacing w:after="0" w:line="203" w:lineRule="exact"/>
              <w:rPr>
                <w:sz w:val="20"/>
                <w:szCs w:val="20"/>
                <w:color w:val="auto"/>
              </w:rPr>
            </w:pPr>
            <w:r>
              <w:rPr>
                <w:rFonts w:ascii="Calibri" w:cs="Calibri" w:eastAsia="Calibri" w:hAnsi="Calibri"/>
                <w:sz w:val="17"/>
                <w:szCs w:val="17"/>
                <w:color w:val="auto"/>
              </w:rPr>
              <w:t>$</w:t>
            </w:r>
          </w:p>
        </w:tc>
        <w:tc>
          <w:tcPr>
            <w:tcW w:w="102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3,679.9</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ind w:left="20"/>
              <w:spacing w:after="0" w:line="203" w:lineRule="exact"/>
              <w:rPr>
                <w:sz w:val="20"/>
                <w:szCs w:val="20"/>
                <w:color w:val="auto"/>
              </w:rPr>
            </w:pPr>
            <w:r>
              <w:rPr>
                <w:rFonts w:ascii="Calibri" w:cs="Calibri" w:eastAsia="Calibri" w:hAnsi="Calibri"/>
                <w:sz w:val="17"/>
                <w:szCs w:val="17"/>
                <w:color w:val="auto"/>
              </w:rPr>
              <w:t>Freight revenues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7"/>
                <w:szCs w:val="17"/>
                <w:color w:val="auto"/>
              </w:rPr>
              <w:t>131.2</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7"/>
                <w:szCs w:val="17"/>
                <w:color w:val="auto"/>
              </w:rPr>
              <w:t>94.6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7"/>
                <w:szCs w:val="17"/>
                <w:color w:val="auto"/>
              </w:rPr>
              <w:t>332.1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Calibri" w:cs="Calibri" w:eastAsia="Calibri" w:hAnsi="Calibri"/>
                <w:sz w:val="17"/>
                <w:szCs w:val="17"/>
                <w:color w:val="auto"/>
              </w:rPr>
              <w:t>237.7</w:t>
            </w:r>
          </w:p>
        </w:tc>
        <w:tc>
          <w:tcPr>
            <w:tcW w:w="100" w:type="dxa"/>
            <w:vAlign w:val="bottom"/>
          </w:tcPr>
          <w:p>
            <w:pPr>
              <w:spacing w:after="0"/>
              <w:rPr>
                <w:sz w:val="17"/>
                <w:szCs w:val="17"/>
                <w:color w:val="auto"/>
              </w:rPr>
            </w:pPr>
          </w:p>
        </w:tc>
      </w:tr>
      <w:tr>
        <w:trPr>
          <w:trHeight w:val="196"/>
        </w:trPr>
        <w:tc>
          <w:tcPr>
            <w:tcW w:w="5440" w:type="dxa"/>
            <w:vAlign w:val="bottom"/>
            <w:tcBorders>
              <w:bottom w:val="single" w:sz="8" w:color="CFF0FC"/>
            </w:tcBorders>
            <w:shd w:val="clear" w:color="auto" w:fill="CFF0FC"/>
          </w:tcPr>
          <w:p>
            <w:pPr>
              <w:ind w:left="120"/>
              <w:spacing w:after="0" w:line="196" w:lineRule="exact"/>
              <w:rPr>
                <w:sz w:val="20"/>
                <w:szCs w:val="20"/>
                <w:color w:val="auto"/>
              </w:rPr>
            </w:pPr>
            <w:r>
              <w:rPr>
                <w:rFonts w:ascii="Calibri" w:cs="Calibri" w:eastAsia="Calibri" w:hAnsi="Calibri"/>
                <w:sz w:val="17"/>
                <w:szCs w:val="17"/>
                <w:color w:val="auto"/>
              </w:rPr>
              <w:t>Total Revenues</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1,811.7</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1,557.3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4,684.2</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3,917.6</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p>
      <w:pPr>
        <w:spacing w:after="0" w:line="175" w:lineRule="exact"/>
        <w:rPr>
          <w:sz w:val="20"/>
          <w:szCs w:val="20"/>
          <w:color w:val="auto"/>
        </w:rPr>
      </w:pPr>
    </w:p>
    <w:p>
      <w:pPr>
        <w:ind w:left="20" w:right="1840"/>
        <w:spacing w:after="0" w:line="245" w:lineRule="auto"/>
        <w:rPr>
          <w:sz w:val="20"/>
          <w:szCs w:val="20"/>
          <w:color w:val="auto"/>
        </w:rPr>
      </w:pPr>
      <w:r>
        <w:rPr>
          <w:rFonts w:ascii="Calibri" w:cs="Calibri" w:eastAsia="Calibri" w:hAnsi="Calibri"/>
          <w:sz w:val="17"/>
          <w:szCs w:val="17"/>
          <w:color w:val="auto"/>
        </w:rPr>
        <w:t>Cost of revenues - products and services Cost of revenues - freight</w:t>
      </w:r>
    </w:p>
    <w:p>
      <w:pPr>
        <w:spacing w:after="0" w:line="5" w:lineRule="exact"/>
        <w:rPr>
          <w:sz w:val="20"/>
          <w:szCs w:val="20"/>
          <w:color w:val="auto"/>
        </w:rPr>
      </w:pPr>
    </w:p>
    <w:p>
      <w:pPr>
        <w:ind w:left="120"/>
        <w:spacing w:after="0"/>
        <w:rPr>
          <w:sz w:val="20"/>
          <w:szCs w:val="20"/>
          <w:color w:val="auto"/>
        </w:rPr>
      </w:pPr>
      <w:r>
        <w:rPr>
          <w:rFonts w:ascii="Calibri" w:cs="Calibri" w:eastAsia="Calibri" w:hAnsi="Calibri"/>
          <w:sz w:val="17"/>
          <w:szCs w:val="17"/>
          <w:color w:val="auto"/>
        </w:rPr>
        <w:t>Total Cost of Revenues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160" w:type="dxa"/>
            <w:vAlign w:val="bottom"/>
          </w:tcPr>
          <w:p>
            <w:pPr>
              <w:jc w:val="right"/>
              <w:spacing w:after="0"/>
              <w:rPr>
                <w:sz w:val="20"/>
                <w:szCs w:val="20"/>
                <w:color w:val="auto"/>
              </w:rPr>
            </w:pPr>
            <w:r>
              <w:rPr>
                <w:rFonts w:ascii="Calibri" w:cs="Calibri" w:eastAsia="Calibri" w:hAnsi="Calibri"/>
                <w:sz w:val="17"/>
                <w:szCs w:val="17"/>
                <w:color w:val="auto"/>
              </w:rPr>
              <w:t>1,193.8</w:t>
            </w:r>
          </w:p>
        </w:tc>
        <w:tc>
          <w:tcPr>
            <w:tcW w:w="1580" w:type="dxa"/>
            <w:vAlign w:val="bottom"/>
            <w:gridSpan w:val="2"/>
          </w:tcPr>
          <w:p>
            <w:pPr>
              <w:jc w:val="right"/>
              <w:spacing w:after="0"/>
              <w:rPr>
                <w:sz w:val="20"/>
                <w:szCs w:val="20"/>
                <w:color w:val="auto"/>
              </w:rPr>
            </w:pPr>
            <w:r>
              <w:rPr>
                <w:rFonts w:ascii="Calibri" w:cs="Calibri" w:eastAsia="Calibri" w:hAnsi="Calibri"/>
                <w:sz w:val="17"/>
                <w:szCs w:val="17"/>
                <w:color w:val="auto"/>
              </w:rPr>
              <w:t>1,021.0</w:t>
            </w:r>
          </w:p>
        </w:tc>
        <w:tc>
          <w:tcPr>
            <w:tcW w:w="1400" w:type="dxa"/>
            <w:vAlign w:val="bottom"/>
            <w:gridSpan w:val="2"/>
          </w:tcPr>
          <w:p>
            <w:pPr>
              <w:jc w:val="right"/>
              <w:spacing w:after="0"/>
              <w:rPr>
                <w:sz w:val="20"/>
                <w:szCs w:val="20"/>
                <w:color w:val="auto"/>
              </w:rPr>
            </w:pPr>
            <w:r>
              <w:rPr>
                <w:rFonts w:ascii="Calibri" w:cs="Calibri" w:eastAsia="Calibri" w:hAnsi="Calibri"/>
                <w:sz w:val="17"/>
                <w:szCs w:val="17"/>
                <w:color w:val="auto"/>
              </w:rPr>
              <w:t>3,281.3</w:t>
            </w:r>
          </w:p>
        </w:tc>
        <w:tc>
          <w:tcPr>
            <w:tcW w:w="1560" w:type="dxa"/>
            <w:vAlign w:val="bottom"/>
            <w:gridSpan w:val="2"/>
          </w:tcPr>
          <w:p>
            <w:pPr>
              <w:jc w:val="right"/>
              <w:spacing w:after="0"/>
              <w:rPr>
                <w:sz w:val="20"/>
                <w:szCs w:val="20"/>
                <w:color w:val="auto"/>
              </w:rPr>
            </w:pPr>
            <w:r>
              <w:rPr>
                <w:rFonts w:ascii="Calibri" w:cs="Calibri" w:eastAsia="Calibri" w:hAnsi="Calibri"/>
                <w:sz w:val="17"/>
                <w:szCs w:val="17"/>
                <w:color w:val="auto"/>
              </w:rPr>
              <w:t>2,676.9</w:t>
            </w:r>
          </w:p>
        </w:tc>
        <w:tc>
          <w:tcPr>
            <w:tcW w:w="0" w:type="dxa"/>
            <w:vAlign w:val="bottom"/>
          </w:tcPr>
          <w:p>
            <w:pPr>
              <w:spacing w:after="0"/>
              <w:rPr>
                <w:sz w:val="1"/>
                <w:szCs w:val="1"/>
                <w:color w:val="auto"/>
              </w:rPr>
            </w:pPr>
          </w:p>
        </w:tc>
      </w:tr>
      <w:tr>
        <w:trPr>
          <w:trHeight w:val="204"/>
        </w:trPr>
        <w:tc>
          <w:tcPr>
            <w:tcW w:w="1160" w:type="dxa"/>
            <w:vAlign w:val="bottom"/>
          </w:tcPr>
          <w:p>
            <w:pPr>
              <w:jc w:val="right"/>
              <w:spacing w:after="0" w:line="205" w:lineRule="exact"/>
              <w:rPr>
                <w:sz w:val="20"/>
                <w:szCs w:val="20"/>
                <w:color w:val="auto"/>
              </w:rPr>
            </w:pPr>
            <w:r>
              <w:rPr>
                <w:rFonts w:ascii="Calibri" w:cs="Calibri" w:eastAsia="Calibri" w:hAnsi="Calibri"/>
                <w:sz w:val="17"/>
                <w:szCs w:val="17"/>
                <w:color w:val="auto"/>
              </w:rPr>
              <w:t>130.1</w:t>
            </w:r>
          </w:p>
        </w:tc>
        <w:tc>
          <w:tcPr>
            <w:tcW w:w="158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94.4</w:t>
            </w:r>
          </w:p>
        </w:tc>
        <w:tc>
          <w:tcPr>
            <w:tcW w:w="140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333.8</w:t>
            </w:r>
          </w:p>
        </w:tc>
        <w:tc>
          <w:tcPr>
            <w:tcW w:w="1560" w:type="dxa"/>
            <w:vAlign w:val="bottom"/>
            <w:gridSpan w:val="2"/>
          </w:tcPr>
          <w:p>
            <w:pPr>
              <w:jc w:val="right"/>
              <w:spacing w:after="0" w:line="205" w:lineRule="exact"/>
              <w:rPr>
                <w:sz w:val="20"/>
                <w:szCs w:val="20"/>
                <w:color w:val="auto"/>
              </w:rPr>
            </w:pPr>
            <w:r>
              <w:rPr>
                <w:rFonts w:ascii="Calibri" w:cs="Calibri" w:eastAsia="Calibri" w:hAnsi="Calibri"/>
                <w:sz w:val="17"/>
                <w:szCs w:val="17"/>
                <w:color w:val="auto"/>
              </w:rPr>
              <w:t>239.0</w:t>
            </w:r>
          </w:p>
        </w:tc>
        <w:tc>
          <w:tcPr>
            <w:tcW w:w="0" w:type="dxa"/>
            <w:vAlign w:val="bottom"/>
          </w:tcPr>
          <w:p>
            <w:pPr>
              <w:spacing w:after="0"/>
              <w:rPr>
                <w:sz w:val="1"/>
                <w:szCs w:val="1"/>
                <w:color w:val="auto"/>
              </w:rPr>
            </w:pPr>
          </w:p>
        </w:tc>
      </w:tr>
      <w:tr>
        <w:trPr>
          <w:trHeight w:val="26"/>
        </w:trPr>
        <w:tc>
          <w:tcPr>
            <w:tcW w:w="11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1,323.9</w:t>
            </w:r>
          </w:p>
        </w:tc>
        <w:tc>
          <w:tcPr>
            <w:tcW w:w="28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1,115.4</w:t>
            </w:r>
          </w:p>
        </w:tc>
        <w:tc>
          <w:tcPr>
            <w:tcW w:w="2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3,615.1</w:t>
            </w:r>
          </w:p>
        </w:tc>
        <w:tc>
          <w:tcPr>
            <w:tcW w:w="24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2,915.9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-402590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-136525</wp:posOffset>
            </wp:positionV>
            <wp:extent cx="7132320"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720" w:space="720"/>
            <w:col w:w="5800"/>
          </w:cols>
          <w:pgMar w:left="320" w:top="531"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5440" w:type="dxa"/>
            <w:vAlign w:val="bottom"/>
            <w:shd w:val="clear" w:color="auto" w:fill="CFF0FC"/>
          </w:tcPr>
          <w:p>
            <w:pPr>
              <w:ind w:left="20"/>
              <w:spacing w:after="0"/>
              <w:rPr>
                <w:sz w:val="20"/>
                <w:szCs w:val="20"/>
                <w:color w:val="auto"/>
              </w:rPr>
            </w:pPr>
            <w:r>
              <w:rPr>
                <w:rFonts w:ascii="Calibri" w:cs="Calibri" w:eastAsia="Calibri" w:hAnsi="Calibri"/>
                <w:sz w:val="17"/>
                <w:szCs w:val="17"/>
                <w:color w:val="auto"/>
              </w:rPr>
              <w:t>Gross Proft</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487.8</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441.9</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1,069.1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Calibri" w:cs="Calibri" w:eastAsia="Calibri" w:hAnsi="Calibri"/>
                <w:sz w:val="17"/>
                <w:szCs w:val="17"/>
                <w:color w:val="auto"/>
              </w:rPr>
              <w:t>1,001.7</w:t>
            </w:r>
          </w:p>
        </w:tc>
        <w:tc>
          <w:tcPr>
            <w:tcW w:w="100" w:type="dxa"/>
            <w:vAlign w:val="bottom"/>
            <w:shd w:val="clear" w:color="auto" w:fill="CFF0FC"/>
          </w:tcPr>
          <w:p>
            <w:pPr>
              <w:spacing w:after="0"/>
              <w:rPr>
                <w:sz w:val="18"/>
                <w:szCs w:val="18"/>
                <w:color w:val="auto"/>
              </w:rPr>
            </w:pPr>
          </w:p>
        </w:tc>
      </w:tr>
      <w:tr>
        <w:trPr>
          <w:trHeight w:val="203"/>
        </w:trPr>
        <w:tc>
          <w:tcPr>
            <w:tcW w:w="5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ind w:left="20"/>
              <w:spacing w:after="0" w:line="203" w:lineRule="exact"/>
              <w:rPr>
                <w:sz w:val="20"/>
                <w:szCs w:val="20"/>
                <w:color w:val="auto"/>
              </w:rPr>
            </w:pPr>
            <w:r>
              <w:rPr>
                <w:rFonts w:ascii="Calibri" w:cs="Calibri" w:eastAsia="Calibri" w:hAnsi="Calibri"/>
                <w:sz w:val="17"/>
                <w:szCs w:val="17"/>
                <w:color w:val="auto"/>
              </w:rPr>
              <w:t>Selling, general &amp; administratve expenses</w:t>
            </w:r>
          </w:p>
        </w:tc>
        <w:tc>
          <w:tcPr>
            <w:tcW w:w="4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94.9</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86.0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296.0</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248.2</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ind w:left="20"/>
              <w:spacing w:after="0" w:line="203" w:lineRule="exact"/>
              <w:rPr>
                <w:sz w:val="20"/>
                <w:szCs w:val="20"/>
                <w:color w:val="auto"/>
              </w:rPr>
            </w:pPr>
            <w:r>
              <w:rPr>
                <w:rFonts w:ascii="Calibri" w:cs="Calibri" w:eastAsia="Calibri" w:hAnsi="Calibri"/>
                <w:sz w:val="17"/>
                <w:szCs w:val="17"/>
                <w:color w:val="auto"/>
              </w:rPr>
              <w:t>Acquisiton and integraton expenses</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1.8</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alibri" w:cs="Calibri" w:eastAsia="Calibri" w:hAnsi="Calibri"/>
                <w:sz w:val="17"/>
                <w:szCs w:val="17"/>
                <w:color w:val="auto"/>
              </w:rPr>
              <w:t>7.4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alibri" w:cs="Calibri" w:eastAsia="Calibri" w:hAnsi="Calibri"/>
                <w:sz w:val="17"/>
                <w:szCs w:val="17"/>
                <w:color w:val="auto"/>
              </w:rPr>
              <w:t>6.1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alibri" w:cs="Calibri" w:eastAsia="Calibri" w:hAnsi="Calibri"/>
                <w:sz w:val="17"/>
                <w:szCs w:val="17"/>
                <w:color w:val="auto"/>
              </w:rPr>
              <w:t>18.0</w:t>
            </w: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ind w:left="20"/>
              <w:spacing w:after="0" w:line="203" w:lineRule="exact"/>
              <w:rPr>
                <w:sz w:val="20"/>
                <w:szCs w:val="20"/>
                <w:color w:val="auto"/>
              </w:rPr>
            </w:pPr>
            <w:r>
              <w:rPr>
                <w:rFonts w:ascii="Calibri" w:cs="Calibri" w:eastAsia="Calibri" w:hAnsi="Calibri"/>
                <w:sz w:val="17"/>
                <w:szCs w:val="17"/>
                <w:color w:val="auto"/>
              </w:rPr>
              <w:t>Other operatng income, net</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line="203" w:lineRule="exact"/>
              <w:rPr>
                <w:sz w:val="20"/>
                <w:szCs w:val="20"/>
                <w:color w:val="auto"/>
              </w:rPr>
            </w:pPr>
            <w:r>
              <w:rPr>
                <w:rFonts w:ascii="Calibri" w:cs="Calibri" w:eastAsia="Calibri" w:hAnsi="Calibri"/>
                <w:sz w:val="17"/>
                <w:szCs w:val="17"/>
                <w:color w:val="auto"/>
              </w:rPr>
              <w:t>(14.8 )</w:t>
            </w: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line="203" w:lineRule="exact"/>
              <w:rPr>
                <w:sz w:val="20"/>
                <w:szCs w:val="20"/>
                <w:color w:val="auto"/>
              </w:rPr>
            </w:pPr>
            <w:r>
              <w:rPr>
                <w:rFonts w:ascii="Calibri" w:cs="Calibri" w:eastAsia="Calibri" w:hAnsi="Calibri"/>
                <w:sz w:val="17"/>
                <w:szCs w:val="17"/>
                <w:color w:val="auto"/>
              </w:rPr>
              <w:t>(8.4 )</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line="203" w:lineRule="exact"/>
              <w:rPr>
                <w:sz w:val="20"/>
                <w:szCs w:val="20"/>
                <w:color w:val="auto"/>
              </w:rPr>
            </w:pPr>
            <w:r>
              <w:rPr>
                <w:rFonts w:ascii="Calibri" w:cs="Calibri" w:eastAsia="Calibri" w:hAnsi="Calibri"/>
                <w:sz w:val="17"/>
                <w:szCs w:val="17"/>
                <w:color w:val="auto"/>
              </w:rPr>
              <w:t>(177.4 )</w:t>
            </w:r>
          </w:p>
        </w:tc>
        <w:tc>
          <w:tcPr>
            <w:tcW w:w="4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3" w:lineRule="exact"/>
              <w:rPr>
                <w:sz w:val="20"/>
                <w:szCs w:val="20"/>
                <w:color w:val="auto"/>
              </w:rPr>
            </w:pPr>
            <w:r>
              <w:rPr>
                <w:rFonts w:ascii="Calibri" w:cs="Calibri" w:eastAsia="Calibri" w:hAnsi="Calibri"/>
                <w:sz w:val="17"/>
                <w:szCs w:val="17"/>
                <w:color w:val="auto"/>
              </w:rPr>
              <w:t>(28.2 )</w:t>
            </w:r>
          </w:p>
        </w:tc>
      </w:tr>
      <w:tr>
        <w:trPr>
          <w:trHeight w:val="196"/>
        </w:trPr>
        <w:tc>
          <w:tcPr>
            <w:tcW w:w="5440" w:type="dxa"/>
            <w:vAlign w:val="bottom"/>
            <w:tcBorders>
              <w:top w:val="single" w:sz="8" w:color="CFF0FC"/>
            </w:tcBorders>
          </w:tcPr>
          <w:p>
            <w:pPr>
              <w:ind w:left="120"/>
              <w:spacing w:after="0" w:line="196" w:lineRule="exact"/>
              <w:rPr>
                <w:sz w:val="20"/>
                <w:szCs w:val="20"/>
                <w:color w:val="auto"/>
              </w:rPr>
            </w:pPr>
            <w:r>
              <w:rPr>
                <w:rFonts w:ascii="Calibri" w:cs="Calibri" w:eastAsia="Calibri" w:hAnsi="Calibri"/>
                <w:sz w:val="17"/>
                <w:szCs w:val="17"/>
                <w:color w:val="auto"/>
              </w:rPr>
              <w:t>Earnings from Operatons</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405.9</w:t>
            </w:r>
          </w:p>
        </w:tc>
        <w:tc>
          <w:tcPr>
            <w:tcW w:w="28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356.9</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944.4</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763.7</w:t>
            </w:r>
          </w:p>
        </w:tc>
        <w:tc>
          <w:tcPr>
            <w:tcW w:w="100" w:type="dxa"/>
            <w:vAlign w:val="bottom"/>
            <w:tcBorders>
              <w:top w:val="single" w:sz="8" w:color="CFF0FC"/>
            </w:tcBorders>
          </w:tcPr>
          <w:p>
            <w:pPr>
              <w:spacing w:after="0"/>
              <w:rPr>
                <w:sz w:val="17"/>
                <w:szCs w:val="17"/>
                <w:color w:val="auto"/>
              </w:rPr>
            </w:pPr>
          </w:p>
        </w:tc>
      </w:tr>
      <w:tr>
        <w:trPr>
          <w:trHeight w:val="203"/>
        </w:trPr>
        <w:tc>
          <w:tcPr>
            <w:tcW w:w="54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ind w:left="20"/>
              <w:spacing w:after="0" w:line="203" w:lineRule="exact"/>
              <w:rPr>
                <w:sz w:val="20"/>
                <w:szCs w:val="20"/>
                <w:color w:val="auto"/>
              </w:rPr>
            </w:pPr>
            <w:r>
              <w:rPr>
                <w:rFonts w:ascii="Calibri" w:cs="Calibri" w:eastAsia="Calibri" w:hAnsi="Calibri"/>
                <w:sz w:val="17"/>
                <w:szCs w:val="17"/>
                <w:color w:val="auto"/>
              </w:rPr>
              <w:t>Interest expense</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alibri" w:cs="Calibri" w:eastAsia="Calibri" w:hAnsi="Calibri"/>
                <w:sz w:val="17"/>
                <w:szCs w:val="17"/>
                <w:color w:val="auto"/>
              </w:rPr>
              <w:t>42.8</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alibri" w:cs="Calibri" w:eastAsia="Calibri" w:hAnsi="Calibri"/>
                <w:sz w:val="17"/>
                <w:szCs w:val="17"/>
                <w:color w:val="auto"/>
              </w:rPr>
              <w:t>44.3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alibri" w:cs="Calibri" w:eastAsia="Calibri" w:hAnsi="Calibri"/>
                <w:sz w:val="17"/>
                <w:szCs w:val="17"/>
                <w:color w:val="auto"/>
              </w:rPr>
              <w:t>126.4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alibri" w:cs="Calibri" w:eastAsia="Calibri" w:hAnsi="Calibri"/>
                <w:sz w:val="17"/>
                <w:szCs w:val="17"/>
                <w:color w:val="auto"/>
              </w:rPr>
              <w:t>99.9</w:t>
            </w: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ind w:left="20"/>
              <w:spacing w:after="0" w:line="203" w:lineRule="exact"/>
              <w:rPr>
                <w:sz w:val="20"/>
                <w:szCs w:val="20"/>
                <w:color w:val="auto"/>
              </w:rPr>
            </w:pPr>
            <w:r>
              <w:rPr>
                <w:rFonts w:ascii="Calibri" w:cs="Calibri" w:eastAsia="Calibri" w:hAnsi="Calibri"/>
                <w:sz w:val="17"/>
                <w:szCs w:val="17"/>
                <w:color w:val="auto"/>
              </w:rPr>
              <w:t>Other nonoperatng income, net</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0"/>
              <w:spacing w:after="0" w:line="203" w:lineRule="exact"/>
              <w:rPr>
                <w:sz w:val="20"/>
                <w:szCs w:val="20"/>
                <w:color w:val="auto"/>
              </w:rPr>
            </w:pPr>
            <w:r>
              <w:rPr>
                <w:rFonts w:ascii="Calibri" w:cs="Calibri" w:eastAsia="Calibri" w:hAnsi="Calibri"/>
                <w:sz w:val="17"/>
                <w:szCs w:val="17"/>
                <w:color w:val="auto"/>
              </w:rPr>
              <w:t>(7.3 )</w:t>
            </w: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line="203" w:lineRule="exact"/>
              <w:rPr>
                <w:sz w:val="20"/>
                <w:szCs w:val="20"/>
                <w:color w:val="auto"/>
              </w:rPr>
            </w:pPr>
            <w:r>
              <w:rPr>
                <w:rFonts w:ascii="Calibri" w:cs="Calibri" w:eastAsia="Calibri" w:hAnsi="Calibri"/>
                <w:sz w:val="17"/>
                <w:szCs w:val="17"/>
                <w:color w:val="auto"/>
              </w:rPr>
              <w:t>(5.6 )</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line="203" w:lineRule="exact"/>
              <w:rPr>
                <w:sz w:val="20"/>
                <w:szCs w:val="20"/>
                <w:color w:val="auto"/>
              </w:rPr>
            </w:pPr>
            <w:r>
              <w:rPr>
                <w:rFonts w:ascii="Calibri" w:cs="Calibri" w:eastAsia="Calibri" w:hAnsi="Calibri"/>
                <w:sz w:val="17"/>
                <w:szCs w:val="17"/>
                <w:color w:val="auto"/>
              </w:rPr>
              <w:t>(40.1 )</w:t>
            </w:r>
          </w:p>
        </w:tc>
        <w:tc>
          <w:tcPr>
            <w:tcW w:w="4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3" w:lineRule="exact"/>
              <w:rPr>
                <w:sz w:val="20"/>
                <w:szCs w:val="20"/>
                <w:color w:val="auto"/>
              </w:rPr>
            </w:pPr>
            <w:r>
              <w:rPr>
                <w:rFonts w:ascii="Calibri" w:cs="Calibri" w:eastAsia="Calibri" w:hAnsi="Calibri"/>
                <w:sz w:val="17"/>
                <w:szCs w:val="17"/>
                <w:color w:val="auto"/>
              </w:rPr>
              <w:t>(23.8 )</w:t>
            </w:r>
          </w:p>
        </w:tc>
      </w:tr>
      <w:tr>
        <w:trPr>
          <w:trHeight w:val="142"/>
        </w:trPr>
        <w:tc>
          <w:tcPr>
            <w:tcW w:w="5440" w:type="dxa"/>
            <w:vAlign w:val="bottom"/>
            <w:tcBorders>
              <w:top w:val="single" w:sz="8" w:color="CFF0FC"/>
            </w:tcBorders>
          </w:tcPr>
          <w:p>
            <w:pPr>
              <w:ind w:left="120"/>
              <w:spacing w:after="0" w:line="142" w:lineRule="exact"/>
              <w:rPr>
                <w:sz w:val="20"/>
                <w:szCs w:val="20"/>
                <w:color w:val="auto"/>
              </w:rPr>
            </w:pPr>
            <w:r>
              <w:rPr>
                <w:rFonts w:ascii="Calibri" w:cs="Calibri" w:eastAsia="Calibri" w:hAnsi="Calibri"/>
                <w:sz w:val="15"/>
                <w:szCs w:val="15"/>
                <w:color w:val="auto"/>
              </w:rPr>
              <w:t>Earnings from contnuing operatons before income tax</w:t>
            </w: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18"/>
        </w:trPr>
        <w:tc>
          <w:tcPr>
            <w:tcW w:w="5440" w:type="dxa"/>
            <w:vAlign w:val="bottom"/>
          </w:tcPr>
          <w:p>
            <w:pPr>
              <w:ind w:left="240"/>
              <w:spacing w:after="0" w:line="205" w:lineRule="exact"/>
              <w:rPr>
                <w:sz w:val="20"/>
                <w:szCs w:val="20"/>
                <w:color w:val="auto"/>
              </w:rPr>
            </w:pPr>
            <w:r>
              <w:rPr>
                <w:rFonts w:ascii="Calibri" w:cs="Calibri" w:eastAsia="Calibri" w:hAnsi="Calibri"/>
                <w:sz w:val="17"/>
                <w:szCs w:val="17"/>
                <w:color w:val="auto"/>
              </w:rPr>
              <w:t>expense</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Calibri" w:cs="Calibri" w:eastAsia="Calibri" w:hAnsi="Calibri"/>
                <w:sz w:val="17"/>
                <w:szCs w:val="17"/>
                <w:color w:val="auto"/>
              </w:rPr>
              <w:t>370.4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7"/>
                <w:szCs w:val="17"/>
                <w:color w:val="auto"/>
              </w:rPr>
              <w:t>318.2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Calibri" w:cs="Calibri" w:eastAsia="Calibri" w:hAnsi="Calibri"/>
                <w:sz w:val="17"/>
                <w:szCs w:val="17"/>
                <w:color w:val="auto"/>
              </w:rPr>
              <w:t>858.1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Calibri" w:cs="Calibri" w:eastAsia="Calibri" w:hAnsi="Calibri"/>
                <w:sz w:val="17"/>
                <w:szCs w:val="17"/>
                <w:color w:val="auto"/>
              </w:rPr>
              <w:t>687.6</w:t>
            </w:r>
          </w:p>
        </w:tc>
        <w:tc>
          <w:tcPr>
            <w:tcW w:w="100" w:type="dxa"/>
            <w:vAlign w:val="bottom"/>
          </w:tcPr>
          <w:p>
            <w:pPr>
              <w:spacing w:after="0"/>
              <w:rPr>
                <w:sz w:val="18"/>
                <w:szCs w:val="18"/>
                <w:color w:val="auto"/>
              </w:rPr>
            </w:pPr>
          </w:p>
        </w:tc>
      </w:tr>
      <w:tr>
        <w:trPr>
          <w:trHeight w:val="26"/>
        </w:trPr>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440" w:type="dxa"/>
            <w:vAlign w:val="bottom"/>
            <w:tcBorders>
              <w:bottom w:val="single" w:sz="8" w:color="CFF0FC"/>
            </w:tcBorders>
            <w:shd w:val="clear" w:color="auto" w:fill="CFF0FC"/>
          </w:tcPr>
          <w:p>
            <w:pPr>
              <w:ind w:left="20"/>
              <w:spacing w:after="0" w:line="203" w:lineRule="exact"/>
              <w:rPr>
                <w:sz w:val="20"/>
                <w:szCs w:val="20"/>
                <w:color w:val="auto"/>
              </w:rPr>
            </w:pPr>
            <w:r>
              <w:rPr>
                <w:rFonts w:ascii="Calibri" w:cs="Calibri" w:eastAsia="Calibri" w:hAnsi="Calibri"/>
                <w:sz w:val="17"/>
                <w:szCs w:val="17"/>
                <w:color w:val="auto"/>
              </w:rPr>
              <w:t>Income tax expense</w:t>
            </w:r>
          </w:p>
        </w:tc>
        <w:tc>
          <w:tcPr>
            <w:tcW w:w="4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79.2</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63.6</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189.4</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141.7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40" w:type="dxa"/>
            <w:vAlign w:val="bottom"/>
          </w:tcPr>
          <w:p>
            <w:pPr>
              <w:ind w:left="120"/>
              <w:spacing w:after="0" w:line="196" w:lineRule="exact"/>
              <w:rPr>
                <w:sz w:val="20"/>
                <w:szCs w:val="20"/>
                <w:color w:val="auto"/>
              </w:rPr>
            </w:pPr>
            <w:r>
              <w:rPr>
                <w:rFonts w:ascii="Calibri" w:cs="Calibri" w:eastAsia="Calibri" w:hAnsi="Calibri"/>
                <w:sz w:val="17"/>
                <w:szCs w:val="17"/>
                <w:color w:val="auto"/>
              </w:rPr>
              <w:t>Earnings from contnuing operatons</w:t>
            </w:r>
          </w:p>
        </w:tc>
        <w:tc>
          <w:tcPr>
            <w:tcW w:w="4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Calibri" w:cs="Calibri" w:eastAsia="Calibri" w:hAnsi="Calibri"/>
                <w:sz w:val="17"/>
                <w:szCs w:val="17"/>
                <w:color w:val="auto"/>
              </w:rPr>
              <w:t>291.2</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Calibri" w:cs="Calibri" w:eastAsia="Calibri" w:hAnsi="Calibri"/>
                <w:sz w:val="17"/>
                <w:szCs w:val="17"/>
                <w:color w:val="auto"/>
              </w:rPr>
              <w:t>254.6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Calibri" w:cs="Calibri" w:eastAsia="Calibri" w:hAnsi="Calibri"/>
                <w:sz w:val="17"/>
                <w:szCs w:val="17"/>
                <w:color w:val="auto"/>
              </w:rPr>
              <w:t>668.7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Calibri" w:cs="Calibri" w:eastAsia="Calibri" w:hAnsi="Calibri"/>
                <w:sz w:val="17"/>
                <w:szCs w:val="17"/>
                <w:color w:val="auto"/>
              </w:rPr>
              <w:t>545.9</w:t>
            </w:r>
          </w:p>
        </w:tc>
        <w:tc>
          <w:tcPr>
            <w:tcW w:w="100" w:type="dxa"/>
            <w:vAlign w:val="bottom"/>
          </w:tcPr>
          <w:p>
            <w:pPr>
              <w:spacing w:after="0"/>
              <w:rPr>
                <w:sz w:val="17"/>
                <w:szCs w:val="17"/>
                <w:color w:val="auto"/>
              </w:rPr>
            </w:pPr>
          </w:p>
        </w:tc>
      </w:tr>
      <w:tr>
        <w:trPr>
          <w:trHeight w:val="148"/>
        </w:trPr>
        <w:tc>
          <w:tcPr>
            <w:tcW w:w="5440" w:type="dxa"/>
            <w:vAlign w:val="bottom"/>
            <w:shd w:val="clear" w:color="auto" w:fill="CFF0FC"/>
          </w:tcPr>
          <w:p>
            <w:pPr>
              <w:ind w:left="20"/>
              <w:spacing w:after="0" w:line="149" w:lineRule="exact"/>
              <w:rPr>
                <w:sz w:val="20"/>
                <w:szCs w:val="20"/>
                <w:color w:val="auto"/>
              </w:rPr>
            </w:pPr>
            <w:r>
              <w:rPr>
                <w:rFonts w:ascii="Calibri" w:cs="Calibri" w:eastAsia="Calibri" w:hAnsi="Calibri"/>
                <w:sz w:val="16"/>
                <w:szCs w:val="16"/>
                <w:color w:val="auto"/>
              </w:rPr>
              <w:t>Earnings from discontnued operatons, net of income tax</w:t>
            </w: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5"/>
        </w:trPr>
        <w:tc>
          <w:tcPr>
            <w:tcW w:w="5440" w:type="dxa"/>
            <w:vAlign w:val="bottom"/>
            <w:tcBorders>
              <w:bottom w:val="single" w:sz="8" w:color="CFF0FC"/>
            </w:tcBorders>
            <w:shd w:val="clear" w:color="auto" w:fill="CFF0FC"/>
          </w:tcPr>
          <w:p>
            <w:pPr>
              <w:ind w:left="140"/>
              <w:spacing w:after="0" w:line="205" w:lineRule="exact"/>
              <w:rPr>
                <w:sz w:val="20"/>
                <w:szCs w:val="20"/>
                <w:color w:val="auto"/>
              </w:rPr>
            </w:pPr>
            <w:r>
              <w:rPr>
                <w:rFonts w:ascii="Calibri" w:cs="Calibri" w:eastAsia="Calibri" w:hAnsi="Calibri"/>
                <w:sz w:val="17"/>
                <w:szCs w:val="17"/>
                <w:color w:val="auto"/>
              </w:rPr>
              <w:t>expense</w:t>
            </w:r>
          </w:p>
        </w:tc>
        <w:tc>
          <w:tcPr>
            <w:tcW w:w="4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4.1</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26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14.3</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96"/>
        </w:trPr>
        <w:tc>
          <w:tcPr>
            <w:tcW w:w="544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7"/>
                <w:szCs w:val="17"/>
                <w:color w:val="auto"/>
              </w:rPr>
              <w:t>Consolidated net earnings</w:t>
            </w: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295.3</w:t>
            </w:r>
          </w:p>
        </w:tc>
        <w:tc>
          <w:tcPr>
            <w:tcW w:w="28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254.6</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683.0</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545.9</w:t>
            </w:r>
          </w:p>
        </w:tc>
        <w:tc>
          <w:tcPr>
            <w:tcW w:w="100" w:type="dxa"/>
            <w:vAlign w:val="bottom"/>
            <w:tcBorders>
              <w:top w:val="single" w:sz="8" w:color="CFF0FC"/>
            </w:tcBorders>
          </w:tcPr>
          <w:p>
            <w:pPr>
              <w:spacing w:after="0"/>
              <w:rPr>
                <w:sz w:val="17"/>
                <w:szCs w:val="17"/>
                <w:color w:val="auto"/>
              </w:rPr>
            </w:pPr>
          </w:p>
        </w:tc>
      </w:tr>
      <w:tr>
        <w:trPr>
          <w:trHeight w:val="203"/>
        </w:trPr>
        <w:tc>
          <w:tcPr>
            <w:tcW w:w="5440" w:type="dxa"/>
            <w:vAlign w:val="bottom"/>
            <w:shd w:val="clear" w:color="auto" w:fill="CFF0FC"/>
          </w:tcPr>
          <w:p>
            <w:pPr>
              <w:ind w:left="20"/>
              <w:spacing w:after="0" w:line="203" w:lineRule="exact"/>
              <w:rPr>
                <w:sz w:val="20"/>
                <w:szCs w:val="20"/>
                <w:color w:val="auto"/>
              </w:rPr>
            </w:pPr>
            <w:r>
              <w:rPr>
                <w:rFonts w:ascii="Calibri" w:cs="Calibri" w:eastAsia="Calibri" w:hAnsi="Calibri"/>
                <w:sz w:val="17"/>
                <w:szCs w:val="17"/>
                <w:color w:val="auto"/>
              </w:rPr>
              <w:t>Less: Net (loss) earnings atributable to noncontrolling interests</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80"/>
              <w:spacing w:after="0" w:line="203" w:lineRule="exact"/>
              <w:rPr>
                <w:sz w:val="20"/>
                <w:szCs w:val="20"/>
                <w:color w:val="auto"/>
              </w:rPr>
            </w:pPr>
            <w:r>
              <w:rPr>
                <w:rFonts w:ascii="Calibri" w:cs="Calibri" w:eastAsia="Calibri" w:hAnsi="Calibri"/>
                <w:sz w:val="17"/>
                <w:szCs w:val="17"/>
                <w:color w:val="auto"/>
              </w:rPr>
              <w:t>—</w:t>
            </w:r>
          </w:p>
        </w:tc>
        <w:tc>
          <w:tcPr>
            <w:tcW w:w="5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60"/>
              <w:spacing w:after="0" w:line="203" w:lineRule="exact"/>
              <w:rPr>
                <w:sz w:val="20"/>
                <w:szCs w:val="20"/>
                <w:color w:val="auto"/>
              </w:rPr>
            </w:pPr>
            <w:r>
              <w:rPr>
                <w:rFonts w:ascii="Calibri" w:cs="Calibri" w:eastAsia="Calibri" w:hAnsi="Calibri"/>
                <w:sz w:val="17"/>
                <w:szCs w:val="17"/>
                <w:color w:val="auto"/>
              </w:rPr>
              <w:t>—</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line="203" w:lineRule="exact"/>
              <w:rPr>
                <w:sz w:val="20"/>
                <w:szCs w:val="20"/>
                <w:color w:val="auto"/>
              </w:rPr>
            </w:pPr>
            <w:r>
              <w:rPr>
                <w:rFonts w:ascii="Calibri" w:cs="Calibri" w:eastAsia="Calibri" w:hAnsi="Calibri"/>
                <w:sz w:val="17"/>
                <w:szCs w:val="17"/>
                <w:color w:val="auto"/>
              </w:rPr>
              <w:t>(0.2 )</w:t>
            </w: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0.2</w:t>
            </w:r>
          </w:p>
        </w:tc>
        <w:tc>
          <w:tcPr>
            <w:tcW w:w="100" w:type="dxa"/>
            <w:vAlign w:val="bottom"/>
            <w:shd w:val="clear" w:color="auto" w:fill="CFF0FC"/>
          </w:tcPr>
          <w:p>
            <w:pPr>
              <w:spacing w:after="0"/>
              <w:rPr>
                <w:sz w:val="17"/>
                <w:szCs w:val="17"/>
                <w:color w:val="auto"/>
              </w:rPr>
            </w:pPr>
          </w:p>
        </w:tc>
      </w:tr>
      <w:tr>
        <w:trPr>
          <w:trHeight w:val="196"/>
        </w:trPr>
        <w:tc>
          <w:tcPr>
            <w:tcW w:w="544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7"/>
                <w:szCs w:val="17"/>
                <w:color w:val="auto"/>
              </w:rPr>
              <w:t>Net Earnings Atributable to Martn Marieta</w:t>
            </w:r>
          </w:p>
        </w:tc>
        <w:tc>
          <w:tcPr>
            <w:tcW w:w="420" w:type="dxa"/>
            <w:vAlign w:val="bottom"/>
            <w:tcBorders>
              <w:top w:val="single" w:sz="8" w:color="auto"/>
              <w:bottom w:val="single" w:sz="8" w:color="auto"/>
            </w:tcBorders>
          </w:tcPr>
          <w:p>
            <w:pPr>
              <w:jc w:val="right"/>
              <w:ind w:right="235"/>
              <w:spacing w:after="0" w:line="196" w:lineRule="exact"/>
              <w:rPr>
                <w:sz w:val="20"/>
                <w:szCs w:val="20"/>
                <w:color w:val="auto"/>
              </w:rPr>
            </w:pPr>
            <w:r>
              <w:rPr>
                <w:rFonts w:ascii="Calibri" w:cs="Calibri" w:eastAsia="Calibri" w:hAnsi="Calibri"/>
                <w:sz w:val="17"/>
                <w:szCs w:val="17"/>
                <w:color w:val="auto"/>
                <w:w w:val="92"/>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295.3</w:t>
            </w:r>
          </w:p>
        </w:tc>
        <w:tc>
          <w:tcPr>
            <w:tcW w:w="28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254.6</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683.2</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5"/>
              <w:spacing w:after="0" w:line="196" w:lineRule="exact"/>
              <w:rPr>
                <w:sz w:val="20"/>
                <w:szCs w:val="20"/>
                <w:color w:val="auto"/>
              </w:rPr>
            </w:pPr>
            <w:r>
              <w:rPr>
                <w:rFonts w:ascii="Calibri" w:cs="Calibri" w:eastAsia="Calibri" w:hAnsi="Calibri"/>
                <w:sz w:val="17"/>
                <w:szCs w:val="17"/>
                <w:color w:val="auto"/>
                <w:w w:val="92"/>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545.7</w:t>
            </w:r>
          </w:p>
        </w:tc>
        <w:tc>
          <w:tcPr>
            <w:tcW w:w="100" w:type="dxa"/>
            <w:vAlign w:val="bottom"/>
            <w:tcBorders>
              <w:top w:val="single" w:sz="8" w:color="CFF0FC"/>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440" w:type="dxa"/>
            <w:vAlign w:val="bottom"/>
          </w:tcPr>
          <w:p>
            <w:pPr>
              <w:ind w:left="20"/>
              <w:spacing w:after="0" w:line="203" w:lineRule="exact"/>
              <w:rPr>
                <w:sz w:val="20"/>
                <w:szCs w:val="20"/>
                <w:color w:val="auto"/>
              </w:rPr>
            </w:pPr>
            <w:r>
              <w:rPr>
                <w:rFonts w:ascii="Calibri" w:cs="Calibri" w:eastAsia="Calibri" w:hAnsi="Calibri"/>
                <w:sz w:val="17"/>
                <w:szCs w:val="17"/>
                <w:color w:val="auto"/>
              </w:rPr>
              <w:t>Consolidated Comprehensive Earnings (Loss):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ind w:left="120"/>
              <w:spacing w:after="0" w:line="203" w:lineRule="exact"/>
              <w:rPr>
                <w:sz w:val="20"/>
                <w:szCs w:val="20"/>
                <w:color w:val="auto"/>
              </w:rPr>
            </w:pPr>
            <w:r>
              <w:rPr>
                <w:rFonts w:ascii="Calibri" w:cs="Calibri" w:eastAsia="Calibri" w:hAnsi="Calibri"/>
                <w:sz w:val="17"/>
                <w:szCs w:val="17"/>
                <w:color w:val="auto"/>
              </w:rPr>
              <w:t>Earnings atributable to Martn Marieta</w:t>
            </w:r>
          </w:p>
        </w:tc>
        <w:tc>
          <w:tcPr>
            <w:tcW w:w="420" w:type="dxa"/>
            <w:vAlign w:val="bottom"/>
            <w:shd w:val="clear" w:color="auto" w:fill="CFF0FC"/>
          </w:tcPr>
          <w:p>
            <w:pPr>
              <w:jc w:val="right"/>
              <w:ind w:right="235"/>
              <w:spacing w:after="0" w:line="203" w:lineRule="exact"/>
              <w:rPr>
                <w:sz w:val="20"/>
                <w:szCs w:val="20"/>
                <w:color w:val="auto"/>
              </w:rPr>
            </w:pPr>
            <w:r>
              <w:rPr>
                <w:rFonts w:ascii="Calibri" w:cs="Calibri" w:eastAsia="Calibri" w:hAnsi="Calibri"/>
                <w:sz w:val="17"/>
                <w:szCs w:val="17"/>
                <w:color w:val="auto"/>
                <w:w w:val="92"/>
              </w:rPr>
              <w:t>$</w:t>
            </w:r>
          </w:p>
        </w:tc>
        <w:tc>
          <w:tcPr>
            <w:tcW w:w="74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298.3</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5"/>
              <w:spacing w:after="0" w:line="203" w:lineRule="exact"/>
              <w:rPr>
                <w:sz w:val="20"/>
                <w:szCs w:val="20"/>
                <w:color w:val="auto"/>
              </w:rPr>
            </w:pPr>
            <w:r>
              <w:rPr>
                <w:rFonts w:ascii="Calibri" w:cs="Calibri" w:eastAsia="Calibri" w:hAnsi="Calibri"/>
                <w:sz w:val="17"/>
                <w:szCs w:val="17"/>
                <w:color w:val="auto"/>
                <w:w w:val="92"/>
              </w:rPr>
              <w:t>$</w:t>
            </w:r>
          </w:p>
        </w:tc>
        <w:tc>
          <w:tcPr>
            <w:tcW w:w="80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256.2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line="203" w:lineRule="exact"/>
              <w:rPr>
                <w:sz w:val="20"/>
                <w:szCs w:val="20"/>
                <w:color w:val="auto"/>
              </w:rPr>
            </w:pPr>
            <w:r>
              <w:rPr>
                <w:rFonts w:ascii="Calibri" w:cs="Calibri" w:eastAsia="Calibri" w:hAnsi="Calibri"/>
                <w:sz w:val="17"/>
                <w:szCs w:val="17"/>
                <w:color w:val="auto"/>
                <w:w w:val="92"/>
              </w:rPr>
              <w:t>$</w:t>
            </w:r>
          </w:p>
        </w:tc>
        <w:tc>
          <w:tcPr>
            <w:tcW w:w="80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655.7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5"/>
              <w:spacing w:after="0" w:line="203" w:lineRule="exact"/>
              <w:rPr>
                <w:sz w:val="20"/>
                <w:szCs w:val="20"/>
                <w:color w:val="auto"/>
              </w:rPr>
            </w:pPr>
            <w:r>
              <w:rPr>
                <w:rFonts w:ascii="Calibri" w:cs="Calibri" w:eastAsia="Calibri" w:hAnsi="Calibri"/>
                <w:sz w:val="17"/>
                <w:szCs w:val="17"/>
                <w:color w:val="auto"/>
                <w:w w:val="92"/>
              </w:rPr>
              <w:t>$</w:t>
            </w:r>
          </w:p>
        </w:tc>
        <w:tc>
          <w:tcPr>
            <w:tcW w:w="880" w:type="dxa"/>
            <w:vAlign w:val="bottom"/>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552.7</w:t>
            </w:r>
          </w:p>
        </w:tc>
        <w:tc>
          <w:tcPr>
            <w:tcW w:w="100" w:type="dxa"/>
            <w:vAlign w:val="bottom"/>
            <w:shd w:val="clear" w:color="auto" w:fill="CFF0FC"/>
          </w:tcPr>
          <w:p>
            <w:pPr>
              <w:spacing w:after="0"/>
              <w:rPr>
                <w:sz w:val="17"/>
                <w:szCs w:val="17"/>
                <w:color w:val="auto"/>
              </w:rPr>
            </w:pPr>
          </w:p>
        </w:tc>
      </w:tr>
      <w:tr>
        <w:trPr>
          <w:trHeight w:val="202"/>
        </w:trPr>
        <w:tc>
          <w:tcPr>
            <w:tcW w:w="5440" w:type="dxa"/>
            <w:vAlign w:val="bottom"/>
          </w:tcPr>
          <w:p>
            <w:pPr>
              <w:ind w:left="120"/>
              <w:spacing w:after="0" w:line="203" w:lineRule="exact"/>
              <w:rPr>
                <w:sz w:val="20"/>
                <w:szCs w:val="20"/>
                <w:color w:val="auto"/>
              </w:rPr>
            </w:pPr>
            <w:r>
              <w:rPr>
                <w:rFonts w:ascii="Calibri" w:cs="Calibri" w:eastAsia="Calibri" w:hAnsi="Calibri"/>
                <w:sz w:val="17"/>
                <w:szCs w:val="17"/>
                <w:color w:val="auto"/>
              </w:rPr>
              <w:t>(Loss) Earnings atributable to noncontrolling interests</w:t>
            </w:r>
          </w:p>
        </w:tc>
        <w:tc>
          <w:tcPr>
            <w:tcW w:w="420" w:type="dxa"/>
            <w:vAlign w:val="bottom"/>
          </w:tcPr>
          <w:p>
            <w:pPr>
              <w:spacing w:after="0"/>
              <w:rPr>
                <w:sz w:val="17"/>
                <w:szCs w:val="17"/>
                <w:color w:val="auto"/>
              </w:rPr>
            </w:pPr>
          </w:p>
        </w:tc>
        <w:tc>
          <w:tcPr>
            <w:tcW w:w="1020" w:type="dxa"/>
            <w:vAlign w:val="bottom"/>
            <w:gridSpan w:val="2"/>
          </w:tcPr>
          <w:p>
            <w:pPr>
              <w:jc w:val="right"/>
              <w:ind w:right="280"/>
              <w:spacing w:after="0" w:line="203" w:lineRule="exact"/>
              <w:rPr>
                <w:sz w:val="20"/>
                <w:szCs w:val="20"/>
                <w:color w:val="auto"/>
              </w:rPr>
            </w:pPr>
            <w:r>
              <w:rPr>
                <w:rFonts w:ascii="Calibri" w:cs="Calibri" w:eastAsia="Calibri" w:hAnsi="Calibri"/>
                <w:sz w:val="17"/>
                <w:szCs w:val="17"/>
                <w:color w:val="auto"/>
              </w:rPr>
              <w:t>—</w:t>
            </w:r>
          </w:p>
        </w:tc>
        <w:tc>
          <w:tcPr>
            <w:tcW w:w="500" w:type="dxa"/>
            <w:vAlign w:val="bottom"/>
          </w:tcPr>
          <w:p>
            <w:pPr>
              <w:spacing w:after="0"/>
              <w:rPr>
                <w:sz w:val="17"/>
                <w:szCs w:val="17"/>
                <w:color w:val="auto"/>
              </w:rPr>
            </w:pPr>
          </w:p>
        </w:tc>
        <w:tc>
          <w:tcPr>
            <w:tcW w:w="1060" w:type="dxa"/>
            <w:vAlign w:val="bottom"/>
            <w:gridSpan w:val="2"/>
          </w:tcPr>
          <w:p>
            <w:pPr>
              <w:jc w:val="right"/>
              <w:ind w:right="260"/>
              <w:spacing w:after="0" w:line="203" w:lineRule="exact"/>
              <w:rPr>
                <w:sz w:val="20"/>
                <w:szCs w:val="20"/>
                <w:color w:val="auto"/>
              </w:rPr>
            </w:pPr>
            <w:r>
              <w:rPr>
                <w:rFonts w:ascii="Calibri" w:cs="Calibri" w:eastAsia="Calibri" w:hAnsi="Calibri"/>
                <w:sz w:val="17"/>
                <w:szCs w:val="17"/>
                <w:color w:val="auto"/>
              </w:rPr>
              <w:t>—</w:t>
            </w:r>
          </w:p>
        </w:tc>
        <w:tc>
          <w:tcPr>
            <w:tcW w:w="34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Calibri" w:cs="Calibri" w:eastAsia="Calibri" w:hAnsi="Calibri"/>
                <w:sz w:val="17"/>
                <w:szCs w:val="17"/>
                <w:color w:val="auto"/>
              </w:rPr>
              <w:t>(0.2 )</w:t>
            </w:r>
          </w:p>
        </w:tc>
        <w:tc>
          <w:tcPr>
            <w:tcW w:w="4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alibri" w:cs="Calibri" w:eastAsia="Calibri" w:hAnsi="Calibri"/>
                <w:sz w:val="17"/>
                <w:szCs w:val="17"/>
                <w:color w:val="auto"/>
              </w:rPr>
              <w:t>0.2</w:t>
            </w:r>
          </w:p>
        </w:tc>
        <w:tc>
          <w:tcPr>
            <w:tcW w:w="10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5"/>
              <w:spacing w:after="0" w:line="196" w:lineRule="exact"/>
              <w:rPr>
                <w:sz w:val="20"/>
                <w:szCs w:val="20"/>
                <w:color w:val="auto"/>
              </w:rPr>
            </w:pPr>
            <w:r>
              <w:rPr>
                <w:rFonts w:ascii="Calibri" w:cs="Calibri" w:eastAsia="Calibri" w:hAnsi="Calibri"/>
                <w:sz w:val="17"/>
                <w:szCs w:val="17"/>
                <w:color w:val="auto"/>
                <w:w w:val="92"/>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298.3</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256.2</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655.5</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5"/>
              <w:spacing w:after="0" w:line="196" w:lineRule="exact"/>
              <w:rPr>
                <w:sz w:val="20"/>
                <w:szCs w:val="20"/>
                <w:color w:val="auto"/>
              </w:rPr>
            </w:pPr>
            <w:r>
              <w:rPr>
                <w:rFonts w:ascii="Calibri" w:cs="Calibri" w:eastAsia="Calibri" w:hAnsi="Calibri"/>
                <w:sz w:val="17"/>
                <w:szCs w:val="17"/>
                <w:color w:val="auto"/>
                <w:w w:val="92"/>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Calibri" w:cs="Calibri" w:eastAsia="Calibri" w:hAnsi="Calibri"/>
                <w:sz w:val="17"/>
                <w:szCs w:val="17"/>
                <w:color w:val="auto"/>
              </w:rPr>
              <w:t>552.9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440" w:type="dxa"/>
            <w:vAlign w:val="bottom"/>
          </w:tcPr>
          <w:p>
            <w:pPr>
              <w:ind w:left="20"/>
              <w:spacing w:after="0" w:line="183" w:lineRule="exact"/>
              <w:rPr>
                <w:sz w:val="20"/>
                <w:szCs w:val="20"/>
                <w:color w:val="auto"/>
              </w:rPr>
            </w:pPr>
            <w:r>
              <w:rPr>
                <w:rFonts w:ascii="Calibri" w:cs="Calibri" w:eastAsia="Calibri" w:hAnsi="Calibri"/>
                <w:sz w:val="17"/>
                <w:szCs w:val="17"/>
                <w:color w:val="auto"/>
              </w:rPr>
              <w:t>Net Earnings Atributable to Martn Marieta</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40" w:type="dxa"/>
            <w:vAlign w:val="bottom"/>
            <w:shd w:val="clear" w:color="auto" w:fill="CFF0FC"/>
          </w:tcPr>
          <w:p>
            <w:pPr>
              <w:ind w:left="120"/>
              <w:spacing w:after="0" w:line="203" w:lineRule="exact"/>
              <w:rPr>
                <w:sz w:val="20"/>
                <w:szCs w:val="20"/>
                <w:color w:val="auto"/>
              </w:rPr>
            </w:pPr>
            <w:r>
              <w:rPr>
                <w:rFonts w:ascii="Calibri" w:cs="Calibri" w:eastAsia="Calibri" w:hAnsi="Calibri"/>
                <w:sz w:val="17"/>
                <w:szCs w:val="17"/>
                <w:color w:val="auto"/>
              </w:rPr>
              <w:t>Per Common Share:</w:t>
            </w:r>
          </w:p>
        </w:tc>
        <w:tc>
          <w:tcPr>
            <w:tcW w:w="4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48"/>
        </w:trPr>
        <w:tc>
          <w:tcPr>
            <w:tcW w:w="5440" w:type="dxa"/>
            <w:vAlign w:val="bottom"/>
          </w:tcPr>
          <w:p>
            <w:pPr>
              <w:ind w:left="300"/>
              <w:spacing w:after="0" w:line="149" w:lineRule="exact"/>
              <w:rPr>
                <w:sz w:val="20"/>
                <w:szCs w:val="20"/>
                <w:color w:val="auto"/>
              </w:rPr>
            </w:pPr>
            <w:r>
              <w:rPr>
                <w:rFonts w:ascii="Calibri" w:cs="Calibri" w:eastAsia="Calibri" w:hAnsi="Calibri"/>
                <w:sz w:val="16"/>
                <w:szCs w:val="16"/>
                <w:color w:val="auto"/>
              </w:rPr>
              <w:t>Basic from contnuing operatons atributable to common</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8"/>
        </w:trPr>
        <w:tc>
          <w:tcPr>
            <w:tcW w:w="5440" w:type="dxa"/>
            <w:vAlign w:val="bottom"/>
          </w:tcPr>
          <w:p>
            <w:pPr>
              <w:ind w:left="420"/>
              <w:spacing w:after="0" w:line="205" w:lineRule="exact"/>
              <w:rPr>
                <w:sz w:val="20"/>
                <w:szCs w:val="20"/>
                <w:color w:val="auto"/>
              </w:rPr>
            </w:pPr>
            <w:r>
              <w:rPr>
                <w:rFonts w:ascii="Calibri" w:cs="Calibri" w:eastAsia="Calibri" w:hAnsi="Calibri"/>
                <w:sz w:val="17"/>
                <w:szCs w:val="17"/>
                <w:color w:val="auto"/>
              </w:rPr>
              <w:t>shareholders</w:t>
            </w:r>
          </w:p>
        </w:tc>
        <w:tc>
          <w:tcPr>
            <w:tcW w:w="420" w:type="dxa"/>
            <w:vAlign w:val="bottom"/>
          </w:tcPr>
          <w:p>
            <w:pPr>
              <w:jc w:val="right"/>
              <w:ind w:right="235"/>
              <w:spacing w:after="0"/>
              <w:rPr>
                <w:sz w:val="20"/>
                <w:szCs w:val="20"/>
                <w:color w:val="auto"/>
              </w:rPr>
            </w:pPr>
            <w:r>
              <w:rPr>
                <w:rFonts w:ascii="Calibri" w:cs="Calibri" w:eastAsia="Calibri" w:hAnsi="Calibri"/>
                <w:sz w:val="17"/>
                <w:szCs w:val="17"/>
                <w:color w:val="auto"/>
                <w:w w:val="92"/>
              </w:rPr>
              <w:t>$</w:t>
            </w:r>
          </w:p>
        </w:tc>
        <w:tc>
          <w:tcPr>
            <w:tcW w:w="740" w:type="dxa"/>
            <w:vAlign w:val="bottom"/>
          </w:tcPr>
          <w:p>
            <w:pPr>
              <w:jc w:val="right"/>
              <w:spacing w:after="0"/>
              <w:rPr>
                <w:sz w:val="20"/>
                <w:szCs w:val="20"/>
                <w:color w:val="auto"/>
              </w:rPr>
            </w:pPr>
            <w:r>
              <w:rPr>
                <w:rFonts w:ascii="Calibri" w:cs="Calibri" w:eastAsia="Calibri" w:hAnsi="Calibri"/>
                <w:sz w:val="17"/>
                <w:szCs w:val="17"/>
                <w:color w:val="auto"/>
              </w:rPr>
              <w:t>4.67</w:t>
            </w:r>
          </w:p>
        </w:tc>
        <w:tc>
          <w:tcPr>
            <w:tcW w:w="280" w:type="dxa"/>
            <w:vAlign w:val="bottom"/>
          </w:tcPr>
          <w:p>
            <w:pPr>
              <w:spacing w:after="0"/>
              <w:rPr>
                <w:sz w:val="18"/>
                <w:szCs w:val="18"/>
                <w:color w:val="auto"/>
              </w:rPr>
            </w:pPr>
          </w:p>
        </w:tc>
        <w:tc>
          <w:tcPr>
            <w:tcW w:w="500" w:type="dxa"/>
            <w:vAlign w:val="bottom"/>
          </w:tcPr>
          <w:p>
            <w:pPr>
              <w:jc w:val="right"/>
              <w:ind w:right="315"/>
              <w:spacing w:after="0"/>
              <w:rPr>
                <w:sz w:val="20"/>
                <w:szCs w:val="20"/>
                <w:color w:val="auto"/>
              </w:rPr>
            </w:pPr>
            <w:r>
              <w:rPr>
                <w:rFonts w:ascii="Calibri" w:cs="Calibri" w:eastAsia="Calibri" w:hAnsi="Calibri"/>
                <w:sz w:val="17"/>
                <w:szCs w:val="17"/>
                <w:color w:val="auto"/>
                <w:w w:val="92"/>
              </w:rPr>
              <w:t>$</w:t>
            </w:r>
          </w:p>
        </w:tc>
        <w:tc>
          <w:tcPr>
            <w:tcW w:w="800" w:type="dxa"/>
            <w:vAlign w:val="bottom"/>
          </w:tcPr>
          <w:p>
            <w:pPr>
              <w:jc w:val="right"/>
              <w:spacing w:after="0"/>
              <w:rPr>
                <w:sz w:val="20"/>
                <w:szCs w:val="20"/>
                <w:color w:val="auto"/>
              </w:rPr>
            </w:pPr>
            <w:r>
              <w:rPr>
                <w:rFonts w:ascii="Calibri" w:cs="Calibri" w:eastAsia="Calibri" w:hAnsi="Calibri"/>
                <w:sz w:val="17"/>
                <w:szCs w:val="17"/>
                <w:color w:val="auto"/>
              </w:rPr>
              <w:t>4.08</w:t>
            </w:r>
          </w:p>
        </w:tc>
        <w:tc>
          <w:tcPr>
            <w:tcW w:w="26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Calibri" w:cs="Calibri" w:eastAsia="Calibri" w:hAnsi="Calibri"/>
                <w:sz w:val="17"/>
                <w:szCs w:val="17"/>
                <w:color w:val="auto"/>
                <w:w w:val="92"/>
              </w:rPr>
              <w:t>$</w:t>
            </w:r>
          </w:p>
        </w:tc>
        <w:tc>
          <w:tcPr>
            <w:tcW w:w="800" w:type="dxa"/>
            <w:vAlign w:val="bottom"/>
          </w:tcPr>
          <w:p>
            <w:pPr>
              <w:jc w:val="right"/>
              <w:spacing w:after="0"/>
              <w:rPr>
                <w:sz w:val="20"/>
                <w:szCs w:val="20"/>
                <w:color w:val="auto"/>
              </w:rPr>
            </w:pPr>
            <w:r>
              <w:rPr>
                <w:rFonts w:ascii="Calibri" w:cs="Calibri" w:eastAsia="Calibri" w:hAnsi="Calibri"/>
                <w:sz w:val="17"/>
                <w:szCs w:val="17"/>
                <w:color w:val="auto"/>
              </w:rPr>
              <w:t>10.73</w:t>
            </w:r>
          </w:p>
        </w:tc>
        <w:tc>
          <w:tcPr>
            <w:tcW w:w="24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rPr>
                <w:sz w:val="20"/>
                <w:szCs w:val="20"/>
                <w:color w:val="auto"/>
              </w:rPr>
            </w:pPr>
            <w:r>
              <w:rPr>
                <w:rFonts w:ascii="Calibri" w:cs="Calibri" w:eastAsia="Calibri" w:hAnsi="Calibri"/>
                <w:sz w:val="17"/>
                <w:szCs w:val="17"/>
                <w:color w:val="auto"/>
              </w:rPr>
              <w:t>8.74</w:t>
            </w:r>
          </w:p>
        </w:tc>
        <w:tc>
          <w:tcPr>
            <w:tcW w:w="100" w:type="dxa"/>
            <w:vAlign w:val="bottom"/>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440" w:type="dxa"/>
            <w:vAlign w:val="bottom"/>
            <w:shd w:val="clear" w:color="auto" w:fill="CFF0FC"/>
          </w:tcPr>
          <w:p>
            <w:pPr>
              <w:ind w:left="300"/>
              <w:spacing w:after="0" w:line="149" w:lineRule="exact"/>
              <w:rPr>
                <w:sz w:val="20"/>
                <w:szCs w:val="20"/>
                <w:color w:val="auto"/>
              </w:rPr>
            </w:pPr>
            <w:r>
              <w:rPr>
                <w:rFonts w:ascii="Calibri" w:cs="Calibri" w:eastAsia="Calibri" w:hAnsi="Calibri"/>
                <w:sz w:val="16"/>
                <w:szCs w:val="16"/>
                <w:color w:val="auto"/>
              </w:rPr>
              <w:t>Basic from discontnued operatons atributable to</w:t>
            </w: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5"/>
        </w:trPr>
        <w:tc>
          <w:tcPr>
            <w:tcW w:w="544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common shareholders</w:t>
            </w:r>
          </w:p>
        </w:tc>
        <w:tc>
          <w:tcPr>
            <w:tcW w:w="4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0.07</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26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0.23</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96"/>
        </w:trPr>
        <w:tc>
          <w:tcPr>
            <w:tcW w:w="54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5"/>
              <w:spacing w:after="0" w:line="196" w:lineRule="exact"/>
              <w:rPr>
                <w:sz w:val="20"/>
                <w:szCs w:val="20"/>
                <w:color w:val="auto"/>
              </w:rPr>
            </w:pPr>
            <w:r>
              <w:rPr>
                <w:rFonts w:ascii="Calibri" w:cs="Calibri" w:eastAsia="Calibri" w:hAnsi="Calibri"/>
                <w:sz w:val="17"/>
                <w:szCs w:val="17"/>
                <w:color w:val="auto"/>
                <w:w w:val="92"/>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4.74</w:t>
            </w:r>
          </w:p>
        </w:tc>
        <w:tc>
          <w:tcPr>
            <w:tcW w:w="28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4.08</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10.96</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5"/>
              <w:spacing w:after="0" w:line="196" w:lineRule="exact"/>
              <w:rPr>
                <w:sz w:val="20"/>
                <w:szCs w:val="20"/>
                <w:color w:val="auto"/>
              </w:rPr>
            </w:pPr>
            <w:r>
              <w:rPr>
                <w:rFonts w:ascii="Calibri" w:cs="Calibri" w:eastAsia="Calibri" w:hAnsi="Calibri"/>
                <w:sz w:val="17"/>
                <w:szCs w:val="17"/>
                <w:color w:val="auto"/>
                <w:w w:val="92"/>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8.74</w:t>
            </w:r>
          </w:p>
        </w:tc>
        <w:tc>
          <w:tcPr>
            <w:tcW w:w="100" w:type="dxa"/>
            <w:vAlign w:val="bottom"/>
            <w:tcBorders>
              <w:top w:val="single" w:sz="8" w:color="CFF0FC"/>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8"/>
        </w:trPr>
        <w:tc>
          <w:tcPr>
            <w:tcW w:w="5440" w:type="dxa"/>
            <w:vAlign w:val="bottom"/>
          </w:tcPr>
          <w:p>
            <w:pPr>
              <w:ind w:left="300"/>
              <w:spacing w:after="0" w:line="149" w:lineRule="exact"/>
              <w:rPr>
                <w:sz w:val="20"/>
                <w:szCs w:val="20"/>
                <w:color w:val="auto"/>
              </w:rPr>
            </w:pPr>
            <w:r>
              <w:rPr>
                <w:rFonts w:ascii="Calibri" w:cs="Calibri" w:eastAsia="Calibri" w:hAnsi="Calibri"/>
                <w:sz w:val="16"/>
                <w:szCs w:val="16"/>
                <w:color w:val="auto"/>
              </w:rPr>
              <w:t>Diluted from contnuing operatons atributable to common</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8"/>
        </w:trPr>
        <w:tc>
          <w:tcPr>
            <w:tcW w:w="5440" w:type="dxa"/>
            <w:vAlign w:val="bottom"/>
          </w:tcPr>
          <w:p>
            <w:pPr>
              <w:ind w:left="420"/>
              <w:spacing w:after="0" w:line="205" w:lineRule="exact"/>
              <w:rPr>
                <w:sz w:val="20"/>
                <w:szCs w:val="20"/>
                <w:color w:val="auto"/>
              </w:rPr>
            </w:pPr>
            <w:r>
              <w:rPr>
                <w:rFonts w:ascii="Calibri" w:cs="Calibri" w:eastAsia="Calibri" w:hAnsi="Calibri"/>
                <w:sz w:val="17"/>
                <w:szCs w:val="17"/>
                <w:color w:val="auto"/>
              </w:rPr>
              <w:t>shareholders</w:t>
            </w:r>
          </w:p>
        </w:tc>
        <w:tc>
          <w:tcPr>
            <w:tcW w:w="420" w:type="dxa"/>
            <w:vAlign w:val="bottom"/>
          </w:tcPr>
          <w:p>
            <w:pPr>
              <w:jc w:val="right"/>
              <w:ind w:right="235"/>
              <w:spacing w:after="0"/>
              <w:rPr>
                <w:sz w:val="20"/>
                <w:szCs w:val="20"/>
                <w:color w:val="auto"/>
              </w:rPr>
            </w:pPr>
            <w:r>
              <w:rPr>
                <w:rFonts w:ascii="Calibri" w:cs="Calibri" w:eastAsia="Calibri" w:hAnsi="Calibri"/>
                <w:sz w:val="17"/>
                <w:szCs w:val="17"/>
                <w:color w:val="auto"/>
                <w:w w:val="92"/>
              </w:rPr>
              <w:t>$</w:t>
            </w:r>
          </w:p>
        </w:tc>
        <w:tc>
          <w:tcPr>
            <w:tcW w:w="740" w:type="dxa"/>
            <w:vAlign w:val="bottom"/>
          </w:tcPr>
          <w:p>
            <w:pPr>
              <w:jc w:val="right"/>
              <w:spacing w:after="0"/>
              <w:rPr>
                <w:sz w:val="20"/>
                <w:szCs w:val="20"/>
                <w:color w:val="auto"/>
              </w:rPr>
            </w:pPr>
            <w:r>
              <w:rPr>
                <w:rFonts w:ascii="Calibri" w:cs="Calibri" w:eastAsia="Calibri" w:hAnsi="Calibri"/>
                <w:sz w:val="17"/>
                <w:szCs w:val="17"/>
                <w:color w:val="auto"/>
              </w:rPr>
              <w:t>4.67</w:t>
            </w:r>
          </w:p>
        </w:tc>
        <w:tc>
          <w:tcPr>
            <w:tcW w:w="280" w:type="dxa"/>
            <w:vAlign w:val="bottom"/>
          </w:tcPr>
          <w:p>
            <w:pPr>
              <w:spacing w:after="0"/>
              <w:rPr>
                <w:sz w:val="18"/>
                <w:szCs w:val="18"/>
                <w:color w:val="auto"/>
              </w:rPr>
            </w:pPr>
          </w:p>
        </w:tc>
        <w:tc>
          <w:tcPr>
            <w:tcW w:w="500" w:type="dxa"/>
            <w:vAlign w:val="bottom"/>
          </w:tcPr>
          <w:p>
            <w:pPr>
              <w:jc w:val="right"/>
              <w:ind w:right="315"/>
              <w:spacing w:after="0"/>
              <w:rPr>
                <w:sz w:val="20"/>
                <w:szCs w:val="20"/>
                <w:color w:val="auto"/>
              </w:rPr>
            </w:pPr>
            <w:r>
              <w:rPr>
                <w:rFonts w:ascii="Calibri" w:cs="Calibri" w:eastAsia="Calibri" w:hAnsi="Calibri"/>
                <w:sz w:val="17"/>
                <w:szCs w:val="17"/>
                <w:color w:val="auto"/>
                <w:w w:val="92"/>
              </w:rPr>
              <w:t>$</w:t>
            </w:r>
          </w:p>
        </w:tc>
        <w:tc>
          <w:tcPr>
            <w:tcW w:w="800" w:type="dxa"/>
            <w:vAlign w:val="bottom"/>
          </w:tcPr>
          <w:p>
            <w:pPr>
              <w:jc w:val="right"/>
              <w:spacing w:after="0"/>
              <w:rPr>
                <w:sz w:val="20"/>
                <w:szCs w:val="20"/>
                <w:color w:val="auto"/>
              </w:rPr>
            </w:pPr>
            <w:r>
              <w:rPr>
                <w:rFonts w:ascii="Calibri" w:cs="Calibri" w:eastAsia="Calibri" w:hAnsi="Calibri"/>
                <w:sz w:val="17"/>
                <w:szCs w:val="17"/>
                <w:color w:val="auto"/>
              </w:rPr>
              <w:t>4.07</w:t>
            </w:r>
          </w:p>
        </w:tc>
        <w:tc>
          <w:tcPr>
            <w:tcW w:w="26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Calibri" w:cs="Calibri" w:eastAsia="Calibri" w:hAnsi="Calibri"/>
                <w:sz w:val="17"/>
                <w:szCs w:val="17"/>
                <w:color w:val="auto"/>
                <w:w w:val="92"/>
              </w:rPr>
              <w:t>$</w:t>
            </w:r>
          </w:p>
        </w:tc>
        <w:tc>
          <w:tcPr>
            <w:tcW w:w="800" w:type="dxa"/>
            <w:vAlign w:val="bottom"/>
          </w:tcPr>
          <w:p>
            <w:pPr>
              <w:jc w:val="right"/>
              <w:spacing w:after="0"/>
              <w:rPr>
                <w:sz w:val="20"/>
                <w:szCs w:val="20"/>
                <w:color w:val="auto"/>
              </w:rPr>
            </w:pPr>
            <w:r>
              <w:rPr>
                <w:rFonts w:ascii="Calibri" w:cs="Calibri" w:eastAsia="Calibri" w:hAnsi="Calibri"/>
                <w:sz w:val="17"/>
                <w:szCs w:val="17"/>
                <w:color w:val="auto"/>
              </w:rPr>
              <w:t>10.69</w:t>
            </w:r>
          </w:p>
        </w:tc>
        <w:tc>
          <w:tcPr>
            <w:tcW w:w="24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Calibri" w:cs="Calibri" w:eastAsia="Calibri" w:hAnsi="Calibri"/>
                <w:sz w:val="17"/>
                <w:szCs w:val="17"/>
                <w:color w:val="auto"/>
                <w:w w:val="92"/>
              </w:rPr>
              <w:t>$</w:t>
            </w:r>
          </w:p>
        </w:tc>
        <w:tc>
          <w:tcPr>
            <w:tcW w:w="880" w:type="dxa"/>
            <w:vAlign w:val="bottom"/>
          </w:tcPr>
          <w:p>
            <w:pPr>
              <w:jc w:val="right"/>
              <w:spacing w:after="0"/>
              <w:rPr>
                <w:sz w:val="20"/>
                <w:szCs w:val="20"/>
                <w:color w:val="auto"/>
              </w:rPr>
            </w:pPr>
            <w:r>
              <w:rPr>
                <w:rFonts w:ascii="Calibri" w:cs="Calibri" w:eastAsia="Calibri" w:hAnsi="Calibri"/>
                <w:sz w:val="17"/>
                <w:szCs w:val="17"/>
                <w:color w:val="auto"/>
              </w:rPr>
              <w:t>8.72</w:t>
            </w:r>
          </w:p>
        </w:tc>
        <w:tc>
          <w:tcPr>
            <w:tcW w:w="100" w:type="dxa"/>
            <w:vAlign w:val="bottom"/>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440" w:type="dxa"/>
            <w:vAlign w:val="bottom"/>
            <w:shd w:val="clear" w:color="auto" w:fill="CFF0FC"/>
          </w:tcPr>
          <w:p>
            <w:pPr>
              <w:ind w:left="300"/>
              <w:spacing w:after="0" w:line="149" w:lineRule="exact"/>
              <w:rPr>
                <w:sz w:val="20"/>
                <w:szCs w:val="20"/>
                <w:color w:val="auto"/>
              </w:rPr>
            </w:pPr>
            <w:r>
              <w:rPr>
                <w:rFonts w:ascii="Calibri" w:cs="Calibri" w:eastAsia="Calibri" w:hAnsi="Calibri"/>
                <w:sz w:val="16"/>
                <w:szCs w:val="16"/>
                <w:color w:val="auto"/>
              </w:rPr>
              <w:t>Diluted from discontnued operatons atributable to</w:t>
            </w:r>
          </w:p>
        </w:tc>
        <w:tc>
          <w:tcPr>
            <w:tcW w:w="4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35"/>
        </w:trPr>
        <w:tc>
          <w:tcPr>
            <w:tcW w:w="5440" w:type="dxa"/>
            <w:vAlign w:val="bottom"/>
            <w:tcBorders>
              <w:bottom w:val="single" w:sz="8" w:color="CFF0FC"/>
            </w:tcBorders>
            <w:shd w:val="clear" w:color="auto" w:fill="CFF0FC"/>
          </w:tcPr>
          <w:p>
            <w:pPr>
              <w:ind w:left="420"/>
              <w:spacing w:after="0" w:line="205" w:lineRule="exact"/>
              <w:rPr>
                <w:sz w:val="20"/>
                <w:szCs w:val="20"/>
                <w:color w:val="auto"/>
              </w:rPr>
            </w:pPr>
            <w:r>
              <w:rPr>
                <w:rFonts w:ascii="Calibri" w:cs="Calibri" w:eastAsia="Calibri" w:hAnsi="Calibri"/>
                <w:sz w:val="17"/>
                <w:szCs w:val="17"/>
                <w:color w:val="auto"/>
              </w:rPr>
              <w:t>common shareholders</w:t>
            </w:r>
          </w:p>
        </w:tc>
        <w:tc>
          <w:tcPr>
            <w:tcW w:w="4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0.06</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260"/>
              <w:spacing w:after="0" w:line="205" w:lineRule="exact"/>
              <w:rPr>
                <w:sz w:val="20"/>
                <w:szCs w:val="20"/>
                <w:color w:val="auto"/>
              </w:rPr>
            </w:pPr>
            <w:r>
              <w:rPr>
                <w:rFonts w:ascii="Calibri" w:cs="Calibri" w:eastAsia="Calibri" w:hAnsi="Calibri"/>
                <w:sz w:val="17"/>
                <w:szCs w:val="17"/>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line="205" w:lineRule="exact"/>
              <w:rPr>
                <w:sz w:val="20"/>
                <w:szCs w:val="20"/>
                <w:color w:val="auto"/>
              </w:rPr>
            </w:pPr>
            <w:r>
              <w:rPr>
                <w:rFonts w:ascii="Calibri" w:cs="Calibri" w:eastAsia="Calibri" w:hAnsi="Calibri"/>
                <w:sz w:val="17"/>
                <w:szCs w:val="17"/>
                <w:color w:val="auto"/>
              </w:rPr>
              <w:t>0.23</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20"/>
              <w:spacing w:after="0" w:line="205" w:lineRule="exact"/>
              <w:rPr>
                <w:sz w:val="20"/>
                <w:szCs w:val="20"/>
                <w:color w:val="auto"/>
              </w:rPr>
            </w:pPr>
            <w:r>
              <w:rPr>
                <w:rFonts w:ascii="Calibri" w:cs="Calibri" w:eastAsia="Calibri" w:hAnsi="Calibri"/>
                <w:sz w:val="17"/>
                <w:szCs w:val="17"/>
                <w:color w:val="auto"/>
              </w:rPr>
              <w:t>—</w:t>
            </w:r>
          </w:p>
        </w:tc>
      </w:tr>
      <w:tr>
        <w:trPr>
          <w:trHeight w:val="196"/>
        </w:trPr>
        <w:tc>
          <w:tcPr>
            <w:tcW w:w="54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5"/>
              <w:spacing w:after="0" w:line="196" w:lineRule="exact"/>
              <w:rPr>
                <w:sz w:val="20"/>
                <w:szCs w:val="20"/>
                <w:color w:val="auto"/>
              </w:rPr>
            </w:pPr>
            <w:r>
              <w:rPr>
                <w:rFonts w:ascii="Calibri" w:cs="Calibri" w:eastAsia="Calibri" w:hAnsi="Calibri"/>
                <w:sz w:val="17"/>
                <w:szCs w:val="17"/>
                <w:color w:val="auto"/>
                <w:w w:val="92"/>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4.73</w:t>
            </w:r>
          </w:p>
        </w:tc>
        <w:tc>
          <w:tcPr>
            <w:tcW w:w="28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4.07</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line="196" w:lineRule="exact"/>
              <w:rPr>
                <w:sz w:val="20"/>
                <w:szCs w:val="20"/>
                <w:color w:val="auto"/>
              </w:rPr>
            </w:pPr>
            <w:r>
              <w:rPr>
                <w:rFonts w:ascii="Calibri" w:cs="Calibri" w:eastAsia="Calibri" w:hAnsi="Calibri"/>
                <w:sz w:val="17"/>
                <w:szCs w:val="17"/>
                <w:color w:val="auto"/>
                <w:w w:val="92"/>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10.92</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5"/>
              <w:spacing w:after="0" w:line="196" w:lineRule="exact"/>
              <w:rPr>
                <w:sz w:val="20"/>
                <w:szCs w:val="20"/>
                <w:color w:val="auto"/>
              </w:rPr>
            </w:pPr>
            <w:r>
              <w:rPr>
                <w:rFonts w:ascii="Calibri" w:cs="Calibri" w:eastAsia="Calibri" w:hAnsi="Calibri"/>
                <w:sz w:val="17"/>
                <w:szCs w:val="17"/>
                <w:color w:val="auto"/>
                <w:w w:val="92"/>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7"/>
                <w:szCs w:val="17"/>
                <w:color w:val="auto"/>
              </w:rPr>
              <w:t>8.72</w:t>
            </w:r>
          </w:p>
        </w:tc>
        <w:tc>
          <w:tcPr>
            <w:tcW w:w="100" w:type="dxa"/>
            <w:vAlign w:val="bottom"/>
            <w:tcBorders>
              <w:top w:val="single" w:sz="8" w:color="CFF0FC"/>
            </w:tcBorders>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440" w:type="dxa"/>
            <w:vAlign w:val="bottom"/>
          </w:tcPr>
          <w:p>
            <w:pPr>
              <w:ind w:left="20"/>
              <w:spacing w:after="0" w:line="203" w:lineRule="exact"/>
              <w:rPr>
                <w:sz w:val="20"/>
                <w:szCs w:val="20"/>
                <w:color w:val="auto"/>
              </w:rPr>
            </w:pPr>
            <w:r>
              <w:rPr>
                <w:rFonts w:ascii="Calibri" w:cs="Calibri" w:eastAsia="Calibri" w:hAnsi="Calibri"/>
                <w:sz w:val="17"/>
                <w:szCs w:val="17"/>
                <w:color w:val="auto"/>
              </w:rPr>
              <w:t>Weighted-Average Common Shares Outstanding: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440" w:type="dxa"/>
            <w:vAlign w:val="bottom"/>
            <w:tcBorders>
              <w:bottom w:val="single" w:sz="8" w:color="CFF0FC"/>
            </w:tcBorders>
            <w:shd w:val="clear" w:color="auto" w:fill="CFF0FC"/>
          </w:tcPr>
          <w:p>
            <w:pPr>
              <w:ind w:left="200"/>
              <w:spacing w:after="0" w:line="203" w:lineRule="exact"/>
              <w:rPr>
                <w:sz w:val="20"/>
                <w:szCs w:val="20"/>
                <w:color w:val="auto"/>
              </w:rPr>
            </w:pPr>
            <w:r>
              <w:rPr>
                <w:rFonts w:ascii="Calibri" w:cs="Calibri" w:eastAsia="Calibri" w:hAnsi="Calibri"/>
                <w:sz w:val="17"/>
                <w:szCs w:val="17"/>
                <w:color w:val="auto"/>
              </w:rPr>
              <w:t>Basic</w:t>
            </w:r>
          </w:p>
        </w:tc>
        <w:tc>
          <w:tcPr>
            <w:tcW w:w="4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62.3</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62.4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62.4</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Calibri" w:cs="Calibri" w:eastAsia="Calibri" w:hAnsi="Calibri"/>
                <w:sz w:val="17"/>
                <w:szCs w:val="17"/>
                <w:color w:val="auto"/>
              </w:rPr>
              <w:t>62.4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5440" w:type="dxa"/>
            <w:vAlign w:val="bottom"/>
          </w:tcPr>
          <w:p>
            <w:pPr>
              <w:ind w:left="200"/>
              <w:spacing w:after="0" w:line="183" w:lineRule="exact"/>
              <w:rPr>
                <w:sz w:val="20"/>
                <w:szCs w:val="20"/>
                <w:color w:val="auto"/>
              </w:rPr>
            </w:pPr>
            <w:r>
              <w:rPr>
                <w:rFonts w:ascii="Calibri" w:cs="Calibri" w:eastAsia="Calibri" w:hAnsi="Calibri"/>
                <w:sz w:val="17"/>
                <w:szCs w:val="17"/>
                <w:color w:val="auto"/>
              </w:rPr>
              <w:t>Diluted</w:t>
            </w: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Calibri" w:cs="Calibri" w:eastAsia="Calibri" w:hAnsi="Calibri"/>
                <w:sz w:val="17"/>
                <w:szCs w:val="17"/>
                <w:color w:val="auto"/>
              </w:rPr>
              <w:t>62.5</w:t>
            </w: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Calibri" w:cs="Calibri" w:eastAsia="Calibri" w:hAnsi="Calibri"/>
                <w:sz w:val="17"/>
                <w:szCs w:val="17"/>
                <w:color w:val="auto"/>
              </w:rPr>
              <w:t>62.6</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Calibri" w:cs="Calibri" w:eastAsia="Calibri" w:hAnsi="Calibri"/>
                <w:sz w:val="17"/>
                <w:szCs w:val="17"/>
                <w:color w:val="auto"/>
              </w:rPr>
              <w:t>62.5</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Calibri" w:cs="Calibri" w:eastAsia="Calibri" w:hAnsi="Calibri"/>
                <w:sz w:val="17"/>
                <w:szCs w:val="17"/>
                <w:color w:val="auto"/>
              </w:rPr>
              <w:t>62.6</w:t>
            </w:r>
          </w:p>
        </w:tc>
        <w:tc>
          <w:tcPr>
            <w:tcW w:w="10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-4645660</wp:posOffset>
            </wp:positionV>
            <wp:extent cx="7683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-4645660</wp:posOffset>
            </wp:positionV>
            <wp:extent cx="6858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-4645660</wp:posOffset>
            </wp:positionV>
            <wp:extent cx="6858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-4122420</wp:posOffset>
            </wp:positionV>
            <wp:extent cx="7683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-4122420</wp:posOffset>
            </wp:positionV>
            <wp:extent cx="6858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-4122420</wp:posOffset>
            </wp:positionV>
            <wp:extent cx="6858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-4122420</wp:posOffset>
            </wp:positionV>
            <wp:extent cx="6858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-3736975</wp:posOffset>
            </wp:positionV>
            <wp:extent cx="7683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-3736975</wp:posOffset>
            </wp:positionV>
            <wp:extent cx="685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-3736975</wp:posOffset>
            </wp:positionV>
            <wp:extent cx="6858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-3359785</wp:posOffset>
            </wp:positionV>
            <wp:extent cx="7683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-3359785</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-3359785</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-3093720</wp:posOffset>
            </wp:positionV>
            <wp:extent cx="7683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-3093720</wp:posOffset>
            </wp:positionV>
            <wp:extent cx="6858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-3093720</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-2279650</wp:posOffset>
            </wp:positionV>
            <wp:extent cx="294005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40050" cy="15430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-1508125</wp:posOffset>
            </wp:positionV>
            <wp:extent cx="7683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-1508125</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-1508125</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-727710</wp:posOffset>
            </wp:positionV>
            <wp:extent cx="7683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-727710</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-727710</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-179705</wp:posOffset>
            </wp:positionV>
            <wp:extent cx="294005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40050" cy="18034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4" w:name="page5"/>
    <w:bookmarkEnd w:id="4"/>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21" w:lineRule="auto"/>
        <w:rPr>
          <w:sz w:val="20"/>
          <w:szCs w:val="20"/>
          <w:color w:val="auto"/>
        </w:rPr>
      </w:pPr>
      <w:r>
        <w:rPr>
          <w:rFonts w:ascii="Calibri" w:cs="Calibri" w:eastAsia="Calibri" w:hAnsi="Calibri"/>
          <w:sz w:val="18"/>
          <w:szCs w:val="18"/>
          <w:color w:val="auto"/>
        </w:rPr>
        <w:t>(UNAUDITED) CONSOLIDATED STATEMENTS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Calibri" w:cs="Calibri" w:eastAsia="Calibri" w:hAnsi="Calibri"/>
                <w:sz w:val="18"/>
                <w:szCs w:val="18"/>
                <w:color w:val="auto"/>
                <w:w w:val="97"/>
              </w:rPr>
              <w:t>Nine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gridSpan w:val="3"/>
          </w:tcPr>
          <w:p>
            <w:pPr>
              <w:jc w:val="center"/>
              <w:spacing w:after="0" w:line="216" w:lineRule="exact"/>
              <w:rPr>
                <w:sz w:val="20"/>
                <w:szCs w:val="20"/>
                <w:color w:val="auto"/>
              </w:rPr>
            </w:pPr>
            <w:r>
              <w:rPr>
                <w:rFonts w:ascii="Calibri" w:cs="Calibri" w:eastAsia="Calibri" w:hAnsi="Calibri"/>
                <w:sz w:val="18"/>
                <w:szCs w:val="18"/>
                <w:color w:val="auto"/>
                <w:w w:val="96"/>
              </w:rPr>
              <w:t>September 30,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60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2022</w:t>
            </w: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0"/>
              <w:spacing w:after="0" w:line="208" w:lineRule="exact"/>
              <w:rPr>
                <w:sz w:val="20"/>
                <w:szCs w:val="20"/>
                <w:color w:val="auto"/>
              </w:rPr>
            </w:pPr>
            <w:r>
              <w:rPr>
                <w:rFonts w:ascii="Calibri" w:cs="Calibri" w:eastAsia="Calibri" w:hAnsi="Calibri"/>
                <w:sz w:val="18"/>
                <w:szCs w:val="18"/>
                <w:color w:val="auto"/>
              </w:rPr>
              <w:t>2021</w:t>
            </w:r>
          </w:p>
        </w:tc>
        <w:tc>
          <w:tcPr>
            <w:tcW w:w="100" w:type="dxa"/>
            <w:vAlign w:val="bottom"/>
          </w:tcPr>
          <w:p>
            <w:pPr>
              <w:spacing w:after="0"/>
              <w:rPr>
                <w:sz w:val="18"/>
                <w:szCs w:val="18"/>
                <w:color w:val="auto"/>
              </w:rPr>
            </w:pPr>
          </w:p>
        </w:tc>
      </w:tr>
      <w:tr>
        <w:trPr>
          <w:trHeight w:val="188"/>
        </w:trPr>
        <w:tc>
          <w:tcPr>
            <w:tcW w:w="7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line="188" w:lineRule="exact"/>
              <w:rPr>
                <w:sz w:val="20"/>
                <w:szCs w:val="20"/>
                <w:color w:val="auto"/>
              </w:rPr>
            </w:pPr>
            <w:r>
              <w:rPr>
                <w:rFonts w:ascii="Calibri" w:cs="Calibri" w:eastAsia="Calibri" w:hAnsi="Calibri"/>
                <w:sz w:val="18"/>
                <w:szCs w:val="18"/>
                <w:i w:val="1"/>
                <w:iCs w:val="1"/>
                <w:color w:val="auto"/>
              </w:rPr>
              <w:t>(Dollars</w:t>
            </w:r>
          </w:p>
        </w:tc>
        <w:tc>
          <w:tcPr>
            <w:tcW w:w="300" w:type="dxa"/>
            <w:vAlign w:val="bottom"/>
          </w:tcPr>
          <w:p>
            <w:pPr>
              <w:jc w:val="right"/>
              <w:ind w:right="30"/>
              <w:spacing w:after="0" w:line="188" w:lineRule="exact"/>
              <w:rPr>
                <w:sz w:val="20"/>
                <w:szCs w:val="20"/>
                <w:color w:val="auto"/>
              </w:rPr>
            </w:pPr>
            <w:r>
              <w:rPr>
                <w:rFonts w:ascii="Calibri" w:cs="Calibri" w:eastAsia="Calibri" w:hAnsi="Calibri"/>
                <w:sz w:val="18"/>
                <w:szCs w:val="18"/>
                <w:i w:val="1"/>
                <w:iCs w:val="1"/>
                <w:color w:val="auto"/>
              </w:rPr>
              <w:t>in</w:t>
            </w:r>
          </w:p>
        </w:tc>
        <w:tc>
          <w:tcPr>
            <w:tcW w:w="580" w:type="dxa"/>
            <w:vAlign w:val="bottom"/>
          </w:tcPr>
          <w:p>
            <w:pPr>
              <w:spacing w:after="0" w:line="188" w:lineRule="exact"/>
              <w:rPr>
                <w:sz w:val="20"/>
                <w:szCs w:val="20"/>
                <w:color w:val="auto"/>
              </w:rPr>
            </w:pPr>
            <w:r>
              <w:rPr>
                <w:rFonts w:ascii="Calibri" w:cs="Calibri" w:eastAsia="Calibri" w:hAnsi="Calibri"/>
                <w:sz w:val="18"/>
                <w:szCs w:val="18"/>
                <w:i w:val="1"/>
                <w:iCs w:val="1"/>
                <w:color w:val="auto"/>
                <w:w w:val="89"/>
              </w:rPr>
              <w:t>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Cash Flows from Operatng Actvites: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Consolidated net earnings</w:t>
            </w:r>
          </w:p>
        </w:tc>
        <w:tc>
          <w:tcPr>
            <w:tcW w:w="1020" w:type="dxa"/>
            <w:vAlign w:val="bottom"/>
            <w:shd w:val="clear" w:color="auto" w:fill="CFF0FC"/>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683.0</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545.9</w:t>
            </w:r>
          </w:p>
        </w:tc>
        <w:tc>
          <w:tcPr>
            <w:tcW w:w="100" w:type="dxa"/>
            <w:vAlign w:val="bottom"/>
            <w:shd w:val="clear" w:color="auto" w:fill="CFF0FC"/>
          </w:tcPr>
          <w:p>
            <w:pPr>
              <w:spacing w:after="0"/>
              <w:rPr>
                <w:sz w:val="18"/>
                <w:szCs w:val="18"/>
                <w:color w:val="auto"/>
              </w:rPr>
            </w:pPr>
          </w:p>
        </w:tc>
      </w:tr>
      <w:tr>
        <w:trPr>
          <w:trHeight w:val="167"/>
        </w:trPr>
        <w:tc>
          <w:tcPr>
            <w:tcW w:w="7600" w:type="dxa"/>
            <w:vAlign w:val="bottom"/>
          </w:tcPr>
          <w:p>
            <w:pPr>
              <w:ind w:left="20"/>
              <w:spacing w:after="0" w:line="166" w:lineRule="exact"/>
              <w:rPr>
                <w:sz w:val="20"/>
                <w:szCs w:val="20"/>
                <w:color w:val="auto"/>
              </w:rPr>
            </w:pPr>
            <w:r>
              <w:rPr>
                <w:rFonts w:ascii="Calibri" w:cs="Calibri" w:eastAsia="Calibri" w:hAnsi="Calibri"/>
                <w:sz w:val="18"/>
                <w:szCs w:val="18"/>
                <w:color w:val="auto"/>
              </w:rPr>
              <w:t>Adjustments to reconcile consolidated net earnings to net cash</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5"/>
        </w:trPr>
        <w:tc>
          <w:tcPr>
            <w:tcW w:w="7600" w:type="dxa"/>
            <w:vAlign w:val="bottom"/>
          </w:tcPr>
          <w:p>
            <w:pPr>
              <w:ind w:left="140"/>
              <w:spacing w:after="0" w:line="215" w:lineRule="exact"/>
              <w:rPr>
                <w:sz w:val="20"/>
                <w:szCs w:val="20"/>
                <w:color w:val="auto"/>
              </w:rPr>
            </w:pPr>
            <w:r>
              <w:rPr>
                <w:rFonts w:ascii="Calibri" w:cs="Calibri" w:eastAsia="Calibri" w:hAnsi="Calibri"/>
                <w:sz w:val="18"/>
                <w:szCs w:val="18"/>
                <w:color w:val="auto"/>
              </w:rPr>
              <w:t>provided by operatng actvites: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0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Depreciaton, depleton and amortzaton</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380.3</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320.0</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Stock-based compensaton expense</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34.3</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33.0</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Gain on divesttures, sales of assets and extnguishment of debt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(190.7 )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(26.6 )</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Deferred income taxes, net</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(1.0 )</w:t>
            </w:r>
          </w:p>
        </w:tc>
        <w:tc>
          <w:tcPr>
            <w:tcW w:w="5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25.7</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Other items, net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(1.0 )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(8.3 )</w:t>
            </w:r>
          </w:p>
        </w:tc>
      </w:tr>
      <w:tr>
        <w:trPr>
          <w:trHeight w:val="167"/>
        </w:trPr>
        <w:tc>
          <w:tcPr>
            <w:tcW w:w="7600" w:type="dxa"/>
            <w:vAlign w:val="bottom"/>
          </w:tcPr>
          <w:p>
            <w:pPr>
              <w:ind w:left="200"/>
              <w:spacing w:after="0" w:line="166" w:lineRule="exact"/>
              <w:rPr>
                <w:sz w:val="20"/>
                <w:szCs w:val="20"/>
                <w:color w:val="auto"/>
              </w:rPr>
            </w:pPr>
            <w:r>
              <w:rPr>
                <w:rFonts w:ascii="Calibri" w:cs="Calibri" w:eastAsia="Calibri" w:hAnsi="Calibri"/>
                <w:sz w:val="18"/>
                <w:szCs w:val="18"/>
                <w:color w:val="auto"/>
              </w:rPr>
              <w:t>Changes in operatng assets and liabilites, net of efects of</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5"/>
        </w:trPr>
        <w:tc>
          <w:tcPr>
            <w:tcW w:w="7600" w:type="dxa"/>
            <w:vAlign w:val="bottom"/>
          </w:tcPr>
          <w:p>
            <w:pPr>
              <w:ind w:left="320"/>
              <w:spacing w:after="0" w:line="215" w:lineRule="exact"/>
              <w:rPr>
                <w:sz w:val="20"/>
                <w:szCs w:val="20"/>
                <w:color w:val="auto"/>
              </w:rPr>
            </w:pPr>
            <w:r>
              <w:rPr>
                <w:rFonts w:ascii="Calibri" w:cs="Calibri" w:eastAsia="Calibri" w:hAnsi="Calibri"/>
                <w:sz w:val="18"/>
                <w:szCs w:val="18"/>
                <w:color w:val="auto"/>
              </w:rPr>
              <w:t>acquisitons and divesttures: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16"/>
        </w:trPr>
        <w:tc>
          <w:tcPr>
            <w:tcW w:w="7600" w:type="dxa"/>
            <w:vAlign w:val="bottom"/>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Accounts receivable, net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(237.9 )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(218.0 )</w:t>
            </w:r>
          </w:p>
        </w:tc>
      </w:tr>
      <w:tr>
        <w:trPr>
          <w:trHeight w:val="215"/>
        </w:trPr>
        <w:tc>
          <w:tcPr>
            <w:tcW w:w="7600" w:type="dxa"/>
            <w:vAlign w:val="bottom"/>
          </w:tcPr>
          <w:p>
            <w:pPr>
              <w:ind w:left="380"/>
              <w:spacing w:after="0" w:line="215" w:lineRule="exact"/>
              <w:rPr>
                <w:sz w:val="20"/>
                <w:szCs w:val="20"/>
                <w:color w:val="auto"/>
              </w:rPr>
            </w:pPr>
            <w:r>
              <w:rPr>
                <w:rFonts w:ascii="Calibri" w:cs="Calibri" w:eastAsia="Calibri" w:hAnsi="Calibri"/>
                <w:sz w:val="18"/>
                <w:szCs w:val="18"/>
                <w:color w:val="auto"/>
              </w:rPr>
              <w:t>Inventories, net</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(87.0 )</w:t>
            </w:r>
          </w:p>
        </w:tc>
        <w:tc>
          <w:tcPr>
            <w:tcW w:w="5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65.1</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Accounts payable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18.1</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66.9</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380"/>
              <w:spacing w:after="0" w:line="215" w:lineRule="exact"/>
              <w:rPr>
                <w:sz w:val="20"/>
                <w:szCs w:val="20"/>
                <w:color w:val="auto"/>
              </w:rPr>
            </w:pPr>
            <w:r>
              <w:rPr>
                <w:rFonts w:ascii="Calibri" w:cs="Calibri" w:eastAsia="Calibri" w:hAnsi="Calibri"/>
                <w:sz w:val="18"/>
                <w:szCs w:val="18"/>
                <w:color w:val="auto"/>
              </w:rPr>
              <w:t>Other assets and liabilites, net</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(37.4 )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(23.4 )</w:t>
            </w:r>
          </w:p>
        </w:tc>
      </w:tr>
      <w:tr>
        <w:trPr>
          <w:trHeight w:val="209"/>
        </w:trPr>
        <w:tc>
          <w:tcPr>
            <w:tcW w:w="76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Cash Provided by Operatng Actvites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560.7</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780.3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Cash Flows from Investng Actvites: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Additons to property, plant and equipment</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(309.1 )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(321.3 )</w:t>
            </w: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Acquisitons, net of cash acquired</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11.0</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(792.9 )</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679.1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41.4</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Purchase of restricted investments to discharge long-term debt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(704.6 )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Investments in life insurance contracts, net</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2.2</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13.9</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Other investng actvites, net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(3.0 )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76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00" w:type="dxa"/>
            <w:vAlign w:val="bottom"/>
          </w:tcPr>
          <w:p>
            <w:pPr>
              <w:ind w:left="20"/>
              <w:spacing w:after="0" w:line="209" w:lineRule="exact"/>
              <w:rPr>
                <w:sz w:val="20"/>
                <w:szCs w:val="20"/>
                <w:color w:val="auto"/>
              </w:rPr>
            </w:pPr>
            <w:r>
              <w:rPr>
                <w:rFonts w:ascii="Calibri" w:cs="Calibri" w:eastAsia="Calibri" w:hAnsi="Calibri"/>
                <w:sz w:val="18"/>
                <w:szCs w:val="18"/>
                <w:color w:val="auto"/>
              </w:rPr>
              <w:t>Net Cash Used for Investng Actvites</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09" w:lineRule="exact"/>
              <w:rPr>
                <w:sz w:val="20"/>
                <w:szCs w:val="20"/>
                <w:color w:val="auto"/>
              </w:rPr>
            </w:pPr>
            <w:r>
              <w:rPr>
                <w:rFonts w:ascii="Calibri" w:cs="Calibri" w:eastAsia="Calibri" w:hAnsi="Calibri"/>
                <w:sz w:val="18"/>
                <w:szCs w:val="18"/>
                <w:color w:val="auto"/>
              </w:rPr>
              <w:t>(324.4 )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(1,058.9 )</w:t>
            </w:r>
          </w:p>
        </w:tc>
      </w:tr>
      <w:tr>
        <w:trPr>
          <w:trHeight w:val="210"/>
        </w:trPr>
        <w:tc>
          <w:tcPr>
            <w:tcW w:w="760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Cash Flows from Financing Actvites: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Borrowings of debt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line="216"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2,896.6</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Repayments of debt</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(54.5 )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(400.0 )</w:t>
            </w: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Payments on fnance lease obligatons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(11.1 )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(7.6 )</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Debt issuance and extnguishment costs</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(0.3 )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(6.1 )</w:t>
            </w: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Distributons to owners of noncontrolling interest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line="216"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(0.5 )</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Repurchases of common stock</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(150.0 )</w:t>
            </w:r>
          </w:p>
        </w:tc>
        <w:tc>
          <w:tcPr>
            <w:tcW w:w="580" w:type="dxa"/>
            <w:vAlign w:val="bottom"/>
          </w:tcPr>
          <w:p>
            <w:pPr>
              <w:spacing w:after="0"/>
              <w:rPr>
                <w:sz w:val="18"/>
                <w:szCs w:val="18"/>
                <w:color w:val="auto"/>
              </w:rPr>
            </w:pPr>
          </w:p>
        </w:tc>
        <w:tc>
          <w:tcPr>
            <w:tcW w:w="11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Dividends paid</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(118.1 )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(109.7 )</w:t>
            </w: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exercise of stock optons</w:t>
            </w:r>
          </w:p>
        </w:tc>
        <w:tc>
          <w:tcPr>
            <w:tcW w:w="10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0.6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Shares withheld for employees' income tax obligatons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(26.1 )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(16.5 )</w:t>
            </w:r>
          </w:p>
        </w:tc>
      </w:tr>
      <w:tr>
        <w:trPr>
          <w:trHeight w:val="20"/>
        </w:trPr>
        <w:tc>
          <w:tcPr>
            <w:tcW w:w="76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00" w:type="dxa"/>
            <w:vAlign w:val="bottom"/>
          </w:tcPr>
          <w:p>
            <w:pPr>
              <w:ind w:left="20"/>
              <w:spacing w:after="0" w:line="209" w:lineRule="exact"/>
              <w:rPr>
                <w:sz w:val="20"/>
                <w:szCs w:val="20"/>
                <w:color w:val="auto"/>
              </w:rPr>
            </w:pPr>
            <w:r>
              <w:rPr>
                <w:rFonts w:ascii="Calibri" w:cs="Calibri" w:eastAsia="Calibri" w:hAnsi="Calibri"/>
                <w:sz w:val="18"/>
                <w:szCs w:val="18"/>
                <w:color w:val="auto"/>
              </w:rPr>
              <w:t>Net Cash (Used for) Provided by Financing Actvites</w:t>
            </w:r>
          </w:p>
        </w:tc>
        <w:tc>
          <w:tcPr>
            <w:tcW w:w="1020" w:type="dxa"/>
            <w:vAlign w:val="bottom"/>
          </w:tcPr>
          <w:p>
            <w:pPr>
              <w:spacing w:after="0"/>
              <w:rPr>
                <w:sz w:val="18"/>
                <w:szCs w:val="18"/>
                <w:color w:val="auto"/>
              </w:rPr>
            </w:pPr>
          </w:p>
        </w:tc>
        <w:tc>
          <w:tcPr>
            <w:tcW w:w="900" w:type="dxa"/>
            <w:vAlign w:val="bottom"/>
            <w:gridSpan w:val="2"/>
          </w:tcPr>
          <w:p>
            <w:pPr>
              <w:jc w:val="right"/>
              <w:ind w:right="130"/>
              <w:spacing w:after="0" w:line="209" w:lineRule="exact"/>
              <w:rPr>
                <w:sz w:val="20"/>
                <w:szCs w:val="20"/>
                <w:color w:val="auto"/>
              </w:rPr>
            </w:pPr>
            <w:r>
              <w:rPr>
                <w:rFonts w:ascii="Calibri" w:cs="Calibri" w:eastAsia="Calibri" w:hAnsi="Calibri"/>
                <w:sz w:val="18"/>
                <w:szCs w:val="18"/>
                <w:color w:val="auto"/>
              </w:rPr>
              <w:t>(359.5 )</w:t>
            </w:r>
          </w:p>
        </w:tc>
        <w:tc>
          <w:tcPr>
            <w:tcW w:w="58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Calibri" w:cs="Calibri" w:eastAsia="Calibri" w:hAnsi="Calibri"/>
                <w:sz w:val="18"/>
                <w:szCs w:val="18"/>
                <w:color w:val="auto"/>
              </w:rPr>
              <w:t>2,357.3</w:t>
            </w:r>
          </w:p>
        </w:tc>
        <w:tc>
          <w:tcPr>
            <w:tcW w:w="100" w:type="dxa"/>
            <w:vAlign w:val="bottom"/>
          </w:tcPr>
          <w:p>
            <w:pPr>
              <w:spacing w:after="0"/>
              <w:rPr>
                <w:sz w:val="18"/>
                <w:szCs w:val="18"/>
                <w:color w:val="auto"/>
              </w:rPr>
            </w:pPr>
          </w:p>
        </w:tc>
      </w:tr>
      <w:tr>
        <w:trPr>
          <w:trHeight w:val="211"/>
        </w:trPr>
        <w:tc>
          <w:tcPr>
            <w:tcW w:w="76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(123.2</w:t>
            </w:r>
          </w:p>
        </w:tc>
        <w:tc>
          <w:tcPr>
            <w:tcW w:w="30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2,078.7</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Cash, Cash Equivalents and Restricted Cash, beginning of period</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258.9</w:t>
            </w: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304.4</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Cash, Cash Equivalents and Restricted Cash, end of period</w:t>
            </w:r>
          </w:p>
        </w:tc>
        <w:tc>
          <w:tcPr>
            <w:tcW w:w="1020" w:type="dxa"/>
            <w:vAlign w:val="bottom"/>
            <w:tcBorders>
              <w:bottom w:val="single" w:sz="8" w:color="auto"/>
            </w:tcBorders>
            <w:shd w:val="clear" w:color="auto" w:fill="CFF0FC"/>
          </w:tcPr>
          <w:p>
            <w:pPr>
              <w:jc w:val="right"/>
              <w:ind w:right="830"/>
              <w:spacing w:after="0" w:line="210"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135.7</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line="210"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2,383.1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-3368040</wp:posOffset>
            </wp:positionV>
            <wp:extent cx="685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-2262505</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-599440</wp:posOffset>
            </wp:positionV>
            <wp:extent cx="685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ind w:right="-19"/>
        <w:spacing w:after="0" w:line="235" w:lineRule="auto"/>
        <w:rPr>
          <w:sz w:val="20"/>
          <w:szCs w:val="20"/>
          <w:color w:val="auto"/>
        </w:rPr>
      </w:pPr>
      <w:r>
        <w:rPr>
          <w:rFonts w:ascii="Calibri" w:cs="Calibri" w:eastAsia="Calibri" w:hAnsi="Calibri"/>
          <w:sz w:val="18"/>
          <w:szCs w:val="18"/>
          <w:color w:val="auto"/>
        </w:rPr>
        <w:t>(UNAUDITED) CONSOLIDATED STATEMENTS OF TOTAL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93"/>
              <w:spacing w:after="0"/>
              <w:rPr>
                <w:sz w:val="20"/>
                <w:szCs w:val="20"/>
                <w:color w:val="auto"/>
              </w:rPr>
            </w:pPr>
            <w:r>
              <w:rPr>
                <w:rFonts w:ascii="Calibri" w:cs="Calibri" w:eastAsia="Calibri" w:hAnsi="Calibri"/>
                <w:sz w:val="13"/>
                <w:szCs w:val="13"/>
                <w:color w:val="auto"/>
                <w:w w:val="95"/>
              </w:rPr>
              <w:t>Accumulated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Calibri" w:cs="Calibri" w:eastAsia="Calibri" w:hAnsi="Calibri"/>
                <w:sz w:val="13"/>
                <w:szCs w:val="13"/>
                <w:color w:val="auto"/>
                <w:w w:val="98"/>
              </w:rPr>
              <w:t>Shares of</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Calibri" w:cs="Calibri" w:eastAsia="Calibri" w:hAnsi="Calibri"/>
                <w:sz w:val="13"/>
                <w:szCs w:val="13"/>
                <w:color w:val="auto"/>
              </w:rPr>
              <w:t>Additonal</w:t>
            </w:r>
          </w:p>
        </w:tc>
        <w:tc>
          <w:tcPr>
            <w:tcW w:w="100" w:type="dxa"/>
            <w:vAlign w:val="bottom"/>
          </w:tcPr>
          <w:p>
            <w:pPr>
              <w:spacing w:after="0"/>
              <w:rPr>
                <w:sz w:val="11"/>
                <w:szCs w:val="11"/>
                <w:color w:val="auto"/>
              </w:rPr>
            </w:pPr>
          </w:p>
        </w:tc>
        <w:tc>
          <w:tcPr>
            <w:tcW w:w="1200" w:type="dxa"/>
            <w:vAlign w:val="bottom"/>
            <w:gridSpan w:val="2"/>
          </w:tcPr>
          <w:p>
            <w:pPr>
              <w:jc w:val="center"/>
              <w:ind w:right="293"/>
              <w:spacing w:after="0" w:line="135" w:lineRule="exact"/>
              <w:rPr>
                <w:sz w:val="20"/>
                <w:szCs w:val="20"/>
                <w:color w:val="auto"/>
              </w:rPr>
            </w:pPr>
            <w:r>
              <w:rPr>
                <w:rFonts w:ascii="Calibri" w:cs="Calibri" w:eastAsia="Calibri" w:hAnsi="Calibri"/>
                <w:sz w:val="13"/>
                <w:szCs w:val="13"/>
                <w:color w:val="auto"/>
                <w:w w:val="97"/>
              </w:rPr>
              <w:t>Other</w:t>
            </w:r>
          </w:p>
        </w:tc>
        <w:tc>
          <w:tcPr>
            <w:tcW w:w="80" w:type="dxa"/>
            <w:vAlign w:val="bottom"/>
          </w:tcPr>
          <w:p>
            <w:pPr>
              <w:spacing w:after="0"/>
              <w:rPr>
                <w:sz w:val="11"/>
                <w:szCs w:val="11"/>
                <w:color w:val="auto"/>
              </w:rPr>
            </w:pPr>
          </w:p>
        </w:tc>
        <w:tc>
          <w:tcPr>
            <w:tcW w:w="780" w:type="dxa"/>
            <w:vAlign w:val="bottom"/>
            <w:gridSpan w:val="2"/>
            <w:vMerge w:val="restart"/>
          </w:tcPr>
          <w:p>
            <w:pPr>
              <w:jc w:val="right"/>
              <w:ind w:right="320"/>
              <w:spacing w:after="0"/>
              <w:rPr>
                <w:sz w:val="20"/>
                <w:szCs w:val="20"/>
                <w:color w:val="auto"/>
              </w:rPr>
            </w:pPr>
            <w:r>
              <w:rPr>
                <w:rFonts w:ascii="Calibri" w:cs="Calibri" w:eastAsia="Calibri" w:hAnsi="Calibri"/>
                <w:sz w:val="13"/>
                <w:szCs w:val="13"/>
                <w:color w:val="auto"/>
                <w:w w:val="93"/>
              </w:rPr>
              <w:t>Retained</w:t>
            </w:r>
          </w:p>
        </w:tc>
        <w:tc>
          <w:tcPr>
            <w:tcW w:w="8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Calibri" w:cs="Calibri" w:eastAsia="Calibri" w:hAnsi="Calibri"/>
                <w:sz w:val="13"/>
                <w:szCs w:val="13"/>
                <w:color w:val="auto"/>
                <w:w w:val="89"/>
              </w:rPr>
              <w:t>Total</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480"/>
              <w:spacing w:after="0"/>
              <w:rPr>
                <w:sz w:val="20"/>
                <w:szCs w:val="20"/>
                <w:color w:val="auto"/>
              </w:rPr>
            </w:pPr>
            <w:r>
              <w:rPr>
                <w:rFonts w:ascii="Calibri" w:cs="Calibri" w:eastAsia="Calibri" w:hAnsi="Calibri"/>
                <w:sz w:val="13"/>
                <w:szCs w:val="13"/>
                <w:color w:val="auto"/>
                <w:w w:val="98"/>
              </w:rPr>
              <w:t>Noncontrolling</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Calibri" w:cs="Calibri" w:eastAsia="Calibri" w:hAnsi="Calibri"/>
                <w:sz w:val="13"/>
                <w:szCs w:val="13"/>
                <w:color w:val="auto"/>
                <w:w w:val="99"/>
              </w:rPr>
              <w:t>Common</w:t>
            </w: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93"/>
              <w:spacing w:after="0" w:line="122" w:lineRule="exact"/>
              <w:rPr>
                <w:sz w:val="20"/>
                <w:szCs w:val="20"/>
                <w:color w:val="auto"/>
              </w:rPr>
            </w:pPr>
            <w:r>
              <w:rPr>
                <w:rFonts w:ascii="Calibri" w:cs="Calibri" w:eastAsia="Calibri" w:hAnsi="Calibri"/>
                <w:sz w:val="13"/>
                <w:szCs w:val="13"/>
                <w:color w:val="auto"/>
                <w:w w:val="94"/>
              </w:rPr>
              <w:t>Comprehensive</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00"/>
              <w:spacing w:after="0" w:line="122" w:lineRule="exact"/>
              <w:rPr>
                <w:sz w:val="20"/>
                <w:szCs w:val="20"/>
                <w:color w:val="auto"/>
              </w:rPr>
            </w:pPr>
            <w:r>
              <w:rPr>
                <w:rFonts w:ascii="Calibri" w:cs="Calibri" w:eastAsia="Calibri" w:hAnsi="Calibri"/>
                <w:sz w:val="13"/>
                <w:szCs w:val="13"/>
                <w:color w:val="auto"/>
                <w:w w:val="96"/>
              </w:rPr>
              <w:t>Shareholders'</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Per Share Data)</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3"/>
                <w:szCs w:val="13"/>
                <w:color w:val="auto"/>
                <w:w w:val="90"/>
              </w:rPr>
              <w:t>Stock</w:t>
            </w:r>
          </w:p>
        </w:tc>
        <w:tc>
          <w:tcPr>
            <w:tcW w:w="90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4"/>
                <w:szCs w:val="14"/>
                <w:color w:val="auto"/>
              </w:rPr>
            </w:pPr>
          </w:p>
        </w:tc>
        <w:tc>
          <w:tcPr>
            <w:tcW w:w="104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w w:val="99"/>
              </w:rPr>
              <w:t>Paid-in Capital</w:t>
            </w:r>
          </w:p>
        </w:tc>
        <w:tc>
          <w:tcPr>
            <w:tcW w:w="100" w:type="dxa"/>
            <w:vAlign w:val="bottom"/>
          </w:tcPr>
          <w:p>
            <w:pPr>
              <w:spacing w:after="0"/>
              <w:rPr>
                <w:sz w:val="14"/>
                <w:szCs w:val="14"/>
                <w:color w:val="auto"/>
              </w:rPr>
            </w:pPr>
          </w:p>
        </w:tc>
        <w:tc>
          <w:tcPr>
            <w:tcW w:w="1200" w:type="dxa"/>
            <w:vAlign w:val="bottom"/>
            <w:gridSpan w:val="2"/>
          </w:tcPr>
          <w:p>
            <w:pPr>
              <w:jc w:val="center"/>
              <w:ind w:right="253"/>
              <w:spacing w:after="0"/>
              <w:rPr>
                <w:sz w:val="20"/>
                <w:szCs w:val="20"/>
                <w:color w:val="auto"/>
              </w:rPr>
            </w:pPr>
            <w:r>
              <w:rPr>
                <w:rFonts w:ascii="Calibri" w:cs="Calibri" w:eastAsia="Calibri" w:hAnsi="Calibri"/>
                <w:sz w:val="13"/>
                <w:szCs w:val="13"/>
                <w:color w:val="auto"/>
                <w:w w:val="97"/>
              </w:rPr>
              <w:t>Loss</w:t>
            </w:r>
          </w:p>
        </w:tc>
        <w:tc>
          <w:tcPr>
            <w:tcW w:w="80" w:type="dxa"/>
            <w:vAlign w:val="bottom"/>
          </w:tcPr>
          <w:p>
            <w:pPr>
              <w:spacing w:after="0"/>
              <w:rPr>
                <w:sz w:val="14"/>
                <w:szCs w:val="14"/>
                <w:color w:val="auto"/>
              </w:rPr>
            </w:pPr>
          </w:p>
        </w:tc>
        <w:tc>
          <w:tcPr>
            <w:tcW w:w="7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w w:val="97"/>
              </w:rPr>
              <w:t>Earnings</w:t>
            </w: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Calibri" w:cs="Calibri" w:eastAsia="Calibri" w:hAnsi="Calibri"/>
                <w:sz w:val="13"/>
                <w:szCs w:val="13"/>
                <w:color w:val="auto"/>
                <w:w w:val="96"/>
              </w:rPr>
              <w:t>Equity</w:t>
            </w:r>
          </w:p>
        </w:tc>
        <w:tc>
          <w:tcPr>
            <w:tcW w:w="120" w:type="dxa"/>
            <w:vAlign w:val="bottom"/>
          </w:tcPr>
          <w:p>
            <w:pPr>
              <w:spacing w:after="0"/>
              <w:rPr>
                <w:sz w:val="14"/>
                <w:szCs w:val="14"/>
                <w:color w:val="auto"/>
              </w:rPr>
            </w:pPr>
          </w:p>
        </w:tc>
        <w:tc>
          <w:tcPr>
            <w:tcW w:w="1280" w:type="dxa"/>
            <w:vAlign w:val="bottom"/>
            <w:gridSpan w:val="2"/>
          </w:tcPr>
          <w:p>
            <w:pPr>
              <w:jc w:val="right"/>
              <w:ind w:right="640"/>
              <w:spacing w:after="0" w:line="149" w:lineRule="exact"/>
              <w:rPr>
                <w:sz w:val="20"/>
                <w:szCs w:val="20"/>
                <w:color w:val="auto"/>
              </w:rPr>
            </w:pPr>
            <w:r>
              <w:rPr>
                <w:rFonts w:ascii="Calibri" w:cs="Calibri" w:eastAsia="Calibri" w:hAnsi="Calibri"/>
                <w:sz w:val="13"/>
                <w:szCs w:val="13"/>
                <w:color w:val="auto"/>
              </w:rPr>
              <w:t>Interests</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line="149" w:lineRule="exact"/>
              <w:rPr>
                <w:sz w:val="20"/>
                <w:szCs w:val="20"/>
                <w:color w:val="auto"/>
              </w:rPr>
            </w:pPr>
            <w:r>
              <w:rPr>
                <w:rFonts w:ascii="Calibri" w:cs="Calibri" w:eastAsia="Calibri" w:hAnsi="Calibri"/>
                <w:sz w:val="13"/>
                <w:szCs w:val="13"/>
                <w:color w:val="auto"/>
                <w:w w:val="92"/>
              </w:rPr>
              <w:t>Total Equity</w:t>
            </w:r>
          </w:p>
        </w:tc>
        <w:tc>
          <w:tcPr>
            <w:tcW w:w="0" w:type="dxa"/>
            <w:vAlign w:val="bottom"/>
          </w:tcPr>
          <w:p>
            <w:pPr>
              <w:spacing w:after="0"/>
              <w:rPr>
                <w:sz w:val="1"/>
                <w:szCs w:val="1"/>
                <w:color w:val="auto"/>
              </w:rPr>
            </w:pPr>
          </w:p>
        </w:tc>
      </w:tr>
      <w:tr>
        <w:trPr>
          <w:trHeight w:val="161"/>
        </w:trPr>
        <w:tc>
          <w:tcPr>
            <w:tcW w:w="2420" w:type="dxa"/>
            <w:vAlign w:val="bottom"/>
            <w:tcBorders>
              <w:top w:val="single" w:sz="8" w:color="auto"/>
            </w:tcBorders>
            <w:shd w:val="clear" w:color="auto" w:fill="CFF0FC"/>
          </w:tcPr>
          <w:p>
            <w:pPr>
              <w:ind w:left="20"/>
              <w:spacing w:after="0" w:line="149" w:lineRule="exact"/>
              <w:rPr>
                <w:sz w:val="20"/>
                <w:szCs w:val="20"/>
                <w:color w:val="auto"/>
              </w:rPr>
            </w:pPr>
            <w:r>
              <w:rPr>
                <w:rFonts w:ascii="Calibri" w:cs="Calibri" w:eastAsia="Calibri" w:hAnsi="Calibri"/>
                <w:sz w:val="13"/>
                <w:szCs w:val="13"/>
                <w:color w:val="auto"/>
              </w:rPr>
              <w:t>Balance at June 30, 2022</w:t>
            </w:r>
          </w:p>
        </w:tc>
        <w:tc>
          <w:tcPr>
            <w:tcW w:w="12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62.4</w:t>
            </w:r>
          </w:p>
        </w:tc>
        <w:tc>
          <w:tcPr>
            <w:tcW w:w="22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0.6</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4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3,474.4</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(128.1</w:t>
            </w:r>
          </w:p>
        </w:tc>
        <w:tc>
          <w:tcPr>
            <w:tcW w:w="200" w:type="dxa"/>
            <w:vAlign w:val="bottom"/>
            <w:shd w:val="clear" w:color="auto" w:fill="CFF0FC"/>
          </w:tcPr>
          <w:p>
            <w:pPr>
              <w:jc w:val="right"/>
              <w:ind w:right="11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3,423.1</w:t>
            </w:r>
          </w:p>
        </w:tc>
        <w:tc>
          <w:tcPr>
            <w:tcW w:w="2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6,770.0</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2.1</w:t>
            </w:r>
          </w:p>
        </w:tc>
        <w:tc>
          <w:tcPr>
            <w:tcW w:w="3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Borders>
              <w:top w:val="single" w:sz="8" w:color="auto"/>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6,772.1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Calibri" w:cs="Calibri" w:eastAsia="Calibri" w:hAnsi="Calibri"/>
                <w:sz w:val="13"/>
                <w:szCs w:val="13"/>
                <w:color w:val="auto"/>
              </w:rPr>
              <w:t>295.3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295.3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295.3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420" w:type="dxa"/>
            <w:vAlign w:val="bottom"/>
            <w:shd w:val="clear" w:color="auto" w:fill="CFF0FC"/>
          </w:tcPr>
          <w:p>
            <w:pPr>
              <w:ind w:left="200"/>
              <w:spacing w:after="0" w:line="131"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3.0</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3.0</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3.0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Dividends declared ($0.66 per share)</w:t>
            </w:r>
          </w:p>
        </w:tc>
        <w:tc>
          <w:tcPr>
            <w:tcW w:w="12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(41.4 )</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(41.4 )</w:t>
            </w: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(41.4 )</w:t>
            </w:r>
          </w:p>
        </w:tc>
        <w:tc>
          <w:tcPr>
            <w:tcW w:w="0" w:type="dxa"/>
            <w:vAlign w:val="bottom"/>
          </w:tcPr>
          <w:p>
            <w:pPr>
              <w:spacing w:after="0"/>
              <w:rPr>
                <w:sz w:val="1"/>
                <w:szCs w:val="1"/>
                <w:color w:val="auto"/>
              </w:rPr>
            </w:pPr>
          </w:p>
        </w:tc>
      </w:tr>
      <w:tr>
        <w:trPr>
          <w:trHeight w:val="131"/>
        </w:trPr>
        <w:tc>
          <w:tcPr>
            <w:tcW w:w="2420" w:type="dxa"/>
            <w:vAlign w:val="bottom"/>
            <w:shd w:val="clear" w:color="auto" w:fill="CFF0FC"/>
          </w:tcPr>
          <w:p>
            <w:pPr>
              <w:ind w:left="200"/>
              <w:spacing w:after="0" w:line="131"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(1.1 )</w:t>
            </w:r>
          </w:p>
        </w:tc>
        <w:tc>
          <w:tcPr>
            <w:tcW w:w="1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(1.1 )</w:t>
            </w: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(1.1 )</w:t>
            </w: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Repurchases of common stock</w:t>
            </w:r>
          </w:p>
        </w:tc>
        <w:tc>
          <w:tcPr>
            <w:tcW w:w="1120" w:type="dxa"/>
            <w:vAlign w:val="bottom"/>
            <w:gridSpan w:val="3"/>
          </w:tcPr>
          <w:p>
            <w:pPr>
              <w:jc w:val="right"/>
              <w:ind w:right="180"/>
              <w:spacing w:after="0" w:line="149" w:lineRule="exact"/>
              <w:rPr>
                <w:sz w:val="20"/>
                <w:szCs w:val="20"/>
                <w:color w:val="auto"/>
              </w:rPr>
            </w:pPr>
            <w:r>
              <w:rPr>
                <w:rFonts w:ascii="Calibri" w:cs="Calibri" w:eastAsia="Calibri" w:hAnsi="Calibri"/>
                <w:sz w:val="13"/>
                <w:szCs w:val="13"/>
                <w:color w:val="auto"/>
              </w:rPr>
              <w:t>(0.3 )</w:t>
            </w: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(100.0 )</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(100.0 )</w:t>
            </w: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(100.0 )</w:t>
            </w:r>
          </w:p>
        </w:tc>
        <w:tc>
          <w:tcPr>
            <w:tcW w:w="0" w:type="dxa"/>
            <w:vAlign w:val="bottom"/>
          </w:tcPr>
          <w:p>
            <w:pPr>
              <w:spacing w:after="0"/>
              <w:rPr>
                <w:sz w:val="1"/>
                <w:szCs w:val="1"/>
                <w:color w:val="auto"/>
              </w:rPr>
            </w:pPr>
          </w:p>
        </w:tc>
      </w:tr>
      <w:tr>
        <w:trPr>
          <w:trHeight w:val="164"/>
        </w:trPr>
        <w:tc>
          <w:tcPr>
            <w:tcW w:w="24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3"/>
                <w:szCs w:val="13"/>
                <w:color w:val="auto"/>
              </w:rPr>
              <w:t>Stock-based compensaton expense</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9.9</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9.9</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9.9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20" w:type="dxa"/>
            <w:vAlign w:val="bottom"/>
          </w:tcPr>
          <w:p>
            <w:pPr>
              <w:ind w:left="20"/>
              <w:spacing w:after="0"/>
              <w:rPr>
                <w:sz w:val="20"/>
                <w:szCs w:val="20"/>
                <w:color w:val="auto"/>
              </w:rPr>
            </w:pPr>
            <w:r>
              <w:rPr>
                <w:rFonts w:ascii="Calibri" w:cs="Calibri" w:eastAsia="Calibri" w:hAnsi="Calibri"/>
                <w:sz w:val="13"/>
                <w:szCs w:val="13"/>
                <w:color w:val="auto"/>
              </w:rPr>
              <w:t>Balance at September 30, 2022</w:t>
            </w:r>
          </w:p>
        </w:tc>
        <w:tc>
          <w:tcPr>
            <w:tcW w:w="12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Calibri" w:cs="Calibri" w:eastAsia="Calibri" w:hAnsi="Calibri"/>
                <w:sz w:val="13"/>
                <w:szCs w:val="13"/>
                <w:color w:val="auto"/>
              </w:rPr>
              <w:t>62.1</w:t>
            </w:r>
          </w:p>
        </w:tc>
        <w:tc>
          <w:tcPr>
            <w:tcW w:w="220" w:type="dxa"/>
            <w:vAlign w:val="bottom"/>
          </w:tcPr>
          <w:p>
            <w:pPr>
              <w:spacing w:after="0"/>
              <w:rPr>
                <w:sz w:val="13"/>
                <w:szCs w:val="13"/>
                <w:color w:val="auto"/>
              </w:rPr>
            </w:pPr>
          </w:p>
        </w:tc>
        <w:tc>
          <w:tcPr>
            <w:tcW w:w="400" w:type="dxa"/>
            <w:vAlign w:val="bottom"/>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0.6</w:t>
            </w:r>
          </w:p>
        </w:tc>
        <w:tc>
          <w:tcPr>
            <w:tcW w:w="240" w:type="dxa"/>
            <w:vAlign w:val="bottom"/>
          </w:tcPr>
          <w:p>
            <w:pPr>
              <w:spacing w:after="0"/>
              <w:rPr>
                <w:sz w:val="13"/>
                <w:szCs w:val="13"/>
                <w:color w:val="auto"/>
              </w:rPr>
            </w:pPr>
          </w:p>
        </w:tc>
        <w:tc>
          <w:tcPr>
            <w:tcW w:w="10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40" w:type="dxa"/>
            <w:vAlign w:val="bottom"/>
          </w:tcPr>
          <w:p>
            <w:pPr>
              <w:jc w:val="right"/>
              <w:spacing w:after="0" w:line="149" w:lineRule="exact"/>
              <w:rPr>
                <w:sz w:val="20"/>
                <w:szCs w:val="20"/>
                <w:color w:val="auto"/>
              </w:rPr>
            </w:pPr>
            <w:r>
              <w:rPr>
                <w:rFonts w:ascii="Calibri" w:cs="Calibri" w:eastAsia="Calibri" w:hAnsi="Calibri"/>
                <w:sz w:val="13"/>
                <w:szCs w:val="13"/>
                <w:color w:val="auto"/>
              </w:rPr>
              <w:t>3,483.2</w:t>
            </w:r>
          </w:p>
        </w:tc>
        <w:tc>
          <w:tcPr>
            <w:tcW w:w="200" w:type="dxa"/>
            <w:vAlign w:val="bottom"/>
          </w:tcPr>
          <w:p>
            <w:pPr>
              <w:spacing w:after="0"/>
              <w:rPr>
                <w:sz w:val="13"/>
                <w:szCs w:val="13"/>
                <w:color w:val="auto"/>
              </w:rPr>
            </w:pPr>
          </w:p>
        </w:tc>
        <w:tc>
          <w:tcPr>
            <w:tcW w:w="10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200" w:type="dxa"/>
            <w:vAlign w:val="bottom"/>
            <w:gridSpan w:val="2"/>
          </w:tcPr>
          <w:p>
            <w:pPr>
              <w:jc w:val="right"/>
              <w:ind w:right="113"/>
              <w:spacing w:after="0" w:line="149" w:lineRule="exact"/>
              <w:rPr>
                <w:sz w:val="20"/>
                <w:szCs w:val="20"/>
                <w:color w:val="auto"/>
              </w:rPr>
            </w:pPr>
            <w:r>
              <w:rPr>
                <w:rFonts w:ascii="Calibri" w:cs="Calibri" w:eastAsia="Calibri" w:hAnsi="Calibri"/>
                <w:sz w:val="13"/>
                <w:szCs w:val="13"/>
                <w:color w:val="auto"/>
              </w:rPr>
              <w:t>(125.1 )</w:t>
            </w:r>
          </w:p>
        </w:tc>
        <w:tc>
          <w:tcPr>
            <w:tcW w:w="8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Pr>
          <w:p>
            <w:pPr>
              <w:jc w:val="right"/>
              <w:spacing w:after="0" w:line="149" w:lineRule="exact"/>
              <w:rPr>
                <w:sz w:val="20"/>
                <w:szCs w:val="20"/>
                <w:color w:val="auto"/>
              </w:rPr>
            </w:pPr>
            <w:r>
              <w:rPr>
                <w:rFonts w:ascii="Calibri" w:cs="Calibri" w:eastAsia="Calibri" w:hAnsi="Calibri"/>
                <w:sz w:val="13"/>
                <w:szCs w:val="13"/>
                <w:color w:val="auto"/>
              </w:rPr>
              <w:t>3,577.0</w:t>
            </w:r>
          </w:p>
        </w:tc>
        <w:tc>
          <w:tcPr>
            <w:tcW w:w="200" w:type="dxa"/>
            <w:vAlign w:val="bottom"/>
          </w:tcPr>
          <w:p>
            <w:pPr>
              <w:spacing w:after="0"/>
              <w:rPr>
                <w:sz w:val="13"/>
                <w:szCs w:val="13"/>
                <w:color w:val="auto"/>
              </w:rPr>
            </w:pPr>
          </w:p>
        </w:tc>
        <w:tc>
          <w:tcPr>
            <w:tcW w:w="8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6,935.7</w:t>
            </w:r>
          </w:p>
        </w:tc>
        <w:tc>
          <w:tcPr>
            <w:tcW w:w="200" w:type="dxa"/>
            <w:vAlign w:val="bottom"/>
          </w:tcPr>
          <w:p>
            <w:pPr>
              <w:spacing w:after="0"/>
              <w:rPr>
                <w:sz w:val="13"/>
                <w:szCs w:val="13"/>
                <w:color w:val="auto"/>
              </w:rPr>
            </w:pPr>
          </w:p>
        </w:tc>
        <w:tc>
          <w:tcPr>
            <w:tcW w:w="12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Pr>
          <w:p>
            <w:pPr>
              <w:jc w:val="right"/>
              <w:spacing w:after="0" w:line="149" w:lineRule="exact"/>
              <w:rPr>
                <w:sz w:val="20"/>
                <w:szCs w:val="20"/>
                <w:color w:val="auto"/>
              </w:rPr>
            </w:pPr>
            <w:r>
              <w:rPr>
                <w:rFonts w:ascii="Calibri" w:cs="Calibri" w:eastAsia="Calibri" w:hAnsi="Calibri"/>
                <w:sz w:val="13"/>
                <w:szCs w:val="13"/>
                <w:color w:val="auto"/>
              </w:rPr>
              <w:t>2.1</w:t>
            </w:r>
          </w:p>
        </w:tc>
        <w:tc>
          <w:tcPr>
            <w:tcW w:w="300" w:type="dxa"/>
            <w:vAlign w:val="bottom"/>
          </w:tcPr>
          <w:p>
            <w:pPr>
              <w:spacing w:after="0"/>
              <w:rPr>
                <w:sz w:val="13"/>
                <w:szCs w:val="13"/>
                <w:color w:val="auto"/>
              </w:rPr>
            </w:pPr>
          </w:p>
        </w:tc>
        <w:tc>
          <w:tcPr>
            <w:tcW w:w="8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6,937.8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line="149" w:lineRule="exact"/>
              <w:rPr>
                <w:sz w:val="20"/>
                <w:szCs w:val="20"/>
                <w:color w:val="auto"/>
              </w:rPr>
            </w:pPr>
            <w:r>
              <w:rPr>
                <w:rFonts w:ascii="Calibri" w:cs="Calibri" w:eastAsia="Calibri" w:hAnsi="Calibri"/>
                <w:sz w:val="13"/>
                <w:szCs w:val="13"/>
                <w:color w:val="auto"/>
              </w:rPr>
              <w:t>Balance at December 31, 2021</w:t>
            </w:r>
          </w:p>
        </w:tc>
        <w:tc>
          <w:tcPr>
            <w:tcW w:w="90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62.4</w:t>
            </w:r>
          </w:p>
        </w:tc>
        <w:tc>
          <w:tcPr>
            <w:tcW w:w="220" w:type="dxa"/>
            <w:vAlign w:val="bottom"/>
          </w:tcPr>
          <w:p>
            <w:pPr>
              <w:spacing w:after="0"/>
              <w:rPr>
                <w:sz w:val="13"/>
                <w:szCs w:val="13"/>
                <w:color w:val="auto"/>
              </w:rPr>
            </w:pPr>
          </w:p>
        </w:tc>
        <w:tc>
          <w:tcPr>
            <w:tcW w:w="400" w:type="dxa"/>
            <w:vAlign w:val="bottom"/>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0.6</w:t>
            </w:r>
          </w:p>
        </w:tc>
        <w:tc>
          <w:tcPr>
            <w:tcW w:w="34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line="149" w:lineRule="exact"/>
              <w:rPr>
                <w:sz w:val="20"/>
                <w:szCs w:val="20"/>
                <w:color w:val="auto"/>
              </w:rPr>
            </w:pPr>
            <w:r>
              <w:rPr>
                <w:rFonts w:ascii="Calibri" w:cs="Calibri" w:eastAsia="Calibri" w:hAnsi="Calibri"/>
                <w:sz w:val="13"/>
                <w:szCs w:val="13"/>
                <w:color w:val="auto"/>
              </w:rPr>
              <w:t>3,470.4</w:t>
            </w:r>
          </w:p>
        </w:tc>
        <w:tc>
          <w:tcPr>
            <w:tcW w:w="200" w:type="dxa"/>
            <w:vAlign w:val="bottom"/>
          </w:tcPr>
          <w:p>
            <w:pPr>
              <w:spacing w:after="0"/>
              <w:rPr>
                <w:sz w:val="13"/>
                <w:szCs w:val="13"/>
                <w:color w:val="auto"/>
              </w:rPr>
            </w:pPr>
          </w:p>
        </w:tc>
        <w:tc>
          <w:tcPr>
            <w:tcW w:w="10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200" w:type="dxa"/>
            <w:vAlign w:val="bottom"/>
            <w:gridSpan w:val="2"/>
          </w:tcPr>
          <w:p>
            <w:pPr>
              <w:jc w:val="right"/>
              <w:ind w:right="113"/>
              <w:spacing w:after="0" w:line="149" w:lineRule="exact"/>
              <w:rPr>
                <w:sz w:val="20"/>
                <w:szCs w:val="20"/>
                <w:color w:val="auto"/>
              </w:rPr>
            </w:pPr>
            <w:r>
              <w:rPr>
                <w:rFonts w:ascii="Calibri" w:cs="Calibri" w:eastAsia="Calibri" w:hAnsi="Calibri"/>
                <w:sz w:val="13"/>
                <w:szCs w:val="13"/>
                <w:color w:val="auto"/>
              </w:rPr>
              <w:t>(97.6 )</w:t>
            </w:r>
          </w:p>
        </w:tc>
        <w:tc>
          <w:tcPr>
            <w:tcW w:w="8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Pr>
          <w:p>
            <w:pPr>
              <w:jc w:val="right"/>
              <w:spacing w:after="0" w:line="149" w:lineRule="exact"/>
              <w:rPr>
                <w:sz w:val="20"/>
                <w:szCs w:val="20"/>
                <w:color w:val="auto"/>
              </w:rPr>
            </w:pPr>
            <w:r>
              <w:rPr>
                <w:rFonts w:ascii="Calibri" w:cs="Calibri" w:eastAsia="Calibri" w:hAnsi="Calibri"/>
                <w:sz w:val="13"/>
                <w:szCs w:val="13"/>
                <w:color w:val="auto"/>
              </w:rPr>
              <w:t>3,161.9</w:t>
            </w:r>
          </w:p>
        </w:tc>
        <w:tc>
          <w:tcPr>
            <w:tcW w:w="200" w:type="dxa"/>
            <w:vAlign w:val="bottom"/>
          </w:tcPr>
          <w:p>
            <w:pPr>
              <w:spacing w:after="0"/>
              <w:rPr>
                <w:sz w:val="13"/>
                <w:szCs w:val="13"/>
                <w:color w:val="auto"/>
              </w:rPr>
            </w:pPr>
          </w:p>
        </w:tc>
        <w:tc>
          <w:tcPr>
            <w:tcW w:w="8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6,535.3</w:t>
            </w:r>
          </w:p>
        </w:tc>
        <w:tc>
          <w:tcPr>
            <w:tcW w:w="200" w:type="dxa"/>
            <w:vAlign w:val="bottom"/>
          </w:tcPr>
          <w:p>
            <w:pPr>
              <w:spacing w:after="0"/>
              <w:rPr>
                <w:sz w:val="13"/>
                <w:szCs w:val="13"/>
                <w:color w:val="auto"/>
              </w:rPr>
            </w:pPr>
          </w:p>
        </w:tc>
        <w:tc>
          <w:tcPr>
            <w:tcW w:w="12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Pr>
          <w:p>
            <w:pPr>
              <w:jc w:val="right"/>
              <w:spacing w:after="0" w:line="149" w:lineRule="exact"/>
              <w:rPr>
                <w:sz w:val="20"/>
                <w:szCs w:val="20"/>
                <w:color w:val="auto"/>
              </w:rPr>
            </w:pPr>
            <w:r>
              <w:rPr>
                <w:rFonts w:ascii="Calibri" w:cs="Calibri" w:eastAsia="Calibri" w:hAnsi="Calibri"/>
                <w:sz w:val="13"/>
                <w:szCs w:val="13"/>
                <w:color w:val="auto"/>
              </w:rPr>
              <w:t>2.3</w:t>
            </w:r>
          </w:p>
        </w:tc>
        <w:tc>
          <w:tcPr>
            <w:tcW w:w="300" w:type="dxa"/>
            <w:vAlign w:val="bottom"/>
          </w:tcPr>
          <w:p>
            <w:pPr>
              <w:spacing w:after="0"/>
              <w:rPr>
                <w:sz w:val="13"/>
                <w:szCs w:val="13"/>
                <w:color w:val="auto"/>
              </w:rPr>
            </w:pPr>
          </w:p>
        </w:tc>
        <w:tc>
          <w:tcPr>
            <w:tcW w:w="80" w:type="dxa"/>
            <w:vAlign w:val="bottom"/>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6,537.6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FF0FC"/>
          </w:tcPr>
          <w:p>
            <w:pPr>
              <w:ind w:left="200"/>
              <w:spacing w:after="0" w:line="155" w:lineRule="exact"/>
              <w:rPr>
                <w:sz w:val="20"/>
                <w:szCs w:val="20"/>
                <w:color w:val="auto"/>
              </w:rPr>
            </w:pPr>
            <w:r>
              <w:rPr>
                <w:rFonts w:ascii="Calibri" w:cs="Calibri" w:eastAsia="Calibri" w:hAnsi="Calibri"/>
                <w:sz w:val="13"/>
                <w:szCs w:val="13"/>
                <w:color w:val="auto"/>
              </w:rPr>
              <w:t>Consolidated net earnings (loss)</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line="155" w:lineRule="exact"/>
              <w:rPr>
                <w:sz w:val="20"/>
                <w:szCs w:val="20"/>
                <w:color w:val="auto"/>
              </w:rPr>
            </w:pPr>
            <w:r>
              <w:rPr>
                <w:rFonts w:ascii="Calibri" w:cs="Calibri" w:eastAsia="Calibri" w:hAnsi="Calibri"/>
                <w:sz w:val="13"/>
                <w:szCs w:val="13"/>
                <w:color w:val="auto"/>
              </w:rPr>
              <w:t>—</w:t>
            </w: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line="155"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73"/>
              <w:spacing w:after="0" w:line="155"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683.2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683.2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line="155" w:lineRule="exact"/>
              <w:rPr>
                <w:sz w:val="20"/>
                <w:szCs w:val="20"/>
                <w:color w:val="auto"/>
              </w:rPr>
            </w:pPr>
            <w:r>
              <w:rPr>
                <w:rFonts w:ascii="Calibri" w:cs="Calibri" w:eastAsia="Calibri" w:hAnsi="Calibri"/>
                <w:sz w:val="13"/>
                <w:szCs w:val="13"/>
                <w:color w:val="auto"/>
              </w:rPr>
              <w:t>(0.2 )</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683.0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Other comprehensive loss, net of tax</w:t>
            </w:r>
          </w:p>
        </w:tc>
        <w:tc>
          <w:tcPr>
            <w:tcW w:w="120" w:type="dxa"/>
            <w:vAlign w:val="bottom"/>
          </w:tcPr>
          <w:p>
            <w:pPr>
              <w:spacing w:after="0"/>
              <w:rPr>
                <w:sz w:val="13"/>
                <w:szCs w:val="13"/>
                <w:color w:val="auto"/>
              </w:rPr>
            </w:pPr>
          </w:p>
        </w:tc>
        <w:tc>
          <w:tcPr>
            <w:tcW w:w="1000" w:type="dxa"/>
            <w:vAlign w:val="bottom"/>
            <w:gridSpan w:val="2"/>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13"/>
              <w:spacing w:after="0" w:line="149" w:lineRule="exact"/>
              <w:rPr>
                <w:sz w:val="20"/>
                <w:szCs w:val="20"/>
                <w:color w:val="auto"/>
              </w:rPr>
            </w:pPr>
            <w:r>
              <w:rPr>
                <w:rFonts w:ascii="Calibri" w:cs="Calibri" w:eastAsia="Calibri" w:hAnsi="Calibri"/>
                <w:sz w:val="13"/>
                <w:szCs w:val="13"/>
                <w:color w:val="auto"/>
              </w:rPr>
              <w:t>(27.5 )</w:t>
            </w: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(27.5 )</w:t>
            </w: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(27.5 )</w:t>
            </w:r>
          </w:p>
        </w:tc>
        <w:tc>
          <w:tcPr>
            <w:tcW w:w="0" w:type="dxa"/>
            <w:vAlign w:val="bottom"/>
          </w:tcPr>
          <w:p>
            <w:pPr>
              <w:spacing w:after="0"/>
              <w:rPr>
                <w:sz w:val="1"/>
                <w:szCs w:val="1"/>
                <w:color w:val="auto"/>
              </w:rPr>
            </w:pPr>
          </w:p>
        </w:tc>
      </w:tr>
      <w:tr>
        <w:trPr>
          <w:trHeight w:val="169"/>
        </w:trPr>
        <w:tc>
          <w:tcPr>
            <w:tcW w:w="2420" w:type="dxa"/>
            <w:vAlign w:val="bottom"/>
            <w:shd w:val="clear" w:color="auto" w:fill="CFF0FC"/>
          </w:tcPr>
          <w:p>
            <w:pPr>
              <w:ind w:left="200"/>
              <w:spacing w:after="0" w:line="155" w:lineRule="exact"/>
              <w:rPr>
                <w:sz w:val="20"/>
                <w:szCs w:val="20"/>
                <w:color w:val="auto"/>
              </w:rPr>
            </w:pPr>
            <w:r>
              <w:rPr>
                <w:rFonts w:ascii="Calibri" w:cs="Calibri" w:eastAsia="Calibri" w:hAnsi="Calibri"/>
                <w:sz w:val="13"/>
                <w:szCs w:val="13"/>
                <w:color w:val="auto"/>
              </w:rPr>
              <w:t>Dividends declared ($1.88 per share)</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line="155" w:lineRule="exact"/>
              <w:rPr>
                <w:sz w:val="20"/>
                <w:szCs w:val="20"/>
                <w:color w:val="auto"/>
              </w:rPr>
            </w:pPr>
            <w:r>
              <w:rPr>
                <w:rFonts w:ascii="Calibri" w:cs="Calibri" w:eastAsia="Calibri" w:hAnsi="Calibri"/>
                <w:sz w:val="13"/>
                <w:szCs w:val="13"/>
                <w:color w:val="auto"/>
              </w:rPr>
              <w:t>—</w:t>
            </w: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line="155"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73"/>
              <w:spacing w:after="0" w:line="155"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line="155" w:lineRule="exact"/>
              <w:rPr>
                <w:sz w:val="20"/>
                <w:szCs w:val="20"/>
                <w:color w:val="auto"/>
              </w:rPr>
            </w:pPr>
            <w:r>
              <w:rPr>
                <w:rFonts w:ascii="Calibri" w:cs="Calibri" w:eastAsia="Calibri" w:hAnsi="Calibri"/>
                <w:sz w:val="13"/>
                <w:szCs w:val="13"/>
                <w:color w:val="auto"/>
              </w:rPr>
              <w:t>(118.1 )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line="155" w:lineRule="exact"/>
              <w:rPr>
                <w:sz w:val="20"/>
                <w:szCs w:val="20"/>
                <w:color w:val="auto"/>
              </w:rPr>
            </w:pPr>
            <w:r>
              <w:rPr>
                <w:rFonts w:ascii="Calibri" w:cs="Calibri" w:eastAsia="Calibri" w:hAnsi="Calibri"/>
                <w:sz w:val="13"/>
                <w:szCs w:val="13"/>
                <w:color w:val="auto"/>
              </w:rPr>
              <w:t>(118.1 )</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20"/>
              <w:spacing w:after="0" w:line="155"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line="155" w:lineRule="exact"/>
              <w:rPr>
                <w:sz w:val="20"/>
                <w:szCs w:val="20"/>
                <w:color w:val="auto"/>
              </w:rPr>
            </w:pPr>
            <w:r>
              <w:rPr>
                <w:rFonts w:ascii="Calibri" w:cs="Calibri" w:eastAsia="Calibri" w:hAnsi="Calibri"/>
                <w:sz w:val="13"/>
                <w:szCs w:val="13"/>
                <w:color w:val="auto"/>
              </w:rPr>
              <w:t>(118.1 )</w:t>
            </w:r>
          </w:p>
        </w:tc>
        <w:tc>
          <w:tcPr>
            <w:tcW w:w="0" w:type="dxa"/>
            <w:vAlign w:val="bottom"/>
          </w:tcPr>
          <w:p>
            <w:pPr>
              <w:spacing w:after="0"/>
              <w:rPr>
                <w:sz w:val="1"/>
                <w:szCs w:val="1"/>
                <w:color w:val="auto"/>
              </w:rPr>
            </w:pPr>
          </w:p>
        </w:tc>
      </w:tr>
      <w:tr>
        <w:trPr>
          <w:trHeight w:val="125"/>
        </w:trPr>
        <w:tc>
          <w:tcPr>
            <w:tcW w:w="2420" w:type="dxa"/>
            <w:vAlign w:val="bottom"/>
          </w:tcPr>
          <w:p>
            <w:pPr>
              <w:ind w:left="200"/>
              <w:spacing w:after="0" w:line="125"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90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0.1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alibri" w:cs="Calibri" w:eastAsia="Calibri" w:hAnsi="Calibri"/>
                <w:sz w:val="13"/>
                <w:szCs w:val="13"/>
                <w:color w:val="auto"/>
              </w:rPr>
              <w:t>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4.7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20" w:type="dxa"/>
            <w:vAlign w:val="bottom"/>
            <w:shd w:val="clear" w:color="auto" w:fill="CFF0FC"/>
          </w:tcPr>
          <w:p>
            <w:pPr>
              <w:ind w:left="200"/>
              <w:spacing w:after="0" w:line="125"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240"/>
              <w:spacing w:after="0" w:line="149"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(26.2 )</w:t>
            </w:r>
          </w:p>
        </w:tc>
        <w:tc>
          <w:tcPr>
            <w:tcW w:w="1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(26.2 )</w:t>
            </w: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(26.2 )</w:t>
            </w: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Repurchases of common stock</w:t>
            </w:r>
          </w:p>
        </w:tc>
        <w:tc>
          <w:tcPr>
            <w:tcW w:w="1120" w:type="dxa"/>
            <w:vAlign w:val="bottom"/>
            <w:gridSpan w:val="3"/>
          </w:tcPr>
          <w:p>
            <w:pPr>
              <w:jc w:val="right"/>
              <w:ind w:right="180"/>
              <w:spacing w:after="0" w:line="149" w:lineRule="exact"/>
              <w:rPr>
                <w:sz w:val="20"/>
                <w:szCs w:val="20"/>
                <w:color w:val="auto"/>
              </w:rPr>
            </w:pPr>
            <w:r>
              <w:rPr>
                <w:rFonts w:ascii="Calibri" w:cs="Calibri" w:eastAsia="Calibri" w:hAnsi="Calibri"/>
                <w:sz w:val="13"/>
                <w:szCs w:val="13"/>
                <w:color w:val="auto"/>
              </w:rPr>
              <w:t>(0.4 )</w:t>
            </w: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(150.0 )</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(150.0 )</w:t>
            </w: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(150.0 )</w:t>
            </w:r>
          </w:p>
        </w:tc>
        <w:tc>
          <w:tcPr>
            <w:tcW w:w="0" w:type="dxa"/>
            <w:vAlign w:val="bottom"/>
          </w:tcPr>
          <w:p>
            <w:pPr>
              <w:spacing w:after="0"/>
              <w:rPr>
                <w:sz w:val="1"/>
                <w:szCs w:val="1"/>
                <w:color w:val="auto"/>
              </w:rPr>
            </w:pPr>
          </w:p>
        </w:tc>
      </w:tr>
      <w:tr>
        <w:trPr>
          <w:trHeight w:val="169"/>
        </w:trPr>
        <w:tc>
          <w:tcPr>
            <w:tcW w:w="2420" w:type="dxa"/>
            <w:vAlign w:val="bottom"/>
            <w:shd w:val="clear" w:color="auto" w:fill="CFF0FC"/>
          </w:tcPr>
          <w:p>
            <w:pPr>
              <w:ind w:left="200"/>
              <w:spacing w:after="0" w:line="155"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line="155" w:lineRule="exact"/>
              <w:rPr>
                <w:sz w:val="20"/>
                <w:szCs w:val="20"/>
                <w:color w:val="auto"/>
              </w:rPr>
            </w:pPr>
            <w:r>
              <w:rPr>
                <w:rFonts w:ascii="Calibri" w:cs="Calibri" w:eastAsia="Calibri" w:hAnsi="Calibri"/>
                <w:sz w:val="13"/>
                <w:szCs w:val="13"/>
                <w:color w:val="auto"/>
              </w:rPr>
              <w:t>—</w:t>
            </w: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34.3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73"/>
              <w:spacing w:after="0" w:line="155"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line="155"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34.3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20"/>
              <w:spacing w:after="0" w:line="155"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55" w:lineRule="exact"/>
              <w:rPr>
                <w:sz w:val="20"/>
                <w:szCs w:val="20"/>
                <w:color w:val="auto"/>
              </w:rPr>
            </w:pPr>
            <w:r>
              <w:rPr>
                <w:rFonts w:ascii="Calibri" w:cs="Calibri" w:eastAsia="Calibri" w:hAnsi="Calibri"/>
                <w:sz w:val="13"/>
                <w:szCs w:val="13"/>
                <w:color w:val="auto"/>
              </w:rPr>
              <w:t>34.3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20" w:type="dxa"/>
            <w:vAlign w:val="bottom"/>
          </w:tcPr>
          <w:p>
            <w:pPr>
              <w:ind w:left="20"/>
              <w:spacing w:after="0" w:line="156" w:lineRule="exact"/>
              <w:rPr>
                <w:sz w:val="20"/>
                <w:szCs w:val="20"/>
                <w:color w:val="auto"/>
              </w:rPr>
            </w:pPr>
            <w:r>
              <w:rPr>
                <w:rFonts w:ascii="Calibri" w:cs="Calibri" w:eastAsia="Calibri" w:hAnsi="Calibri"/>
                <w:sz w:val="13"/>
                <w:szCs w:val="13"/>
                <w:color w:val="auto"/>
              </w:rPr>
              <w:t>Balance at September 30, 2022</w:t>
            </w:r>
          </w:p>
        </w:tc>
        <w:tc>
          <w:tcPr>
            <w:tcW w:w="1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62.1</w:t>
            </w:r>
          </w:p>
        </w:tc>
        <w:tc>
          <w:tcPr>
            <w:tcW w:w="2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0.6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3,483.2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(125.1</w:t>
            </w:r>
          </w:p>
        </w:tc>
        <w:tc>
          <w:tcPr>
            <w:tcW w:w="200" w:type="dxa"/>
            <w:vAlign w:val="bottom"/>
          </w:tcPr>
          <w:p>
            <w:pPr>
              <w:jc w:val="right"/>
              <w:ind w:right="11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3,577.0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6,935.7</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2.1</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6,937.8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-1370965</wp:posOffset>
            </wp:positionV>
            <wp:extent cx="7683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-1370965</wp:posOffset>
            </wp:positionV>
            <wp:extent cx="7683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-1370965</wp:posOffset>
            </wp:positionV>
            <wp:extent cx="6858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-1370965</wp:posOffset>
            </wp:positionV>
            <wp:extent cx="6858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-1370965</wp:posOffset>
            </wp:positionV>
            <wp:extent cx="6858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-1370965</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-1370965</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 w:name="page7"/>
    <w:bookmarkEnd w:id="6"/>
    <w:p>
      <w:pPr>
        <w:jc w:val="center"/>
        <w:ind w:right="-19"/>
        <w:spacing w:after="0"/>
        <w:rPr>
          <w:sz w:val="20"/>
          <w:szCs w:val="20"/>
          <w:color w:val="auto"/>
        </w:rPr>
      </w:pPr>
      <w:r>
        <w:rPr>
          <w:rFonts w:ascii="Calibri" w:cs="Calibri" w:eastAsia="Calibri" w:hAnsi="Calibri"/>
          <w:sz w:val="18"/>
          <w:szCs w:val="18"/>
          <w:color w:val="auto"/>
        </w:rPr>
        <w:t>MARTIN MARIETTA MATERIALS, INC. AND CONSOLIDATED SUBSIDIARIES</w:t>
      </w:r>
    </w:p>
    <w:p>
      <w:pPr>
        <w:jc w:val="center"/>
        <w:spacing w:after="0" w:line="235" w:lineRule="auto"/>
        <w:rPr>
          <w:sz w:val="20"/>
          <w:szCs w:val="20"/>
          <w:color w:val="auto"/>
        </w:rPr>
      </w:pPr>
      <w:r>
        <w:rPr>
          <w:rFonts w:ascii="Calibri" w:cs="Calibri" w:eastAsia="Calibri" w:hAnsi="Calibri"/>
          <w:sz w:val="18"/>
          <w:szCs w:val="18"/>
          <w:color w:val="auto"/>
        </w:rPr>
        <w:t>(UNAUDITED) CONSOLIDATED STATEMENTS OF TOTAL EQUITY (Contnued)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93"/>
              <w:spacing w:after="0"/>
              <w:rPr>
                <w:sz w:val="20"/>
                <w:szCs w:val="20"/>
                <w:color w:val="auto"/>
              </w:rPr>
            </w:pPr>
            <w:r>
              <w:rPr>
                <w:rFonts w:ascii="Calibri" w:cs="Calibri" w:eastAsia="Calibri" w:hAnsi="Calibri"/>
                <w:sz w:val="13"/>
                <w:szCs w:val="13"/>
                <w:color w:val="auto"/>
                <w:w w:val="95"/>
              </w:rPr>
              <w:t>Accumulated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Calibri" w:cs="Calibri" w:eastAsia="Calibri" w:hAnsi="Calibri"/>
                <w:sz w:val="13"/>
                <w:szCs w:val="13"/>
                <w:color w:val="auto"/>
                <w:w w:val="98"/>
              </w:rPr>
              <w:t>Shares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Calibri" w:cs="Calibri" w:eastAsia="Calibri" w:hAnsi="Calibri"/>
                <w:sz w:val="13"/>
                <w:szCs w:val="13"/>
                <w:color w:val="auto"/>
              </w:rPr>
              <w:t>Additonal</w:t>
            </w:r>
          </w:p>
        </w:tc>
        <w:tc>
          <w:tcPr>
            <w:tcW w:w="100" w:type="dxa"/>
            <w:vAlign w:val="bottom"/>
          </w:tcPr>
          <w:p>
            <w:pPr>
              <w:spacing w:after="0"/>
              <w:rPr>
                <w:sz w:val="11"/>
                <w:szCs w:val="11"/>
                <w:color w:val="auto"/>
              </w:rPr>
            </w:pPr>
          </w:p>
        </w:tc>
        <w:tc>
          <w:tcPr>
            <w:tcW w:w="1200" w:type="dxa"/>
            <w:vAlign w:val="bottom"/>
            <w:gridSpan w:val="2"/>
          </w:tcPr>
          <w:p>
            <w:pPr>
              <w:jc w:val="center"/>
              <w:ind w:right="293"/>
              <w:spacing w:after="0" w:line="135" w:lineRule="exact"/>
              <w:rPr>
                <w:sz w:val="20"/>
                <w:szCs w:val="20"/>
                <w:color w:val="auto"/>
              </w:rPr>
            </w:pPr>
            <w:r>
              <w:rPr>
                <w:rFonts w:ascii="Calibri" w:cs="Calibri" w:eastAsia="Calibri" w:hAnsi="Calibri"/>
                <w:sz w:val="13"/>
                <w:szCs w:val="13"/>
                <w:color w:val="auto"/>
                <w:w w:val="97"/>
              </w:rPr>
              <w:t>Other</w:t>
            </w:r>
          </w:p>
        </w:tc>
        <w:tc>
          <w:tcPr>
            <w:tcW w:w="80" w:type="dxa"/>
            <w:vAlign w:val="bottom"/>
          </w:tcPr>
          <w:p>
            <w:pPr>
              <w:spacing w:after="0"/>
              <w:rPr>
                <w:sz w:val="11"/>
                <w:szCs w:val="11"/>
                <w:color w:val="auto"/>
              </w:rPr>
            </w:pPr>
          </w:p>
        </w:tc>
        <w:tc>
          <w:tcPr>
            <w:tcW w:w="780" w:type="dxa"/>
            <w:vAlign w:val="bottom"/>
            <w:gridSpan w:val="2"/>
            <w:vMerge w:val="restart"/>
          </w:tcPr>
          <w:p>
            <w:pPr>
              <w:jc w:val="right"/>
              <w:ind w:right="320"/>
              <w:spacing w:after="0"/>
              <w:rPr>
                <w:sz w:val="20"/>
                <w:szCs w:val="20"/>
                <w:color w:val="auto"/>
              </w:rPr>
            </w:pPr>
            <w:r>
              <w:rPr>
                <w:rFonts w:ascii="Calibri" w:cs="Calibri" w:eastAsia="Calibri" w:hAnsi="Calibri"/>
                <w:sz w:val="13"/>
                <w:szCs w:val="13"/>
                <w:color w:val="auto"/>
                <w:w w:val="93"/>
              </w:rPr>
              <w:t>Retained</w:t>
            </w:r>
          </w:p>
        </w:tc>
        <w:tc>
          <w:tcPr>
            <w:tcW w:w="8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Calibri" w:cs="Calibri" w:eastAsia="Calibri" w:hAnsi="Calibri"/>
                <w:sz w:val="13"/>
                <w:szCs w:val="13"/>
                <w:color w:val="auto"/>
                <w:w w:val="89"/>
              </w:rPr>
              <w:t>Total</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480"/>
              <w:spacing w:after="0"/>
              <w:rPr>
                <w:sz w:val="20"/>
                <w:szCs w:val="20"/>
                <w:color w:val="auto"/>
              </w:rPr>
            </w:pPr>
            <w:r>
              <w:rPr>
                <w:rFonts w:ascii="Calibri" w:cs="Calibri" w:eastAsia="Calibri" w:hAnsi="Calibri"/>
                <w:sz w:val="13"/>
                <w:szCs w:val="13"/>
                <w:color w:val="auto"/>
                <w:w w:val="98"/>
              </w:rPr>
              <w:t>Noncontrolling</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Calibri" w:cs="Calibri" w:eastAsia="Calibri" w:hAnsi="Calibri"/>
                <w:sz w:val="13"/>
                <w:szCs w:val="13"/>
                <w:color w:val="auto"/>
                <w:w w:val="99"/>
              </w:rPr>
              <w:t>Common</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93"/>
              <w:spacing w:after="0" w:line="122" w:lineRule="exact"/>
              <w:rPr>
                <w:sz w:val="20"/>
                <w:szCs w:val="20"/>
                <w:color w:val="auto"/>
              </w:rPr>
            </w:pPr>
            <w:r>
              <w:rPr>
                <w:rFonts w:ascii="Calibri" w:cs="Calibri" w:eastAsia="Calibri" w:hAnsi="Calibri"/>
                <w:sz w:val="13"/>
                <w:szCs w:val="13"/>
                <w:color w:val="auto"/>
                <w:w w:val="94"/>
              </w:rPr>
              <w:t>Comprehensive</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00"/>
              <w:spacing w:after="0" w:line="122" w:lineRule="exact"/>
              <w:rPr>
                <w:sz w:val="20"/>
                <w:szCs w:val="20"/>
                <w:color w:val="auto"/>
              </w:rPr>
            </w:pPr>
            <w:r>
              <w:rPr>
                <w:rFonts w:ascii="Calibri" w:cs="Calibri" w:eastAsia="Calibri" w:hAnsi="Calibri"/>
                <w:sz w:val="13"/>
                <w:szCs w:val="13"/>
                <w:color w:val="auto"/>
                <w:w w:val="96"/>
              </w:rPr>
              <w:t>Shareholders'</w:t>
            </w: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49" w:lineRule="exact"/>
              <w:rPr>
                <w:sz w:val="20"/>
                <w:szCs w:val="20"/>
                <w:color w:val="auto"/>
              </w:rPr>
            </w:pPr>
            <w:r>
              <w:rPr>
                <w:rFonts w:ascii="Calibri" w:cs="Calibri" w:eastAsia="Calibri" w:hAnsi="Calibri"/>
                <w:sz w:val="13"/>
                <w:szCs w:val="13"/>
                <w:i w:val="1"/>
                <w:iCs w:val="1"/>
                <w:color w:val="auto"/>
              </w:rPr>
              <w:t>(In Millions, Except Per Share Data)</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alibri" w:cs="Calibri" w:eastAsia="Calibri" w:hAnsi="Calibri"/>
                <w:sz w:val="13"/>
                <w:szCs w:val="13"/>
                <w:color w:val="auto"/>
                <w:w w:val="90"/>
              </w:rPr>
              <w:t>Stock</w:t>
            </w:r>
          </w:p>
        </w:tc>
        <w:tc>
          <w:tcPr>
            <w:tcW w:w="220" w:type="dxa"/>
            <w:vAlign w:val="bottom"/>
          </w:tcPr>
          <w:p>
            <w:pPr>
              <w:spacing w:after="0"/>
              <w:rPr>
                <w:sz w:val="14"/>
                <w:szCs w:val="14"/>
                <w:color w:val="auto"/>
              </w:rPr>
            </w:pPr>
          </w:p>
        </w:tc>
        <w:tc>
          <w:tcPr>
            <w:tcW w:w="90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Common Stock</w:t>
            </w:r>
          </w:p>
        </w:tc>
        <w:tc>
          <w:tcPr>
            <w:tcW w:w="240" w:type="dxa"/>
            <w:vAlign w:val="bottom"/>
          </w:tcPr>
          <w:p>
            <w:pPr>
              <w:spacing w:after="0"/>
              <w:rPr>
                <w:sz w:val="14"/>
                <w:szCs w:val="14"/>
                <w:color w:val="auto"/>
              </w:rPr>
            </w:pPr>
          </w:p>
        </w:tc>
        <w:tc>
          <w:tcPr>
            <w:tcW w:w="1040" w:type="dxa"/>
            <w:vAlign w:val="bottom"/>
            <w:gridSpan w:val="3"/>
          </w:tcPr>
          <w:p>
            <w:pPr>
              <w:jc w:val="right"/>
              <w:ind w:right="260"/>
              <w:spacing w:after="0" w:line="149" w:lineRule="exact"/>
              <w:rPr>
                <w:sz w:val="20"/>
                <w:szCs w:val="20"/>
                <w:color w:val="auto"/>
              </w:rPr>
            </w:pPr>
            <w:r>
              <w:rPr>
                <w:rFonts w:ascii="Calibri" w:cs="Calibri" w:eastAsia="Calibri" w:hAnsi="Calibri"/>
                <w:sz w:val="13"/>
                <w:szCs w:val="13"/>
                <w:color w:val="auto"/>
                <w:w w:val="99"/>
              </w:rPr>
              <w:t>Paid-in Capital</w:t>
            </w:r>
          </w:p>
        </w:tc>
        <w:tc>
          <w:tcPr>
            <w:tcW w:w="100" w:type="dxa"/>
            <w:vAlign w:val="bottom"/>
          </w:tcPr>
          <w:p>
            <w:pPr>
              <w:spacing w:after="0"/>
              <w:rPr>
                <w:sz w:val="14"/>
                <w:szCs w:val="14"/>
                <w:color w:val="auto"/>
              </w:rPr>
            </w:pPr>
          </w:p>
        </w:tc>
        <w:tc>
          <w:tcPr>
            <w:tcW w:w="1200" w:type="dxa"/>
            <w:vAlign w:val="bottom"/>
            <w:gridSpan w:val="2"/>
          </w:tcPr>
          <w:p>
            <w:pPr>
              <w:jc w:val="center"/>
              <w:ind w:right="253"/>
              <w:spacing w:after="0"/>
              <w:rPr>
                <w:sz w:val="20"/>
                <w:szCs w:val="20"/>
                <w:color w:val="auto"/>
              </w:rPr>
            </w:pPr>
            <w:r>
              <w:rPr>
                <w:rFonts w:ascii="Calibri" w:cs="Calibri" w:eastAsia="Calibri" w:hAnsi="Calibri"/>
                <w:sz w:val="13"/>
                <w:szCs w:val="13"/>
                <w:color w:val="auto"/>
                <w:w w:val="97"/>
              </w:rPr>
              <w:t>Loss</w:t>
            </w:r>
          </w:p>
        </w:tc>
        <w:tc>
          <w:tcPr>
            <w:tcW w:w="80" w:type="dxa"/>
            <w:vAlign w:val="bottom"/>
          </w:tcPr>
          <w:p>
            <w:pPr>
              <w:spacing w:after="0"/>
              <w:rPr>
                <w:sz w:val="14"/>
                <w:szCs w:val="14"/>
                <w:color w:val="auto"/>
              </w:rPr>
            </w:pPr>
          </w:p>
        </w:tc>
        <w:tc>
          <w:tcPr>
            <w:tcW w:w="7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w w:val="97"/>
              </w:rPr>
              <w:t>Earnings</w:t>
            </w:r>
          </w:p>
        </w:tc>
        <w:tc>
          <w:tcPr>
            <w:tcW w:w="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Calibri" w:cs="Calibri" w:eastAsia="Calibri" w:hAnsi="Calibri"/>
                <w:sz w:val="13"/>
                <w:szCs w:val="13"/>
                <w:color w:val="auto"/>
                <w:w w:val="96"/>
              </w:rPr>
              <w:t>Equity</w:t>
            </w:r>
          </w:p>
        </w:tc>
        <w:tc>
          <w:tcPr>
            <w:tcW w:w="120" w:type="dxa"/>
            <w:vAlign w:val="bottom"/>
          </w:tcPr>
          <w:p>
            <w:pPr>
              <w:spacing w:after="0"/>
              <w:rPr>
                <w:sz w:val="14"/>
                <w:szCs w:val="14"/>
                <w:color w:val="auto"/>
              </w:rPr>
            </w:pPr>
          </w:p>
        </w:tc>
        <w:tc>
          <w:tcPr>
            <w:tcW w:w="1280" w:type="dxa"/>
            <w:vAlign w:val="bottom"/>
            <w:gridSpan w:val="2"/>
          </w:tcPr>
          <w:p>
            <w:pPr>
              <w:jc w:val="right"/>
              <w:ind w:right="640"/>
              <w:spacing w:after="0" w:line="149" w:lineRule="exact"/>
              <w:rPr>
                <w:sz w:val="20"/>
                <w:szCs w:val="20"/>
                <w:color w:val="auto"/>
              </w:rPr>
            </w:pPr>
            <w:r>
              <w:rPr>
                <w:rFonts w:ascii="Calibri" w:cs="Calibri" w:eastAsia="Calibri" w:hAnsi="Calibri"/>
                <w:sz w:val="13"/>
                <w:szCs w:val="13"/>
                <w:color w:val="auto"/>
              </w:rPr>
              <w:t>Interests</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line="149" w:lineRule="exact"/>
              <w:rPr>
                <w:sz w:val="20"/>
                <w:szCs w:val="20"/>
                <w:color w:val="auto"/>
              </w:rPr>
            </w:pPr>
            <w:r>
              <w:rPr>
                <w:rFonts w:ascii="Calibri" w:cs="Calibri" w:eastAsia="Calibri" w:hAnsi="Calibri"/>
                <w:sz w:val="13"/>
                <w:szCs w:val="13"/>
                <w:color w:val="auto"/>
                <w:w w:val="92"/>
              </w:rPr>
              <w:t>Total Equity</w:t>
            </w:r>
          </w:p>
        </w:tc>
        <w:tc>
          <w:tcPr>
            <w:tcW w:w="0" w:type="dxa"/>
            <w:vAlign w:val="bottom"/>
          </w:tcPr>
          <w:p>
            <w:pPr>
              <w:spacing w:after="0"/>
              <w:rPr>
                <w:sz w:val="1"/>
                <w:szCs w:val="1"/>
                <w:color w:val="auto"/>
              </w:rPr>
            </w:pPr>
          </w:p>
        </w:tc>
      </w:tr>
      <w:tr>
        <w:trPr>
          <w:trHeight w:val="148"/>
        </w:trPr>
        <w:tc>
          <w:tcPr>
            <w:tcW w:w="2420" w:type="dxa"/>
            <w:vAlign w:val="bottom"/>
            <w:tcBorders>
              <w:top w:val="single" w:sz="8" w:color="auto"/>
            </w:tcBorders>
          </w:tcPr>
          <w:p>
            <w:pPr>
              <w:ind w:left="20"/>
              <w:spacing w:after="0" w:line="149" w:lineRule="exact"/>
              <w:rPr>
                <w:sz w:val="20"/>
                <w:szCs w:val="20"/>
                <w:color w:val="auto"/>
              </w:rPr>
            </w:pPr>
            <w:r>
              <w:rPr>
                <w:rFonts w:ascii="Calibri" w:cs="Calibri" w:eastAsia="Calibri" w:hAnsi="Calibri"/>
                <w:sz w:val="13"/>
                <w:szCs w:val="13"/>
                <w:color w:val="auto"/>
              </w:rPr>
              <w:t>Balance at June 30, 2021</w:t>
            </w:r>
          </w:p>
        </w:tc>
        <w:tc>
          <w:tcPr>
            <w:tcW w:w="12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62.4</w:t>
            </w:r>
          </w:p>
        </w:tc>
        <w:tc>
          <w:tcPr>
            <w:tcW w:w="220" w:type="dxa"/>
            <w:vAlign w:val="bottom"/>
          </w:tcPr>
          <w:p>
            <w:pPr>
              <w:spacing w:after="0"/>
              <w:rPr>
                <w:sz w:val="12"/>
                <w:szCs w:val="12"/>
                <w:color w:val="auto"/>
              </w:rPr>
            </w:pPr>
          </w:p>
        </w:tc>
        <w:tc>
          <w:tcPr>
            <w:tcW w:w="400" w:type="dxa"/>
            <w:vAlign w:val="bottom"/>
            <w:tcBorders>
              <w:top w:val="single" w:sz="8" w:color="auto"/>
            </w:tcBorders>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0.6</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4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3,451.1</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00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(153.0</w:t>
            </w:r>
          </w:p>
        </w:tc>
        <w:tc>
          <w:tcPr>
            <w:tcW w:w="200" w:type="dxa"/>
            <w:vAlign w:val="bottom"/>
          </w:tcPr>
          <w:p>
            <w:pPr>
              <w:jc w:val="right"/>
              <w:ind w:right="11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2,827.2</w:t>
            </w:r>
          </w:p>
        </w:tc>
        <w:tc>
          <w:tcPr>
            <w:tcW w:w="20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6,125.9</w:t>
            </w:r>
          </w:p>
        </w:tc>
        <w:tc>
          <w:tcPr>
            <w:tcW w:w="20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2.3</w:t>
            </w:r>
          </w:p>
        </w:tc>
        <w:tc>
          <w:tcPr>
            <w:tcW w:w="30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Borders>
              <w:top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6,128.2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00"/>
              <w:spacing w:after="0" w:line="152" w:lineRule="exact"/>
              <w:rPr>
                <w:sz w:val="20"/>
                <w:szCs w:val="20"/>
                <w:color w:val="auto"/>
              </w:rPr>
            </w:pPr>
            <w:r>
              <w:rPr>
                <w:rFonts w:ascii="Calibri" w:cs="Calibri" w:eastAsia="Calibri" w:hAnsi="Calibri"/>
                <w:sz w:val="13"/>
                <w:szCs w:val="13"/>
                <w:color w:val="auto"/>
              </w:rPr>
              <w:t>Consolidated net earnings</w:t>
            </w:r>
          </w:p>
        </w:tc>
        <w:tc>
          <w:tcPr>
            <w:tcW w:w="12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line="152"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2"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Calibri" w:cs="Calibri" w:eastAsia="Calibri" w:hAnsi="Calibri"/>
                <w:sz w:val="13"/>
                <w:szCs w:val="13"/>
                <w:color w:val="auto"/>
              </w:rPr>
              <w:t>254.6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Calibri" w:cs="Calibri" w:eastAsia="Calibri" w:hAnsi="Calibri"/>
                <w:sz w:val="13"/>
                <w:szCs w:val="13"/>
                <w:color w:val="auto"/>
              </w:rPr>
              <w:t>254.6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52"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Calibri" w:cs="Calibri" w:eastAsia="Calibri" w:hAnsi="Calibri"/>
                <w:sz w:val="13"/>
                <w:szCs w:val="13"/>
                <w:color w:val="auto"/>
              </w:rPr>
              <w:t>254.6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20" w:type="dxa"/>
            <w:vAlign w:val="bottom"/>
            <w:shd w:val="clear" w:color="auto" w:fill="CFF0FC"/>
          </w:tcPr>
          <w:p>
            <w:pPr>
              <w:ind w:left="200"/>
              <w:spacing w:after="0" w:line="125"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1.6</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1.6</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Dividends declared ($0.61 per share)</w:t>
            </w:r>
          </w:p>
        </w:tc>
        <w:tc>
          <w:tcPr>
            <w:tcW w:w="12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(38.4 )</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(38.4 )</w:t>
            </w: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(38.4 )</w:t>
            </w:r>
          </w:p>
        </w:tc>
        <w:tc>
          <w:tcPr>
            <w:tcW w:w="0" w:type="dxa"/>
            <w:vAlign w:val="bottom"/>
          </w:tcPr>
          <w:p>
            <w:pPr>
              <w:spacing w:after="0"/>
              <w:rPr>
                <w:sz w:val="1"/>
                <w:szCs w:val="1"/>
                <w:color w:val="auto"/>
              </w:rPr>
            </w:pPr>
          </w:p>
        </w:tc>
      </w:tr>
      <w:tr>
        <w:trPr>
          <w:trHeight w:val="131"/>
        </w:trPr>
        <w:tc>
          <w:tcPr>
            <w:tcW w:w="2420" w:type="dxa"/>
            <w:vAlign w:val="bottom"/>
            <w:shd w:val="clear" w:color="auto" w:fill="CFF0FC"/>
          </w:tcPr>
          <w:p>
            <w:pPr>
              <w:ind w:left="200"/>
              <w:spacing w:after="0" w:line="131"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0.4</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0.4</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00"/>
              <w:spacing w:after="0" w:line="125"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8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(0.4 )</w:t>
            </w:r>
          </w:p>
        </w:tc>
        <w:tc>
          <w:tcPr>
            <w:tcW w:w="100" w:type="dxa"/>
            <w:vAlign w:val="bottom"/>
          </w:tcPr>
          <w:p>
            <w:pPr>
              <w:spacing w:after="0"/>
              <w:rPr>
                <w:sz w:val="12"/>
                <w:szCs w:val="12"/>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Calibri" w:cs="Calibri" w:eastAsia="Calibri" w:hAnsi="Calibri"/>
                <w:sz w:val="13"/>
                <w:szCs w:val="13"/>
                <w:color w:val="auto"/>
              </w:rPr>
              <w:t>(0.4 )</w:t>
            </w:r>
          </w:p>
        </w:tc>
        <w:tc>
          <w:tcPr>
            <w:tcW w:w="12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Calibri" w:cs="Calibri" w:eastAsia="Calibri" w:hAnsi="Calibri"/>
                <w:sz w:val="13"/>
                <w:szCs w:val="13"/>
                <w:color w:val="auto"/>
              </w:rPr>
              <w:t>(0.4 )</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420" w:type="dxa"/>
            <w:vAlign w:val="bottom"/>
            <w:shd w:val="clear" w:color="auto" w:fill="CFF0FC"/>
          </w:tcPr>
          <w:p>
            <w:pPr>
              <w:ind w:left="200"/>
              <w:spacing w:after="0" w:line="149"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12.2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20" w:type="dxa"/>
            <w:vAlign w:val="bottom"/>
          </w:tcPr>
          <w:p>
            <w:pPr>
              <w:ind w:left="20"/>
              <w:spacing w:after="0" w:line="156" w:lineRule="exact"/>
              <w:rPr>
                <w:sz w:val="20"/>
                <w:szCs w:val="20"/>
                <w:color w:val="auto"/>
              </w:rPr>
            </w:pPr>
            <w:r>
              <w:rPr>
                <w:rFonts w:ascii="Calibri" w:cs="Calibri" w:eastAsia="Calibri" w:hAnsi="Calibri"/>
                <w:sz w:val="13"/>
                <w:szCs w:val="13"/>
                <w:color w:val="auto"/>
              </w:rPr>
              <w:t>Balance at September 30, 2021</w:t>
            </w:r>
          </w:p>
        </w:tc>
        <w:tc>
          <w:tcPr>
            <w:tcW w:w="1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62.4</w:t>
            </w:r>
          </w:p>
        </w:tc>
        <w:tc>
          <w:tcPr>
            <w:tcW w:w="2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0.6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3,463.3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(151.4</w:t>
            </w:r>
          </w:p>
        </w:tc>
        <w:tc>
          <w:tcPr>
            <w:tcW w:w="200" w:type="dxa"/>
            <w:vAlign w:val="bottom"/>
          </w:tcPr>
          <w:p>
            <w:pPr>
              <w:jc w:val="right"/>
              <w:ind w:right="11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3,043.4</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6,355.9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2.3</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6,358.2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spacing w:after="0"/>
              <w:rPr>
                <w:sz w:val="12"/>
                <w:szCs w:val="12"/>
                <w:color w:val="auto"/>
              </w:rPr>
            </w:pPr>
          </w:p>
        </w:tc>
        <w:tc>
          <w:tcPr>
            <w:tcW w:w="620" w:type="dxa"/>
            <w:vAlign w:val="bottom"/>
            <w:gridSpan w:val="2"/>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340" w:type="dxa"/>
            <w:vAlign w:val="bottom"/>
            <w:gridSpan w:val="2"/>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530"/>
        </w:trPr>
        <w:tc>
          <w:tcPr>
            <w:tcW w:w="2420" w:type="dxa"/>
            <w:vAlign w:val="bottom"/>
          </w:tcPr>
          <w:p>
            <w:pPr>
              <w:ind w:left="20"/>
              <w:spacing w:after="0"/>
              <w:rPr>
                <w:sz w:val="20"/>
                <w:szCs w:val="20"/>
                <w:color w:val="auto"/>
              </w:rPr>
            </w:pPr>
            <w:r>
              <w:rPr>
                <w:rFonts w:ascii="Calibri" w:cs="Calibri" w:eastAsia="Calibri" w:hAnsi="Calibri"/>
                <w:sz w:val="13"/>
                <w:szCs w:val="13"/>
                <w:color w:val="auto"/>
              </w:rPr>
              <w:t>Balance at December 31, 2020</w:t>
            </w:r>
          </w:p>
        </w:tc>
        <w:tc>
          <w:tcPr>
            <w:tcW w:w="900" w:type="dxa"/>
            <w:vAlign w:val="bottom"/>
            <w:gridSpan w:val="2"/>
          </w:tcPr>
          <w:p>
            <w:pPr>
              <w:jc w:val="right"/>
              <w:spacing w:after="0"/>
              <w:rPr>
                <w:sz w:val="20"/>
                <w:szCs w:val="20"/>
                <w:color w:val="auto"/>
              </w:rPr>
            </w:pPr>
            <w:r>
              <w:rPr>
                <w:rFonts w:ascii="Calibri" w:cs="Calibri" w:eastAsia="Calibri" w:hAnsi="Calibri"/>
                <w:sz w:val="13"/>
                <w:szCs w:val="13"/>
                <w:color w:val="auto"/>
              </w:rPr>
              <w:t>62.3</w:t>
            </w:r>
          </w:p>
        </w:tc>
        <w:tc>
          <w:tcPr>
            <w:tcW w:w="620" w:type="dxa"/>
            <w:vAlign w:val="bottom"/>
            <w:gridSpan w:val="2"/>
          </w:tcPr>
          <w:p>
            <w:pPr>
              <w:jc w:val="right"/>
              <w:ind w:right="257"/>
              <w:spacing w:after="0"/>
              <w:rPr>
                <w:sz w:val="20"/>
                <w:szCs w:val="20"/>
                <w:color w:val="auto"/>
              </w:rPr>
            </w:pPr>
            <w:r>
              <w:rPr>
                <w:rFonts w:ascii="Calibri" w:cs="Calibri" w:eastAsia="Calibri" w:hAnsi="Calibri"/>
                <w:sz w:val="13"/>
                <w:szCs w:val="13"/>
                <w:color w:val="auto"/>
              </w:rPr>
              <w:t>$</w:t>
            </w:r>
          </w:p>
        </w:tc>
        <w:tc>
          <w:tcPr>
            <w:tcW w:w="500" w:type="dxa"/>
            <w:vAlign w:val="bottom"/>
          </w:tcPr>
          <w:p>
            <w:pPr>
              <w:jc w:val="right"/>
              <w:spacing w:after="0"/>
              <w:rPr>
                <w:sz w:val="20"/>
                <w:szCs w:val="20"/>
                <w:color w:val="auto"/>
              </w:rPr>
            </w:pPr>
            <w:r>
              <w:rPr>
                <w:rFonts w:ascii="Calibri" w:cs="Calibri" w:eastAsia="Calibri" w:hAnsi="Calibri"/>
                <w:sz w:val="13"/>
                <w:szCs w:val="13"/>
                <w:color w:val="auto"/>
              </w:rPr>
              <w:t>0.6</w:t>
            </w:r>
          </w:p>
        </w:tc>
        <w:tc>
          <w:tcPr>
            <w:tcW w:w="340" w:type="dxa"/>
            <w:vAlign w:val="bottom"/>
            <w:gridSpan w:val="2"/>
          </w:tcPr>
          <w:p>
            <w:pPr>
              <w:jc w:val="right"/>
              <w:spacing w:after="0"/>
              <w:rPr>
                <w:sz w:val="20"/>
                <w:szCs w:val="20"/>
                <w:color w:val="auto"/>
              </w:rPr>
            </w:pPr>
            <w:r>
              <w:rPr>
                <w:rFonts w:ascii="Calibri" w:cs="Calibri" w:eastAsia="Calibri" w:hAnsi="Calibri"/>
                <w:sz w:val="13"/>
                <w:szCs w:val="13"/>
                <w:color w:val="auto"/>
              </w:rPr>
              <w:t>$</w:t>
            </w:r>
          </w:p>
        </w:tc>
        <w:tc>
          <w:tcPr>
            <w:tcW w:w="740" w:type="dxa"/>
            <w:vAlign w:val="bottom"/>
          </w:tcPr>
          <w:p>
            <w:pPr>
              <w:jc w:val="right"/>
              <w:spacing w:after="0"/>
              <w:rPr>
                <w:sz w:val="20"/>
                <w:szCs w:val="20"/>
                <w:color w:val="auto"/>
              </w:rPr>
            </w:pPr>
            <w:r>
              <w:rPr>
                <w:rFonts w:ascii="Calibri" w:cs="Calibri" w:eastAsia="Calibri" w:hAnsi="Calibri"/>
                <w:sz w:val="13"/>
                <w:szCs w:val="13"/>
                <w:color w:val="auto"/>
              </w:rPr>
              <w:t>3,440.8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1200" w:type="dxa"/>
            <w:vAlign w:val="bottom"/>
            <w:gridSpan w:val="2"/>
          </w:tcPr>
          <w:p>
            <w:pPr>
              <w:jc w:val="right"/>
              <w:ind w:right="113"/>
              <w:spacing w:after="0"/>
              <w:rPr>
                <w:sz w:val="20"/>
                <w:szCs w:val="20"/>
                <w:color w:val="auto"/>
              </w:rPr>
            </w:pPr>
            <w:r>
              <w:rPr>
                <w:rFonts w:ascii="Calibri" w:cs="Calibri" w:eastAsia="Calibri" w:hAnsi="Calibri"/>
                <w:sz w:val="13"/>
                <w:szCs w:val="13"/>
                <w:color w:val="auto"/>
              </w:rPr>
              <w:t>(158.4 )</w:t>
            </w:r>
          </w:p>
        </w:tc>
        <w:tc>
          <w:tcPr>
            <w:tcW w:w="8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580" w:type="dxa"/>
            <w:vAlign w:val="bottom"/>
          </w:tcPr>
          <w:p>
            <w:pPr>
              <w:jc w:val="right"/>
              <w:spacing w:after="0"/>
              <w:rPr>
                <w:sz w:val="20"/>
                <w:szCs w:val="20"/>
                <w:color w:val="auto"/>
              </w:rPr>
            </w:pPr>
            <w:r>
              <w:rPr>
                <w:rFonts w:ascii="Calibri" w:cs="Calibri" w:eastAsia="Calibri" w:hAnsi="Calibri"/>
                <w:sz w:val="13"/>
                <w:szCs w:val="13"/>
                <w:color w:val="auto"/>
              </w:rPr>
              <w:t>2,607.7</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5,890.7</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980" w:type="dxa"/>
            <w:vAlign w:val="bottom"/>
          </w:tcPr>
          <w:p>
            <w:pPr>
              <w:jc w:val="right"/>
              <w:spacing w:after="0"/>
              <w:rPr>
                <w:sz w:val="20"/>
                <w:szCs w:val="20"/>
                <w:color w:val="auto"/>
              </w:rPr>
            </w:pPr>
            <w:r>
              <w:rPr>
                <w:rFonts w:ascii="Calibri" w:cs="Calibri" w:eastAsia="Calibri" w:hAnsi="Calibri"/>
                <w:sz w:val="13"/>
                <w:szCs w:val="13"/>
                <w:color w:val="auto"/>
              </w:rPr>
              <w:t>2.6</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alibri" w:cs="Calibri" w:eastAsia="Calibri" w:hAnsi="Calibri"/>
                <w:sz w:val="13"/>
                <w:szCs w:val="13"/>
                <w:color w:val="auto"/>
                <w:w w:val="90"/>
              </w:rPr>
              <w:t>$</w:t>
            </w:r>
          </w:p>
        </w:tc>
        <w:tc>
          <w:tcPr>
            <w:tcW w:w="700" w:type="dxa"/>
            <w:vAlign w:val="bottom"/>
          </w:tcPr>
          <w:p>
            <w:pPr>
              <w:jc w:val="right"/>
              <w:spacing w:after="0"/>
              <w:rPr>
                <w:sz w:val="20"/>
                <w:szCs w:val="20"/>
                <w:color w:val="auto"/>
              </w:rPr>
            </w:pPr>
            <w:r>
              <w:rPr>
                <w:rFonts w:ascii="Calibri" w:cs="Calibri" w:eastAsia="Calibri" w:hAnsi="Calibri"/>
                <w:sz w:val="13"/>
                <w:szCs w:val="13"/>
                <w:color w:val="auto"/>
              </w:rPr>
              <w:t>5,893.3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420" w:type="dxa"/>
            <w:vAlign w:val="bottom"/>
            <w:shd w:val="clear" w:color="auto" w:fill="CFF0FC"/>
          </w:tcPr>
          <w:p>
            <w:pPr>
              <w:ind w:left="200"/>
              <w:spacing w:after="0" w:line="149" w:lineRule="exact"/>
              <w:rPr>
                <w:sz w:val="20"/>
                <w:szCs w:val="20"/>
                <w:color w:val="auto"/>
              </w:rPr>
            </w:pPr>
            <w:r>
              <w:rPr>
                <w:rFonts w:ascii="Calibri" w:cs="Calibri" w:eastAsia="Calibri" w:hAnsi="Calibri"/>
                <w:sz w:val="13"/>
                <w:szCs w:val="13"/>
                <w:color w:val="auto"/>
              </w:rPr>
              <w:t>Consolidated net earnings</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545.7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545.7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0.2</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545.9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20" w:type="dxa"/>
            <w:vAlign w:val="bottom"/>
          </w:tcPr>
          <w:p>
            <w:pPr>
              <w:ind w:left="200"/>
              <w:spacing w:after="0" w:line="125" w:lineRule="exact"/>
              <w:rPr>
                <w:sz w:val="20"/>
                <w:szCs w:val="20"/>
                <w:color w:val="auto"/>
              </w:rPr>
            </w:pPr>
            <w:r>
              <w:rPr>
                <w:rFonts w:ascii="Calibri" w:cs="Calibri" w:eastAsia="Calibri" w:hAnsi="Calibri"/>
                <w:sz w:val="13"/>
                <w:szCs w:val="13"/>
                <w:color w:val="auto"/>
              </w:rPr>
              <w:t>Other comprehensive earnings,</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80"/>
              <w:spacing w:after="0" w:line="149" w:lineRule="exact"/>
              <w:rPr>
                <w:sz w:val="20"/>
                <w:szCs w:val="20"/>
                <w:color w:val="auto"/>
              </w:rPr>
            </w:pPr>
            <w:r>
              <w:rPr>
                <w:rFonts w:ascii="Calibri" w:cs="Calibri" w:eastAsia="Calibri" w:hAnsi="Calibri"/>
                <w:sz w:val="13"/>
                <w:szCs w:val="13"/>
                <w:color w:val="auto"/>
              </w:rPr>
              <w:t>net of tax</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Calibri" w:cs="Calibri" w:eastAsia="Calibri" w:hAnsi="Calibri"/>
                <w:sz w:val="13"/>
                <w:szCs w:val="13"/>
                <w:color w:val="auto"/>
              </w:rPr>
              <w:t>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420" w:type="dxa"/>
            <w:vAlign w:val="bottom"/>
            <w:shd w:val="clear" w:color="auto" w:fill="CFF0FC"/>
          </w:tcPr>
          <w:p>
            <w:pPr>
              <w:ind w:left="200"/>
              <w:spacing w:after="0" w:line="149" w:lineRule="exact"/>
              <w:rPr>
                <w:sz w:val="20"/>
                <w:szCs w:val="20"/>
                <w:color w:val="auto"/>
              </w:rPr>
            </w:pPr>
            <w:r>
              <w:rPr>
                <w:rFonts w:ascii="Calibri" w:cs="Calibri" w:eastAsia="Calibri" w:hAnsi="Calibri"/>
                <w:sz w:val="13"/>
                <w:szCs w:val="13"/>
                <w:color w:val="auto"/>
              </w:rPr>
              <w:t>Dividends declared ($1.75 per share)</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(110.0 )</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(110.0 )</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(110.0 )</w:t>
            </w:r>
          </w:p>
        </w:tc>
        <w:tc>
          <w:tcPr>
            <w:tcW w:w="0" w:type="dxa"/>
            <w:vAlign w:val="bottom"/>
          </w:tcPr>
          <w:p>
            <w:pPr>
              <w:spacing w:after="0"/>
              <w:rPr>
                <w:sz w:val="1"/>
                <w:szCs w:val="1"/>
                <w:color w:val="auto"/>
              </w:rPr>
            </w:pPr>
          </w:p>
        </w:tc>
      </w:tr>
      <w:tr>
        <w:trPr>
          <w:trHeight w:val="125"/>
        </w:trPr>
        <w:tc>
          <w:tcPr>
            <w:tcW w:w="2420" w:type="dxa"/>
            <w:vAlign w:val="bottom"/>
          </w:tcPr>
          <w:p>
            <w:pPr>
              <w:ind w:left="200"/>
              <w:spacing w:after="0" w:line="125" w:lineRule="exact"/>
              <w:rPr>
                <w:sz w:val="20"/>
                <w:szCs w:val="20"/>
                <w:color w:val="auto"/>
              </w:rPr>
            </w:pPr>
            <w:r>
              <w:rPr>
                <w:rFonts w:ascii="Calibri" w:cs="Calibri" w:eastAsia="Calibri" w:hAnsi="Calibri"/>
                <w:sz w:val="13"/>
                <w:szCs w:val="13"/>
                <w:color w:val="auto"/>
              </w:rPr>
              <w:t>Issuances of common stock for stock</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280"/>
              <w:spacing w:after="0" w:line="149" w:lineRule="exact"/>
              <w:rPr>
                <w:sz w:val="20"/>
                <w:szCs w:val="20"/>
                <w:color w:val="auto"/>
              </w:rPr>
            </w:pPr>
            <w:r>
              <w:rPr>
                <w:rFonts w:ascii="Calibri" w:cs="Calibri" w:eastAsia="Calibri" w:hAnsi="Calibri"/>
                <w:sz w:val="13"/>
                <w:szCs w:val="13"/>
                <w:color w:val="auto"/>
              </w:rPr>
              <w:t>award plans</w:t>
            </w:r>
          </w:p>
        </w:tc>
        <w:tc>
          <w:tcPr>
            <w:tcW w:w="900" w:type="dxa"/>
            <w:vAlign w:val="bottom"/>
            <w:gridSpan w:val="2"/>
          </w:tcPr>
          <w:p>
            <w:pPr>
              <w:jc w:val="right"/>
              <w:spacing w:after="0" w:line="149" w:lineRule="exact"/>
              <w:rPr>
                <w:sz w:val="20"/>
                <w:szCs w:val="20"/>
                <w:color w:val="auto"/>
              </w:rPr>
            </w:pPr>
            <w:r>
              <w:rPr>
                <w:rFonts w:ascii="Calibri" w:cs="Calibri" w:eastAsia="Calibri" w:hAnsi="Calibri"/>
                <w:sz w:val="13"/>
                <w:szCs w:val="13"/>
                <w:color w:val="auto"/>
              </w:rPr>
              <w:t>0.1</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Calibri" w:cs="Calibri" w:eastAsia="Calibri" w:hAnsi="Calibri"/>
                <w:sz w:val="13"/>
                <w:szCs w:val="13"/>
                <w:color w:val="auto"/>
              </w:rPr>
              <w:t>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6.0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20" w:type="dxa"/>
            <w:vAlign w:val="bottom"/>
            <w:shd w:val="clear" w:color="auto" w:fill="CFF0FC"/>
          </w:tcPr>
          <w:p>
            <w:pPr>
              <w:ind w:left="200"/>
              <w:spacing w:after="0" w:line="125" w:lineRule="exact"/>
              <w:rPr>
                <w:sz w:val="20"/>
                <w:szCs w:val="20"/>
                <w:color w:val="auto"/>
              </w:rPr>
            </w:pPr>
            <w:r>
              <w:rPr>
                <w:rFonts w:ascii="Calibri" w:cs="Calibri" w:eastAsia="Calibri" w:hAnsi="Calibri"/>
                <w:sz w:val="13"/>
                <w:szCs w:val="13"/>
                <w:color w:val="auto"/>
              </w:rPr>
              <w:t>Shares withheld for employees'</w:t>
            </w: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FF0FC"/>
            </w:tcBorders>
            <w:shd w:val="clear" w:color="auto" w:fill="CFF0FC"/>
          </w:tcPr>
          <w:p>
            <w:pPr>
              <w:ind w:left="260"/>
              <w:spacing w:after="0" w:line="149" w:lineRule="exact"/>
              <w:rPr>
                <w:sz w:val="20"/>
                <w:szCs w:val="20"/>
                <w:color w:val="auto"/>
              </w:rPr>
            </w:pPr>
            <w:r>
              <w:rPr>
                <w:rFonts w:ascii="Calibri" w:cs="Calibri" w:eastAsia="Calibri" w:hAnsi="Calibri"/>
                <w:sz w:val="13"/>
                <w:szCs w:val="13"/>
                <w:color w:val="auto"/>
              </w:rPr>
              <w:t>income tax obligatons</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(16.5 )</w:t>
            </w:r>
          </w:p>
        </w:tc>
        <w:tc>
          <w:tcPr>
            <w:tcW w:w="1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CFF0FC"/>
            </w:tcBorders>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Calibri" w:cs="Calibri" w:eastAsia="Calibri" w:hAnsi="Calibri"/>
                <w:sz w:val="13"/>
                <w:szCs w:val="13"/>
                <w:color w:val="auto"/>
              </w:rPr>
              <w:t>(16.5 )</w:t>
            </w:r>
          </w:p>
        </w:tc>
        <w:tc>
          <w:tcPr>
            <w:tcW w:w="120" w:type="dxa"/>
            <w:vAlign w:val="bottom"/>
            <w:tcBorders>
              <w:bottom w:val="single" w:sz="8" w:color="CFF0FC"/>
            </w:tcBorders>
            <w:shd w:val="clear" w:color="auto" w:fill="CFF0FC"/>
          </w:tcPr>
          <w:p>
            <w:pPr>
              <w:spacing w:after="0"/>
              <w:rPr>
                <w:sz w:val="13"/>
                <w:szCs w:val="13"/>
                <w:color w:val="auto"/>
              </w:rPr>
            </w:pPr>
          </w:p>
        </w:tc>
        <w:tc>
          <w:tcPr>
            <w:tcW w:w="1280" w:type="dxa"/>
            <w:vAlign w:val="bottom"/>
            <w:tcBorders>
              <w:bottom w:val="single" w:sz="8" w:color="CFF0FC"/>
            </w:tcBorders>
            <w:gridSpan w:val="2"/>
            <w:shd w:val="clear" w:color="auto" w:fill="CFF0FC"/>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(16.5 )</w:t>
            </w:r>
          </w:p>
        </w:tc>
        <w:tc>
          <w:tcPr>
            <w:tcW w:w="0" w:type="dxa"/>
            <w:vAlign w:val="bottom"/>
          </w:tcPr>
          <w:p>
            <w:pPr>
              <w:spacing w:after="0"/>
              <w:rPr>
                <w:sz w:val="1"/>
                <w:szCs w:val="1"/>
                <w:color w:val="auto"/>
              </w:rPr>
            </w:pPr>
          </w:p>
        </w:tc>
      </w:tr>
      <w:tr>
        <w:trPr>
          <w:trHeight w:val="155"/>
        </w:trPr>
        <w:tc>
          <w:tcPr>
            <w:tcW w:w="2420" w:type="dxa"/>
            <w:vAlign w:val="bottom"/>
          </w:tcPr>
          <w:p>
            <w:pPr>
              <w:ind w:left="200"/>
              <w:spacing w:after="0" w:line="149"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Calibri" w:cs="Calibri" w:eastAsia="Calibri" w:hAnsi="Calibri"/>
                <w:sz w:val="13"/>
                <w:szCs w:val="13"/>
                <w:color w:val="auto"/>
              </w:rPr>
              <w:t>33.0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Calibri" w:cs="Calibri" w:eastAsia="Calibri" w:hAnsi="Calibri"/>
                <w:sz w:val="13"/>
                <w:szCs w:val="13"/>
                <w:color w:val="auto"/>
              </w:rPr>
              <w:t>33.0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Calibri" w:cs="Calibri" w:eastAsia="Calibri" w:hAnsi="Calibri"/>
                <w:sz w:val="13"/>
                <w:szCs w:val="13"/>
                <w:color w:val="auto"/>
              </w:rPr>
              <w:t>33.0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420" w:type="dxa"/>
            <w:vAlign w:val="bottom"/>
            <w:shd w:val="clear" w:color="auto" w:fill="CFF0FC"/>
          </w:tcPr>
          <w:p>
            <w:pPr>
              <w:ind w:left="200"/>
              <w:spacing w:after="0" w:line="131" w:lineRule="exact"/>
              <w:rPr>
                <w:sz w:val="20"/>
                <w:szCs w:val="20"/>
                <w:color w:val="auto"/>
              </w:rPr>
            </w:pPr>
            <w:r>
              <w:rPr>
                <w:rFonts w:ascii="Calibri" w:cs="Calibri" w:eastAsia="Calibri" w:hAnsi="Calibri"/>
                <w:sz w:val="13"/>
                <w:szCs w:val="13"/>
                <w:color w:val="auto"/>
              </w:rPr>
              <w:t>Distributons to owners of</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20" w:type="dxa"/>
            <w:vAlign w:val="bottom"/>
            <w:tcBorders>
              <w:bottom w:val="single" w:sz="8" w:color="CFF0FC"/>
            </w:tcBorders>
            <w:shd w:val="clear" w:color="auto" w:fill="CFF0FC"/>
          </w:tcPr>
          <w:p>
            <w:pPr>
              <w:ind w:left="280"/>
              <w:spacing w:after="0" w:line="149" w:lineRule="exact"/>
              <w:rPr>
                <w:sz w:val="20"/>
                <w:szCs w:val="20"/>
                <w:color w:val="auto"/>
              </w:rPr>
            </w:pPr>
            <w:r>
              <w:rPr>
                <w:rFonts w:ascii="Calibri" w:cs="Calibri" w:eastAsia="Calibri" w:hAnsi="Calibri"/>
                <w:sz w:val="13"/>
                <w:szCs w:val="13"/>
                <w:color w:val="auto"/>
              </w:rPr>
              <w:t>noncontrolling interest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jc w:val="right"/>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gridSpan w:val="2"/>
            <w:shd w:val="clear" w:color="auto" w:fill="CFF0FC"/>
          </w:tcPr>
          <w:p>
            <w:pPr>
              <w:jc w:val="right"/>
              <w:ind w:right="173"/>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Calibri" w:cs="Calibri" w:eastAsia="Calibri" w:hAnsi="Calibri"/>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gridSpan w:val="2"/>
            <w:shd w:val="clear" w:color="auto" w:fill="CFF0FC"/>
          </w:tcPr>
          <w:p>
            <w:pPr>
              <w:jc w:val="right"/>
              <w:ind w:right="260"/>
              <w:spacing w:after="0" w:line="149" w:lineRule="exact"/>
              <w:rPr>
                <w:sz w:val="20"/>
                <w:szCs w:val="20"/>
                <w:color w:val="auto"/>
              </w:rPr>
            </w:pPr>
            <w:r>
              <w:rPr>
                <w:rFonts w:ascii="Calibri" w:cs="Calibri" w:eastAsia="Calibri" w:hAnsi="Calibri"/>
                <w:sz w:val="13"/>
                <w:szCs w:val="13"/>
                <w:color w:val="auto"/>
              </w:rPr>
              <w:t>(0.5 )</w:t>
            </w:r>
          </w:p>
        </w:tc>
        <w:tc>
          <w:tcPr>
            <w:tcW w:w="8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gridSpan w:val="2"/>
            <w:shd w:val="clear" w:color="auto" w:fill="CFF0FC"/>
          </w:tcPr>
          <w:p>
            <w:pPr>
              <w:jc w:val="right"/>
              <w:ind w:right="60"/>
              <w:spacing w:after="0" w:line="149" w:lineRule="exact"/>
              <w:rPr>
                <w:sz w:val="20"/>
                <w:szCs w:val="20"/>
                <w:color w:val="auto"/>
              </w:rPr>
            </w:pPr>
            <w:r>
              <w:rPr>
                <w:rFonts w:ascii="Calibri" w:cs="Calibri" w:eastAsia="Calibri" w:hAnsi="Calibri"/>
                <w:sz w:val="13"/>
                <w:szCs w:val="13"/>
                <w:color w:val="auto"/>
              </w:rPr>
              <w:t>(0.5 )</w:t>
            </w:r>
          </w:p>
        </w:tc>
        <w:tc>
          <w:tcPr>
            <w:tcW w:w="0" w:type="dxa"/>
            <w:vAlign w:val="bottom"/>
          </w:tcPr>
          <w:p>
            <w:pPr>
              <w:spacing w:after="0"/>
              <w:rPr>
                <w:sz w:val="1"/>
                <w:szCs w:val="1"/>
                <w:color w:val="auto"/>
              </w:rPr>
            </w:pPr>
          </w:p>
        </w:tc>
      </w:tr>
      <w:tr>
        <w:trPr>
          <w:trHeight w:val="156"/>
        </w:trPr>
        <w:tc>
          <w:tcPr>
            <w:tcW w:w="2420" w:type="dxa"/>
            <w:vAlign w:val="bottom"/>
          </w:tcPr>
          <w:p>
            <w:pPr>
              <w:ind w:left="20"/>
              <w:spacing w:after="0" w:line="156" w:lineRule="exact"/>
              <w:rPr>
                <w:sz w:val="20"/>
                <w:szCs w:val="20"/>
                <w:color w:val="auto"/>
              </w:rPr>
            </w:pPr>
            <w:r>
              <w:rPr>
                <w:rFonts w:ascii="Calibri" w:cs="Calibri" w:eastAsia="Calibri" w:hAnsi="Calibri"/>
                <w:sz w:val="13"/>
                <w:szCs w:val="13"/>
                <w:color w:val="auto"/>
              </w:rPr>
              <w:t>Balance at September 30, 2021</w:t>
            </w:r>
          </w:p>
        </w:tc>
        <w:tc>
          <w:tcPr>
            <w:tcW w:w="1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62.4</w:t>
            </w:r>
          </w:p>
        </w:tc>
        <w:tc>
          <w:tcPr>
            <w:tcW w:w="2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7"/>
              <w:spacing w:after="0" w:line="149" w:lineRule="exact"/>
              <w:rPr>
                <w:sz w:val="20"/>
                <w:szCs w:val="20"/>
                <w:color w:val="auto"/>
              </w:rPr>
            </w:pPr>
            <w:r>
              <w:rPr>
                <w:rFonts w:ascii="Calibri" w:cs="Calibri" w:eastAsia="Calibri" w:hAnsi="Calibri"/>
                <w:sz w:val="13"/>
                <w:szCs w:val="13"/>
                <w:color w:val="auto"/>
                <w:w w:val="90"/>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0.6</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3,463.3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(151.4</w:t>
            </w:r>
          </w:p>
        </w:tc>
        <w:tc>
          <w:tcPr>
            <w:tcW w:w="200" w:type="dxa"/>
            <w:vAlign w:val="bottom"/>
          </w:tcPr>
          <w:p>
            <w:pPr>
              <w:jc w:val="right"/>
              <w:ind w:right="11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3,043.4</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8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6,355.9</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9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2.3</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w w:val="90"/>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6,358.2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See accompanying notes to the consolidated fnancial statements.</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 w:name="page8"/>
    <w:bookmarkEnd w:id="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12" w:lineRule="auto"/>
        <w:rPr>
          <w:sz w:val="20"/>
          <w:szCs w:val="20"/>
          <w:color w:val="auto"/>
        </w:rPr>
      </w:pPr>
      <w:r>
        <w:rPr>
          <w:rFonts w:ascii="Calibri" w:cs="Calibri" w:eastAsia="Calibri" w:hAnsi="Calibri"/>
          <w:sz w:val="20"/>
          <w:szCs w:val="20"/>
          <w:color w:val="auto"/>
        </w:rPr>
        <w:t>FORM 10-Q</w:t>
      </w:r>
    </w:p>
    <w:p>
      <w:pPr>
        <w:jc w:val="center"/>
        <w:spacing w:after="0" w:line="225" w:lineRule="auto"/>
        <w:rPr>
          <w:sz w:val="20"/>
          <w:szCs w:val="20"/>
          <w:color w:val="auto"/>
        </w:rPr>
      </w:pPr>
      <w:r>
        <w:rPr>
          <w:rFonts w:ascii="Calibri" w:cs="Calibri" w:eastAsia="Calibri" w:hAnsi="Calibri"/>
          <w:sz w:val="20"/>
          <w:szCs w:val="20"/>
          <w:color w:val="auto"/>
        </w:rPr>
        <w:t>For the Quarter Ended September 30, 2022</w:t>
      </w:r>
    </w:p>
    <w:p>
      <w:pPr>
        <w:spacing w:after="0" w:line="54"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(UNAUDITED) NOTES TO CONSOLIDATED FINANCIAL STATEMENTS</w:t>
      </w:r>
    </w:p>
    <w:p>
      <w:pPr>
        <w:spacing w:after="0" w:line="211" w:lineRule="exact"/>
        <w:rPr>
          <w:sz w:val="20"/>
          <w:szCs w:val="20"/>
          <w:color w:val="auto"/>
        </w:rPr>
      </w:pPr>
    </w:p>
    <w:p>
      <w:pPr>
        <w:ind w:left="380" w:right="8320" w:hanging="372"/>
        <w:spacing w:after="0" w:line="308" w:lineRule="auto"/>
        <w:tabs>
          <w:tab w:leader="none" w:pos="38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Signifcant Accountng Policies Organizaton</w:t>
      </w:r>
    </w:p>
    <w:p>
      <w:pPr>
        <w:spacing w:after="0" w:line="34" w:lineRule="exact"/>
        <w:rPr>
          <w:rFonts w:ascii="Calibri" w:cs="Calibri" w:eastAsia="Calibri" w:hAnsi="Calibri"/>
          <w:sz w:val="20"/>
          <w:szCs w:val="20"/>
          <w:b w:val="1"/>
          <w:bCs w:val="1"/>
          <w:color w:val="auto"/>
        </w:rPr>
      </w:pPr>
    </w:p>
    <w:p>
      <w:pPr>
        <w:jc w:val="both"/>
        <w:ind w:left="380"/>
        <w:spacing w:after="0" w:line="224" w:lineRule="auto"/>
        <w:rPr>
          <w:rFonts w:ascii="Calibri" w:cs="Calibri" w:eastAsia="Calibri" w:hAnsi="Calibri"/>
          <w:sz w:val="20"/>
          <w:szCs w:val="20"/>
          <w:b w:val="1"/>
          <w:bCs w:val="1"/>
          <w:color w:val="auto"/>
        </w:rPr>
      </w:pPr>
      <w:r>
        <w:rPr>
          <w:rFonts w:ascii="Calibri" w:cs="Calibri" w:eastAsia="Calibri" w:hAnsi="Calibri"/>
          <w:sz w:val="20"/>
          <w:szCs w:val="20"/>
          <w:color w:val="auto"/>
        </w:rPr>
        <w:t>Martn Marieta Materials, Inc. (the Company or Martn Marieta) is a natural resource-based building materials company. As of September 30, 2022, the Company supplies aggregates (crushed stone, sand and gravel) 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has a leading aggregates positon. In additon, the Company has one cement plant, related cement distributon terminals and ready mixed concrete operatons in California that are classifed as assets held for sale and discontnued operatons as of and for the nine months ended September 30, 2022 and as of December 31, 2021. The Company’s heavy-side building materials are used in infrastructure, nonresidental and residental constructon projects. Aggregates are also used in agricultural, utlity and environmental applicatons and as railroad ballast. The aggregates, cement, ready mixed concrete, asphalt and paving product lines are reported collectvely as the “Building Materials” business.</w:t>
      </w:r>
    </w:p>
    <w:p>
      <w:pPr>
        <w:spacing w:after="0" w:line="101"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6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20"/>
                <w:szCs w:val="20"/>
                <w:color w:val="auto"/>
              </w:rPr>
              <w:t>Reportable Segments</w:t>
            </w:r>
          </w:p>
        </w:tc>
        <w:tc>
          <w:tcPr>
            <w:tcW w:w="180" w:type="dxa"/>
            <w:vAlign w:val="bottom"/>
            <w:tcBorders>
              <w:top w:val="single" w:sz="8" w:color="auto"/>
            </w:tcBorders>
          </w:tcPr>
          <w:p>
            <w:pPr>
              <w:spacing w:after="0"/>
              <w:rPr>
                <w:sz w:val="22"/>
                <w:szCs w:val="22"/>
                <w:color w:val="auto"/>
              </w:rPr>
            </w:pPr>
          </w:p>
        </w:tc>
        <w:tc>
          <w:tcPr>
            <w:tcW w:w="372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20"/>
                <w:szCs w:val="20"/>
                <w:color w:val="auto"/>
              </w:rPr>
              <w:t>East Group</w:t>
            </w:r>
          </w:p>
        </w:tc>
        <w:tc>
          <w:tcPr>
            <w:tcW w:w="180" w:type="dxa"/>
            <w:vAlign w:val="bottom"/>
            <w:tcBorders>
              <w:top w:val="single" w:sz="8" w:color="auto"/>
            </w:tcBorders>
          </w:tcPr>
          <w:p>
            <w:pPr>
              <w:spacing w:after="0"/>
              <w:rPr>
                <w:sz w:val="22"/>
                <w:szCs w:val="22"/>
                <w:color w:val="auto"/>
              </w:rPr>
            </w:pPr>
          </w:p>
        </w:tc>
        <w:tc>
          <w:tcPr>
            <w:tcW w:w="400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20"/>
                <w:szCs w:val="20"/>
                <w:color w:val="auto"/>
                <w:w w:val="97"/>
              </w:rPr>
              <w:t>West Group</w:t>
            </w:r>
          </w:p>
        </w:tc>
      </w:tr>
      <w:tr>
        <w:trPr>
          <w:trHeight w:val="165"/>
        </w:trPr>
        <w:tc>
          <w:tcPr>
            <w:tcW w:w="3160" w:type="dxa"/>
            <w:vAlign w:val="bottom"/>
          </w:tcPr>
          <w:p>
            <w:pPr>
              <w:jc w:val="center"/>
              <w:spacing w:after="0" w:line="165" w:lineRule="exact"/>
              <w:rPr>
                <w:sz w:val="20"/>
                <w:szCs w:val="20"/>
                <w:color w:val="auto"/>
              </w:rPr>
            </w:pPr>
            <w:r>
              <w:rPr>
                <w:rFonts w:ascii="Calibri" w:cs="Calibri" w:eastAsia="Calibri" w:hAnsi="Calibri"/>
                <w:sz w:val="16"/>
                <w:szCs w:val="16"/>
                <w:color w:val="auto"/>
              </w:rPr>
              <w:t>Operatng Locatons</w:t>
            </w:r>
          </w:p>
        </w:tc>
        <w:tc>
          <w:tcPr>
            <w:tcW w:w="180" w:type="dxa"/>
            <w:vAlign w:val="bottom"/>
          </w:tcPr>
          <w:p>
            <w:pPr>
              <w:spacing w:after="0"/>
              <w:rPr>
                <w:sz w:val="14"/>
                <w:szCs w:val="14"/>
                <w:color w:val="auto"/>
              </w:rPr>
            </w:pPr>
          </w:p>
        </w:tc>
        <w:tc>
          <w:tcPr>
            <w:tcW w:w="3720" w:type="dxa"/>
            <w:vAlign w:val="bottom"/>
          </w:tcPr>
          <w:p>
            <w:pPr>
              <w:jc w:val="center"/>
              <w:spacing w:after="0" w:line="165" w:lineRule="exact"/>
              <w:rPr>
                <w:sz w:val="20"/>
                <w:szCs w:val="20"/>
                <w:color w:val="auto"/>
              </w:rPr>
            </w:pPr>
            <w:r>
              <w:rPr>
                <w:rFonts w:ascii="Calibri" w:cs="Calibri" w:eastAsia="Calibri" w:hAnsi="Calibri"/>
                <w:sz w:val="16"/>
                <w:szCs w:val="16"/>
                <w:color w:val="auto"/>
              </w:rPr>
              <w:t>Alabama, Florida, Georgia, Indiana,</w:t>
            </w:r>
          </w:p>
        </w:tc>
        <w:tc>
          <w:tcPr>
            <w:tcW w:w="180" w:type="dxa"/>
            <w:vAlign w:val="bottom"/>
          </w:tcPr>
          <w:p>
            <w:pPr>
              <w:spacing w:after="0"/>
              <w:rPr>
                <w:sz w:val="14"/>
                <w:szCs w:val="14"/>
                <w:color w:val="auto"/>
              </w:rPr>
            </w:pPr>
          </w:p>
        </w:tc>
        <w:tc>
          <w:tcPr>
            <w:tcW w:w="4000" w:type="dxa"/>
            <w:vAlign w:val="bottom"/>
          </w:tcPr>
          <w:p>
            <w:pPr>
              <w:jc w:val="center"/>
              <w:spacing w:after="0" w:line="165" w:lineRule="exact"/>
              <w:rPr>
                <w:sz w:val="20"/>
                <w:szCs w:val="20"/>
                <w:color w:val="auto"/>
              </w:rPr>
            </w:pPr>
            <w:r>
              <w:rPr>
                <w:rFonts w:ascii="Calibri" w:cs="Calibri" w:eastAsia="Calibri" w:hAnsi="Calibri"/>
                <w:sz w:val="16"/>
                <w:szCs w:val="16"/>
                <w:color w:val="auto"/>
              </w:rPr>
              <w:t>Arizona, Arkansas, California, Colorado,</w:t>
            </w: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jc w:val="center"/>
              <w:spacing w:after="0" w:line="216" w:lineRule="exact"/>
              <w:rPr>
                <w:sz w:val="20"/>
                <w:szCs w:val="20"/>
                <w:color w:val="auto"/>
              </w:rPr>
            </w:pPr>
            <w:r>
              <w:rPr>
                <w:rFonts w:ascii="Calibri" w:cs="Calibri" w:eastAsia="Calibri" w:hAnsi="Calibri"/>
                <w:sz w:val="20"/>
                <w:szCs w:val="20"/>
                <w:color w:val="auto"/>
              </w:rPr>
              <w:t>Iowa, Kansas, Kentucky, Maryland,</w:t>
            </w:r>
          </w:p>
        </w:tc>
        <w:tc>
          <w:tcPr>
            <w:tcW w:w="180" w:type="dxa"/>
            <w:vAlign w:val="bottom"/>
          </w:tcPr>
          <w:p>
            <w:pPr>
              <w:spacing w:after="0"/>
              <w:rPr>
                <w:sz w:val="18"/>
                <w:szCs w:val="18"/>
                <w:color w:val="auto"/>
              </w:rPr>
            </w:pPr>
          </w:p>
        </w:tc>
        <w:tc>
          <w:tcPr>
            <w:tcW w:w="4000" w:type="dxa"/>
            <w:vAlign w:val="bottom"/>
          </w:tcPr>
          <w:p>
            <w:pPr>
              <w:jc w:val="center"/>
              <w:spacing w:after="0" w:line="216" w:lineRule="exact"/>
              <w:rPr>
                <w:sz w:val="20"/>
                <w:szCs w:val="20"/>
                <w:color w:val="auto"/>
              </w:rPr>
            </w:pPr>
            <w:r>
              <w:rPr>
                <w:rFonts w:ascii="Calibri" w:cs="Calibri" w:eastAsia="Calibri" w:hAnsi="Calibri"/>
                <w:sz w:val="20"/>
                <w:szCs w:val="20"/>
                <w:color w:val="auto"/>
              </w:rPr>
              <w:t>Louisiana, Oklahoma, Texas, Utah,</w:t>
            </w: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ind w:left="960"/>
              <w:spacing w:after="0" w:line="203" w:lineRule="exact"/>
              <w:rPr>
                <w:sz w:val="20"/>
                <w:szCs w:val="20"/>
                <w:color w:val="auto"/>
              </w:rPr>
            </w:pPr>
            <w:r>
              <w:rPr>
                <w:rFonts w:ascii="Calibri" w:cs="Calibri" w:eastAsia="Calibri" w:hAnsi="Calibri"/>
                <w:sz w:val="20"/>
                <w:szCs w:val="20"/>
                <w:color w:val="auto"/>
              </w:rPr>
              <w:t>Minnesota, Missouri,</w:t>
            </w:r>
          </w:p>
        </w:tc>
        <w:tc>
          <w:tcPr>
            <w:tcW w:w="180" w:type="dxa"/>
            <w:vAlign w:val="bottom"/>
          </w:tcPr>
          <w:p>
            <w:pPr>
              <w:spacing w:after="0"/>
              <w:rPr>
                <w:sz w:val="17"/>
                <w:szCs w:val="17"/>
                <w:color w:val="auto"/>
              </w:rPr>
            </w:pPr>
          </w:p>
        </w:tc>
        <w:tc>
          <w:tcPr>
            <w:tcW w:w="4000" w:type="dxa"/>
            <w:vAlign w:val="bottom"/>
          </w:tcPr>
          <w:p>
            <w:pPr>
              <w:ind w:left="880"/>
              <w:spacing w:after="0" w:line="203" w:lineRule="exact"/>
              <w:rPr>
                <w:sz w:val="20"/>
                <w:szCs w:val="20"/>
                <w:color w:val="auto"/>
              </w:rPr>
            </w:pPr>
            <w:r>
              <w:rPr>
                <w:rFonts w:ascii="Calibri" w:cs="Calibri" w:eastAsia="Calibri" w:hAnsi="Calibri"/>
                <w:sz w:val="20"/>
                <w:szCs w:val="20"/>
                <w:color w:val="auto"/>
              </w:rPr>
              <w:t>Washington and Wyoming</w:t>
            </w: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jc w:val="center"/>
              <w:spacing w:after="0" w:line="203" w:lineRule="exact"/>
              <w:rPr>
                <w:sz w:val="20"/>
                <w:szCs w:val="20"/>
                <w:color w:val="auto"/>
              </w:rPr>
            </w:pPr>
            <w:r>
              <w:rPr>
                <w:rFonts w:ascii="Calibri" w:cs="Calibri" w:eastAsia="Calibri" w:hAnsi="Calibri"/>
                <w:sz w:val="20"/>
                <w:szCs w:val="20"/>
                <w:color w:val="auto"/>
              </w:rPr>
              <w:t>Nebraska, North Carolina, Ohio,</w:t>
            </w:r>
          </w:p>
        </w:tc>
        <w:tc>
          <w:tcPr>
            <w:tcW w:w="18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16"/>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Pr>
          <w:p>
            <w:pPr>
              <w:jc w:val="center"/>
              <w:spacing w:after="0" w:line="216" w:lineRule="exact"/>
              <w:rPr>
                <w:sz w:val="20"/>
                <w:szCs w:val="20"/>
                <w:color w:val="auto"/>
              </w:rPr>
            </w:pPr>
            <w:r>
              <w:rPr>
                <w:rFonts w:ascii="Calibri" w:cs="Calibri" w:eastAsia="Calibri" w:hAnsi="Calibri"/>
                <w:sz w:val="20"/>
                <w:szCs w:val="20"/>
                <w:color w:val="auto"/>
              </w:rPr>
              <w:t>Pennsylvania, South Carolina,</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03"/>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jc w:val="center"/>
              <w:spacing w:after="0" w:line="203" w:lineRule="exact"/>
              <w:rPr>
                <w:sz w:val="20"/>
                <w:szCs w:val="20"/>
                <w:color w:val="auto"/>
              </w:rPr>
            </w:pPr>
            <w:r>
              <w:rPr>
                <w:rFonts w:ascii="Calibri" w:cs="Calibri" w:eastAsia="Calibri" w:hAnsi="Calibri"/>
                <w:sz w:val="20"/>
                <w:szCs w:val="20"/>
                <w:color w:val="auto"/>
                <w:w w:val="99"/>
              </w:rPr>
              <w:t>Tennessee, Virginia, West Virginia,</w:t>
            </w:r>
          </w:p>
        </w:tc>
        <w:tc>
          <w:tcPr>
            <w:tcW w:w="18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jc w:val="center"/>
              <w:spacing w:after="0" w:line="234" w:lineRule="exact"/>
              <w:rPr>
                <w:sz w:val="20"/>
                <w:szCs w:val="20"/>
                <w:color w:val="auto"/>
              </w:rPr>
            </w:pPr>
            <w:r>
              <w:rPr>
                <w:rFonts w:ascii="Calibri" w:cs="Calibri" w:eastAsia="Calibri" w:hAnsi="Calibri"/>
                <w:sz w:val="20"/>
                <w:szCs w:val="20"/>
                <w:color w:val="auto"/>
              </w:rPr>
              <w:t>Nova Scota and The Bahamas</w:t>
            </w: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14"/>
        </w:trPr>
        <w:tc>
          <w:tcPr>
            <w:tcW w:w="3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8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Calibri" w:cs="Calibri" w:eastAsia="Calibri" w:hAnsi="Calibri"/>
                <w:sz w:val="20"/>
                <w:szCs w:val="20"/>
                <w:color w:val="auto"/>
              </w:rPr>
              <w:t>Aggregates, Cement, Ready Mixed Concrete,</w:t>
            </w:r>
          </w:p>
        </w:tc>
      </w:t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jc w:val="center"/>
              <w:spacing w:after="0" w:line="234" w:lineRule="exact"/>
              <w:rPr>
                <w:sz w:val="20"/>
                <w:szCs w:val="20"/>
                <w:color w:val="auto"/>
              </w:rPr>
            </w:pPr>
            <w:r>
              <w:rPr>
                <w:rFonts w:ascii="Calibri" w:cs="Calibri" w:eastAsia="Calibri" w:hAnsi="Calibri"/>
                <w:sz w:val="20"/>
                <w:szCs w:val="20"/>
                <w:color w:val="auto"/>
              </w:rPr>
              <w:t>Asphalt and Paving</w:t>
            </w:r>
          </w:p>
        </w:tc>
      </w:tr>
    </w:tbl>
    <w:p>
      <w:pPr>
        <w:spacing w:after="0" w:line="171" w:lineRule="exact"/>
        <w:rPr>
          <w:sz w:val="20"/>
          <w:szCs w:val="20"/>
          <w:color w:val="auto"/>
        </w:rPr>
      </w:pPr>
    </w:p>
    <w:p>
      <w:pPr>
        <w:jc w:val="both"/>
        <w:ind w:left="380"/>
        <w:spacing w:after="0" w:line="226" w:lineRule="auto"/>
        <w:rPr>
          <w:sz w:val="20"/>
          <w:szCs w:val="20"/>
          <w:color w:val="auto"/>
        </w:rPr>
      </w:pPr>
      <w:r>
        <w:rPr>
          <w:rFonts w:ascii="Calibri" w:cs="Calibri" w:eastAsia="Calibri" w:hAnsi="Calibri"/>
          <w:sz w:val="20"/>
          <w:szCs w:val="20"/>
          <w:color w:val="auto"/>
        </w:rPr>
        <w:t>The Company’s Magnesia Specialtes business, which represents a separate reportable segment, has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20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Basis of Presentaton</w:t>
      </w:r>
    </w:p>
    <w:p>
      <w:pPr>
        <w:spacing w:after="0" w:line="90" w:lineRule="exact"/>
        <w:rPr>
          <w:sz w:val="20"/>
          <w:szCs w:val="20"/>
          <w:color w:val="auto"/>
        </w:rPr>
      </w:pPr>
    </w:p>
    <w:p>
      <w:pPr>
        <w:jc w:val="both"/>
        <w:ind w:left="380"/>
        <w:spacing w:after="0" w:line="224" w:lineRule="auto"/>
        <w:rPr>
          <w:sz w:val="20"/>
          <w:szCs w:val="20"/>
          <w:color w:val="auto"/>
        </w:rPr>
      </w:pPr>
      <w:r>
        <w:rPr>
          <w:rFonts w:ascii="Calibri" w:cs="Calibri" w:eastAsia="Calibri" w:hAnsi="Calibri"/>
          <w:sz w:val="20"/>
          <w:szCs w:val="20"/>
          <w:color w:val="auto"/>
        </w:rPr>
        <w:t>The accompanying unaudited consolidated fnancial statements of the Company have been prepared in accordance with accountng principles generally accepted in the United States (U.S. GAAP) for interim fnancial informaton and with the instructons to the Quarterly Report on Form 10-Q and in Artcle 10 of Regulaton S-X. The Company has contnued to follow the accountng policies set forth in the audited consolidated fnancial statements and related notes thereto included in the Company’s Annual Report on Form 10-K for the year ended December 31, 2021. In the opinion of management, the interim consolidated fnancial informaton provided herein refects all adjustments, consistng of normal recurring accruals, necessary for a fair statement of the results of operatons, fnancial positon and cash fows for the interim periods. The consolidated results of operatons for the three and nine months ended September 30, 2022 are not necessarily indicatve of the results expected for other interim periods or the full year. The consolidated balance sheet at December 31, 2021 has been derived from the audited consolidated fnancial</w:t>
      </w:r>
    </w:p>
    <w:p>
      <w:pPr>
        <w:jc w:val="center"/>
        <w:spacing w:after="0" w:line="231" w:lineRule="auto"/>
        <w:rPr>
          <w:sz w:val="20"/>
          <w:szCs w:val="20"/>
          <w:color w:val="auto"/>
        </w:rPr>
      </w:pPr>
      <w:r>
        <w:rPr>
          <w:rFonts w:ascii="Calibri" w:cs="Calibri" w:eastAsia="Calibri" w:hAnsi="Calibri"/>
          <w:sz w:val="20"/>
          <w:szCs w:val="20"/>
          <w:color w:val="auto"/>
        </w:rPr>
        <w:t>Page 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8" w:name="page9"/>
    <w:bookmarkEnd w:id="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ind w:left="380"/>
        <w:spacing w:after="0" w:line="227" w:lineRule="auto"/>
        <w:rPr>
          <w:sz w:val="20"/>
          <w:szCs w:val="20"/>
          <w:color w:val="auto"/>
        </w:rPr>
      </w:pPr>
      <w:r>
        <w:rPr>
          <w:rFonts w:ascii="Calibri" w:cs="Calibri" w:eastAsia="Calibri" w:hAnsi="Calibri"/>
          <w:sz w:val="20"/>
          <w:szCs w:val="20"/>
          <w:color w:val="auto"/>
        </w:rPr>
        <w:t>statements at that date but does not include all of the informaton and notes required by U.S. GAAP for complete fnancial statements. These consolidated fnancial statements should be read in conjuncton with the audited consolidated fnancial statements and notes thereto included in the Company’s Annual Report on Form 10-K for the year ended December 31, 2021.</w:t>
      </w:r>
    </w:p>
    <w:p>
      <w:pPr>
        <w:spacing w:after="0" w:line="90" w:lineRule="exact"/>
        <w:rPr>
          <w:sz w:val="20"/>
          <w:szCs w:val="20"/>
          <w:color w:val="auto"/>
        </w:rPr>
      </w:pPr>
    </w:p>
    <w:p>
      <w:pPr>
        <w:jc w:val="both"/>
        <w:ind w:left="380"/>
        <w:spacing w:after="0" w:line="226" w:lineRule="auto"/>
        <w:rPr>
          <w:sz w:val="20"/>
          <w:szCs w:val="20"/>
          <w:color w:val="auto"/>
        </w:rPr>
      </w:pPr>
      <w:r>
        <w:rPr>
          <w:rFonts w:ascii="Calibri" w:cs="Calibri" w:eastAsia="Calibri" w:hAnsi="Calibri"/>
          <w:sz w:val="20"/>
          <w:szCs w:val="20"/>
          <w:color w:val="auto"/>
        </w:rPr>
        <w:t>The preparaton of the Company’s consolidated fnancial statements requires management to make certain estmates and assumptons about future events. As future events and their efects cannot be fully determined with precision, actual results could difer signifcantly from estmates. Changes in estmates are refected in the consolidated fnancial statements in the period in which the change in estmate occurs.</w:t>
      </w:r>
    </w:p>
    <w:p>
      <w:pPr>
        <w:spacing w:after="0" w:line="205"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Consolidated Comprehensive Earnings (Loss) and Accumulated Other Comprehensive Loss</w:t>
      </w:r>
    </w:p>
    <w:p>
      <w:pPr>
        <w:spacing w:after="0" w:line="103" w:lineRule="exact"/>
        <w:rPr>
          <w:sz w:val="20"/>
          <w:szCs w:val="20"/>
          <w:color w:val="auto"/>
        </w:rPr>
      </w:pPr>
    </w:p>
    <w:p>
      <w:pPr>
        <w:jc w:val="both"/>
        <w:ind w:left="380"/>
        <w:spacing w:after="0" w:line="222" w:lineRule="auto"/>
        <w:rPr>
          <w:sz w:val="20"/>
          <w:szCs w:val="20"/>
          <w:color w:val="auto"/>
        </w:rPr>
      </w:pPr>
      <w:r>
        <w:rPr>
          <w:rFonts w:ascii="Calibri" w:cs="Calibri" w:eastAsia="Calibri" w:hAnsi="Calibri"/>
          <w:sz w:val="20"/>
          <w:szCs w:val="20"/>
          <w:color w:val="auto"/>
        </w:rPr>
        <w:t>Consolidated comprehensive earnings (loss) and accumulated other comprehensive loss consist of consolidated net earnings; adjustments for the funded status of pension and postretrement beneft plans; and foreign currency translaton adjustments; and are presented in the Company’s consolidated statements of earnings and comprehensive earnings.</w:t>
      </w:r>
    </w:p>
    <w:p>
      <w:pPr>
        <w:spacing w:after="0" w:line="96"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Consolidated comprehensive earnings (loss) atributable to Martn Marieta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gridSpan w:val="4"/>
          </w:tcPr>
          <w:p>
            <w:pPr>
              <w:jc w:val="right"/>
              <w:ind w:right="521"/>
              <w:spacing w:after="0"/>
              <w:rPr>
                <w:sz w:val="20"/>
                <w:szCs w:val="20"/>
                <w:color w:val="auto"/>
              </w:rPr>
            </w:pPr>
            <w:r>
              <w:rPr>
                <w:rFonts w:ascii="Calibri" w:cs="Calibri" w:eastAsia="Calibri" w:hAnsi="Calibri"/>
                <w:sz w:val="20"/>
                <w:szCs w:val="20"/>
                <w:color w:val="auto"/>
              </w:rPr>
              <w:t>Three Months Ended</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4"/>
          </w:tcPr>
          <w:p>
            <w:pPr>
              <w:jc w:val="right"/>
              <w:ind w:right="441"/>
              <w:spacing w:after="0"/>
              <w:rPr>
                <w:sz w:val="20"/>
                <w:szCs w:val="20"/>
                <w:color w:val="auto"/>
              </w:rPr>
            </w:pPr>
            <w:r>
              <w:rPr>
                <w:rFonts w:ascii="Calibri" w:cs="Calibri" w:eastAsia="Calibri" w:hAnsi="Calibri"/>
                <w:sz w:val="20"/>
                <w:szCs w:val="20"/>
                <w:color w:val="auto"/>
              </w:rPr>
              <w:t>Nine Months Ended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761"/>
              <w:spacing w:after="0" w:line="234" w:lineRule="exact"/>
              <w:rPr>
                <w:sz w:val="20"/>
                <w:szCs w:val="20"/>
                <w:color w:val="auto"/>
              </w:rPr>
            </w:pPr>
            <w:r>
              <w:rPr>
                <w:rFonts w:ascii="Calibri" w:cs="Calibri" w:eastAsia="Calibri" w:hAnsi="Calibri"/>
                <w:sz w:val="20"/>
                <w:szCs w:val="20"/>
                <w:color w:val="auto"/>
              </w:rPr>
              <w:t>September 30,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661"/>
              <w:spacing w:after="0" w:line="234" w:lineRule="exact"/>
              <w:rPr>
                <w:sz w:val="20"/>
                <w:szCs w:val="20"/>
                <w:color w:val="auto"/>
              </w:rPr>
            </w:pPr>
            <w:r>
              <w:rPr>
                <w:rFonts w:ascii="Calibri" w:cs="Calibri" w:eastAsia="Calibri" w:hAnsi="Calibri"/>
                <w:sz w:val="20"/>
                <w:szCs w:val="20"/>
                <w:color w:val="auto"/>
              </w:rPr>
              <w:t>September 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1"/>
              <w:spacing w:after="0" w:line="229" w:lineRule="exact"/>
              <w:rPr>
                <w:sz w:val="20"/>
                <w:szCs w:val="20"/>
                <w:color w:val="auto"/>
              </w:rPr>
            </w:pPr>
            <w:r>
              <w:rPr>
                <w:rFonts w:ascii="Calibri" w:cs="Calibri" w:eastAsia="Calibri" w:hAnsi="Calibri"/>
                <w:sz w:val="20"/>
                <w:szCs w:val="20"/>
                <w:color w:val="auto"/>
              </w:rPr>
              <w:t>2022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1"/>
              <w:spacing w:after="0" w:line="229" w:lineRule="exact"/>
              <w:rPr>
                <w:sz w:val="20"/>
                <w:szCs w:val="20"/>
                <w:color w:val="auto"/>
              </w:rPr>
            </w:pPr>
            <w:r>
              <w:rPr>
                <w:rFonts w:ascii="Calibri" w:cs="Calibri" w:eastAsia="Calibri" w:hAnsi="Calibri"/>
                <w:sz w:val="20"/>
                <w:szCs w:val="20"/>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1"/>
              <w:spacing w:after="0" w:line="229" w:lineRule="exact"/>
              <w:rPr>
                <w:sz w:val="20"/>
                <w:szCs w:val="20"/>
                <w:color w:val="auto"/>
              </w:rPr>
            </w:pPr>
            <w:r>
              <w:rPr>
                <w:rFonts w:ascii="Calibri" w:cs="Calibri" w:eastAsia="Calibri" w:hAnsi="Calibri"/>
                <w:sz w:val="20"/>
                <w:szCs w:val="20"/>
                <w:color w:val="auto"/>
              </w:rPr>
              <w:t>2022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1"/>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Calibri" w:cs="Calibri" w:eastAsia="Calibri" w:hAnsi="Calibri"/>
                <w:sz w:val="20"/>
                <w:szCs w:val="20"/>
                <w:i w:val="1"/>
                <w:iCs w:val="1"/>
                <w:color w:val="auto"/>
              </w:rPr>
              <w:t>(Dollars in</w:t>
            </w:r>
          </w:p>
        </w:tc>
        <w:tc>
          <w:tcPr>
            <w:tcW w:w="260" w:type="dxa"/>
            <w:vAlign w:val="bottom"/>
          </w:tcPr>
          <w:p>
            <w:pPr>
              <w:spacing w:after="0"/>
              <w:rPr>
                <w:sz w:val="19"/>
                <w:szCs w:val="19"/>
                <w:color w:val="auto"/>
              </w:rPr>
            </w:pPr>
          </w:p>
        </w:tc>
        <w:tc>
          <w:tcPr>
            <w:tcW w:w="1220" w:type="dxa"/>
            <w:vAlign w:val="bottom"/>
            <w:gridSpan w:val="2"/>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Net earnings atributable to Martn Marieta</w:t>
            </w:r>
          </w:p>
        </w:tc>
        <w:tc>
          <w:tcPr>
            <w:tcW w:w="280" w:type="dxa"/>
            <w:vAlign w:val="bottom"/>
            <w:shd w:val="clear" w:color="auto" w:fill="CFF0FC"/>
          </w:tcPr>
          <w:p>
            <w:pPr>
              <w:jc w:val="right"/>
              <w:ind w:right="81"/>
              <w:spacing w:after="0" w:line="229" w:lineRule="exact"/>
              <w:rPr>
                <w:sz w:val="20"/>
                <w:szCs w:val="20"/>
                <w:color w:val="auto"/>
              </w:rPr>
            </w:pPr>
            <w:r>
              <w:rPr>
                <w:rFonts w:ascii="Calibri" w:cs="Calibri" w:eastAsia="Calibri" w:hAnsi="Calibri"/>
                <w:sz w:val="20"/>
                <w:szCs w:val="20"/>
                <w:color w:val="auto"/>
                <w:w w:val="78"/>
              </w:rPr>
              <w:t>$</w:t>
            </w: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295.3</w:t>
            </w:r>
          </w:p>
        </w:tc>
        <w:tc>
          <w:tcPr>
            <w:tcW w:w="580" w:type="dxa"/>
            <w:vAlign w:val="bottom"/>
            <w:gridSpan w:val="2"/>
            <w:shd w:val="clear" w:color="auto" w:fill="CFF0FC"/>
          </w:tcPr>
          <w:p>
            <w:pPr>
              <w:jc w:val="right"/>
              <w:ind w:right="81"/>
              <w:spacing w:after="0" w:line="229" w:lineRule="exact"/>
              <w:rPr>
                <w:sz w:val="20"/>
                <w:szCs w:val="20"/>
                <w:color w:val="auto"/>
              </w:rPr>
            </w:pPr>
            <w:r>
              <w:rPr>
                <w:rFonts w:ascii="Calibri" w:cs="Calibri" w:eastAsia="Calibri" w:hAnsi="Calibri"/>
                <w:sz w:val="20"/>
                <w:szCs w:val="20"/>
                <w:color w:val="auto"/>
              </w:rPr>
              <w:t>$</w:t>
            </w: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254.6</w:t>
            </w:r>
          </w:p>
        </w:tc>
        <w:tc>
          <w:tcPr>
            <w:tcW w:w="520" w:type="dxa"/>
            <w:vAlign w:val="bottom"/>
            <w:gridSpan w:val="2"/>
            <w:shd w:val="clear" w:color="auto" w:fill="CFF0FC"/>
          </w:tcPr>
          <w:p>
            <w:pPr>
              <w:ind w:left="260"/>
              <w:spacing w:after="0" w:line="229"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683.2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29" w:lineRule="exact"/>
              <w:rPr>
                <w:sz w:val="20"/>
                <w:szCs w:val="20"/>
                <w:color w:val="auto"/>
              </w:rPr>
            </w:pPr>
            <w:r>
              <w:rPr>
                <w:rFonts w:ascii="Calibri" w:cs="Calibri" w:eastAsia="Calibri" w:hAnsi="Calibri"/>
                <w:sz w:val="20"/>
                <w:szCs w:val="20"/>
                <w:color w:val="auto"/>
              </w:rPr>
              <w:t>Other comprehensive earnings (loss), net of tax</w:t>
            </w:r>
          </w:p>
        </w:tc>
        <w:tc>
          <w:tcPr>
            <w:tcW w:w="28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line="229" w:lineRule="exact"/>
              <w:rPr>
                <w:sz w:val="20"/>
                <w:szCs w:val="20"/>
                <w:color w:val="auto"/>
              </w:rPr>
            </w:pPr>
            <w:r>
              <w:rPr>
                <w:rFonts w:ascii="Calibri" w:cs="Calibri" w:eastAsia="Calibri" w:hAnsi="Calibri"/>
                <w:sz w:val="20"/>
                <w:szCs w:val="20"/>
                <w:color w:val="auto"/>
              </w:rPr>
              <w:t>(27.5 )</w:t>
            </w:r>
          </w:p>
        </w:tc>
        <w:tc>
          <w:tcPr>
            <w:tcW w:w="26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Calibri" w:cs="Calibri" w:eastAsia="Calibri" w:hAnsi="Calibri"/>
                <w:sz w:val="20"/>
                <w:szCs w:val="20"/>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240" w:type="dxa"/>
            <w:vAlign w:val="bottom"/>
            <w:shd w:val="clear" w:color="auto" w:fill="CFF0FC"/>
          </w:tcPr>
          <w:p>
            <w:pPr>
              <w:ind w:left="20"/>
              <w:spacing w:after="0" w:line="185" w:lineRule="exact"/>
              <w:rPr>
                <w:sz w:val="20"/>
                <w:szCs w:val="20"/>
                <w:color w:val="auto"/>
              </w:rPr>
            </w:pPr>
            <w:r>
              <w:rPr>
                <w:rFonts w:ascii="Calibri" w:cs="Calibri" w:eastAsia="Calibri" w:hAnsi="Calibri"/>
                <w:sz w:val="20"/>
                <w:szCs w:val="20"/>
                <w:color w:val="auto"/>
              </w:rPr>
              <w:t>Consolidated comprehensive earnings atributable to</w:t>
            </w:r>
          </w:p>
        </w:tc>
        <w:tc>
          <w:tcPr>
            <w:tcW w:w="280" w:type="dxa"/>
            <w:vAlign w:val="bottom"/>
            <w:tcBorders>
              <w:top w:val="single" w:sz="8" w:color="auto"/>
            </w:tcBorders>
            <w:vMerge w:val="restart"/>
            <w:shd w:val="clear" w:color="auto" w:fill="CFF0FC"/>
          </w:tcPr>
          <w:p>
            <w:pPr>
              <w:jc w:val="right"/>
              <w:ind w:right="81"/>
              <w:spacing w:after="0"/>
              <w:rPr>
                <w:sz w:val="20"/>
                <w:szCs w:val="20"/>
                <w:color w:val="auto"/>
              </w:rPr>
            </w:pPr>
            <w:r>
              <w:rPr>
                <w:rFonts w:ascii="Calibri" w:cs="Calibri" w:eastAsia="Calibri" w:hAnsi="Calibri"/>
                <w:sz w:val="20"/>
                <w:szCs w:val="20"/>
                <w:color w:val="auto"/>
                <w:w w:val="78"/>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20"/>
                <w:szCs w:val="20"/>
                <w:color w:val="auto"/>
              </w:rPr>
              <w:t>298.3</w:t>
            </w:r>
          </w:p>
        </w:tc>
        <w:tc>
          <w:tcPr>
            <w:tcW w:w="280" w:type="dxa"/>
            <w:vAlign w:val="bottom"/>
            <w:vMerge w:val="restart"/>
            <w:shd w:val="clear" w:color="auto" w:fill="CFF0FC"/>
          </w:tcPr>
          <w:p>
            <w:pPr>
              <w:spacing w:after="0"/>
              <w:rPr>
                <w:sz w:val="16"/>
                <w:szCs w:val="16"/>
                <w:color w:val="auto"/>
              </w:rPr>
            </w:pPr>
          </w:p>
        </w:tc>
        <w:tc>
          <w:tcPr>
            <w:tcW w:w="300" w:type="dxa"/>
            <w:vAlign w:val="bottom"/>
            <w:tcBorders>
              <w:top w:val="single" w:sz="8" w:color="auto"/>
            </w:tcBorders>
            <w:vMerge w:val="restart"/>
            <w:shd w:val="clear" w:color="auto" w:fill="CFF0FC"/>
          </w:tcPr>
          <w:p>
            <w:pPr>
              <w:jc w:val="right"/>
              <w:ind w:right="81"/>
              <w:spacing w:after="0"/>
              <w:rPr>
                <w:sz w:val="20"/>
                <w:szCs w:val="20"/>
                <w:color w:val="auto"/>
              </w:rPr>
            </w:pPr>
            <w:r>
              <w:rPr>
                <w:rFonts w:ascii="Calibri" w:cs="Calibri" w:eastAsia="Calibri" w:hAnsi="Calibri"/>
                <w:sz w:val="20"/>
                <w:szCs w:val="20"/>
                <w:color w:val="auto"/>
                <w:w w:val="98"/>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20"/>
                <w:szCs w:val="20"/>
                <w:color w:val="auto"/>
              </w:rPr>
              <w:t>256.2</w:t>
            </w:r>
          </w:p>
        </w:tc>
        <w:tc>
          <w:tcPr>
            <w:tcW w:w="260" w:type="dxa"/>
            <w:vAlign w:val="bottom"/>
            <w:vMerge w:val="restart"/>
            <w:shd w:val="clear" w:color="auto" w:fill="CFF0FC"/>
          </w:tcPr>
          <w:p>
            <w:pPr>
              <w:spacing w:after="0"/>
              <w:rPr>
                <w:sz w:val="16"/>
                <w:szCs w:val="16"/>
                <w:color w:val="auto"/>
              </w:rPr>
            </w:pPr>
          </w:p>
        </w:tc>
        <w:tc>
          <w:tcPr>
            <w:tcW w:w="260" w:type="dxa"/>
            <w:vAlign w:val="bottom"/>
            <w:tcBorders>
              <w:top w:val="single" w:sz="8" w:color="auto"/>
            </w:tcBorders>
            <w:vMerge w:val="restart"/>
            <w:shd w:val="clear" w:color="auto" w:fill="CFF0FC"/>
          </w:tcPr>
          <w:p>
            <w:pPr>
              <w:spacing w:after="0"/>
              <w:rPr>
                <w:sz w:val="20"/>
                <w:szCs w:val="20"/>
                <w:color w:val="auto"/>
              </w:rPr>
            </w:pPr>
            <w:r>
              <w:rPr>
                <w:rFonts w:ascii="Calibri" w:cs="Calibri" w:eastAsia="Calibri" w:hAnsi="Calibri"/>
                <w:sz w:val="20"/>
                <w:szCs w:val="20"/>
                <w:color w:val="auto"/>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20"/>
                <w:szCs w:val="20"/>
                <w:color w:val="auto"/>
              </w:rPr>
              <w:t>655.7</w:t>
            </w:r>
          </w:p>
        </w:tc>
        <w:tc>
          <w:tcPr>
            <w:tcW w:w="240" w:type="dxa"/>
            <w:vAlign w:val="bottom"/>
            <w:shd w:val="clear" w:color="auto" w:fill="CFF0FC"/>
          </w:tcPr>
          <w:p>
            <w:pPr>
              <w:spacing w:after="0"/>
              <w:rPr>
                <w:sz w:val="16"/>
                <w:szCs w:val="16"/>
                <w:color w:val="auto"/>
              </w:rPr>
            </w:pPr>
          </w:p>
        </w:tc>
        <w:tc>
          <w:tcPr>
            <w:tcW w:w="260" w:type="dxa"/>
            <w:vAlign w:val="bottom"/>
            <w:tcBorders>
              <w:top w:val="single" w:sz="8" w:color="auto"/>
            </w:tcBorders>
            <w:vMerge w:val="restart"/>
            <w:shd w:val="clear" w:color="auto" w:fill="CFF0FC"/>
          </w:tcPr>
          <w:p>
            <w:pPr>
              <w:jc w:val="right"/>
              <w:ind w:right="41"/>
              <w:spacing w:after="0"/>
              <w:rPr>
                <w:sz w:val="20"/>
                <w:szCs w:val="20"/>
                <w:color w:val="auto"/>
              </w:rPr>
            </w:pPr>
            <w:r>
              <w:rPr>
                <w:rFonts w:ascii="Calibri" w:cs="Calibri" w:eastAsia="Calibri" w:hAnsi="Calibri"/>
                <w:sz w:val="20"/>
                <w:szCs w:val="20"/>
                <w:color w:val="auto"/>
                <w:w w:val="98"/>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20"/>
                <w:szCs w:val="20"/>
                <w:color w:val="auto"/>
              </w:rPr>
              <w:t>552.7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240" w:type="dxa"/>
            <w:vAlign w:val="bottom"/>
            <w:tcBorders>
              <w:bottom w:val="single" w:sz="8" w:color="CFF0FC"/>
            </w:tcBorders>
            <w:shd w:val="clear" w:color="auto" w:fill="CFF0FC"/>
          </w:tcPr>
          <w:p>
            <w:pPr>
              <w:ind w:left="160"/>
              <w:spacing w:after="0" w:line="213" w:lineRule="exact"/>
              <w:rPr>
                <w:sz w:val="20"/>
                <w:szCs w:val="20"/>
                <w:color w:val="auto"/>
              </w:rPr>
            </w:pPr>
            <w:r>
              <w:rPr>
                <w:rFonts w:ascii="Calibri" w:cs="Calibri" w:eastAsia="Calibri" w:hAnsi="Calibri"/>
                <w:sz w:val="20"/>
                <w:szCs w:val="20"/>
                <w:color w:val="auto"/>
              </w:rPr>
              <w:t>Martn Marieta</w:t>
            </w:r>
          </w:p>
        </w:tc>
        <w:tc>
          <w:tcPr>
            <w:tcW w:w="280" w:type="dxa"/>
            <w:vAlign w:val="bottom"/>
            <w:tcBorders>
              <w:bottom w:val="single" w:sz="8" w:color="auto"/>
            </w:tcBorders>
            <w:vMerge w:val="continue"/>
            <w:shd w:val="clear" w:color="auto" w:fill="CFF0FC"/>
          </w:tcPr>
          <w:p>
            <w:pPr>
              <w:spacing w:after="0"/>
              <w:rPr>
                <w:sz w:val="22"/>
                <w:szCs w:val="22"/>
                <w:color w:val="auto"/>
              </w:rPr>
            </w:pPr>
          </w:p>
        </w:tc>
        <w:tc>
          <w:tcPr>
            <w:tcW w:w="1040" w:type="dxa"/>
            <w:vAlign w:val="bottom"/>
            <w:tcBorders>
              <w:bottom w:val="single" w:sz="8" w:color="auto"/>
            </w:tcBorders>
            <w:vMerge w:val="continue"/>
            <w:shd w:val="clear" w:color="auto" w:fill="CFF0FC"/>
          </w:tcPr>
          <w:p>
            <w:pPr>
              <w:spacing w:after="0"/>
              <w:rPr>
                <w:sz w:val="22"/>
                <w:szCs w:val="22"/>
                <w:color w:val="auto"/>
              </w:rPr>
            </w:pPr>
          </w:p>
        </w:tc>
        <w:tc>
          <w:tcPr>
            <w:tcW w:w="280" w:type="dxa"/>
            <w:vAlign w:val="bottom"/>
            <w:tcBorders>
              <w:bottom w:val="single" w:sz="8" w:color="CFF0FC"/>
            </w:tcBorders>
            <w:vMerge w:val="continue"/>
            <w:shd w:val="clear" w:color="auto" w:fill="CFF0FC"/>
          </w:tcPr>
          <w:p>
            <w:pPr>
              <w:spacing w:after="0"/>
              <w:rPr>
                <w:sz w:val="22"/>
                <w:szCs w:val="22"/>
                <w:color w:val="auto"/>
              </w:rPr>
            </w:pPr>
          </w:p>
        </w:tc>
        <w:tc>
          <w:tcPr>
            <w:tcW w:w="300" w:type="dxa"/>
            <w:vAlign w:val="bottom"/>
            <w:tcBorders>
              <w:bottom w:val="single" w:sz="8" w:color="auto"/>
            </w:tcBorders>
            <w:vMerge w:val="continue"/>
            <w:shd w:val="clear" w:color="auto" w:fill="CFF0FC"/>
          </w:tcPr>
          <w:p>
            <w:pPr>
              <w:spacing w:after="0"/>
              <w:rPr>
                <w:sz w:val="22"/>
                <w:szCs w:val="22"/>
                <w:color w:val="auto"/>
              </w:rPr>
            </w:pPr>
          </w:p>
        </w:tc>
        <w:tc>
          <w:tcPr>
            <w:tcW w:w="1040" w:type="dxa"/>
            <w:vAlign w:val="bottom"/>
            <w:tcBorders>
              <w:bottom w:val="single" w:sz="8" w:color="auto"/>
            </w:tcBorders>
            <w:vMerge w:val="continue"/>
            <w:shd w:val="clear" w:color="auto" w:fill="CFF0FC"/>
          </w:tcPr>
          <w:p>
            <w:pPr>
              <w:spacing w:after="0"/>
              <w:rPr>
                <w:sz w:val="22"/>
                <w:szCs w:val="22"/>
                <w:color w:val="auto"/>
              </w:rPr>
            </w:pPr>
          </w:p>
        </w:tc>
        <w:tc>
          <w:tcPr>
            <w:tcW w:w="260" w:type="dxa"/>
            <w:vAlign w:val="bottom"/>
            <w:tcBorders>
              <w:bottom w:val="single" w:sz="8" w:color="CFF0FC"/>
            </w:tcBorders>
            <w:vMerge w:val="continue"/>
            <w:shd w:val="clear" w:color="auto" w:fill="CFF0FC"/>
          </w:tcPr>
          <w:p>
            <w:pPr>
              <w:spacing w:after="0"/>
              <w:rPr>
                <w:sz w:val="22"/>
                <w:szCs w:val="22"/>
                <w:color w:val="auto"/>
              </w:rPr>
            </w:pPr>
          </w:p>
        </w:tc>
        <w:tc>
          <w:tcPr>
            <w:tcW w:w="260" w:type="dxa"/>
            <w:vAlign w:val="bottom"/>
            <w:tcBorders>
              <w:bottom w:val="single" w:sz="8" w:color="auto"/>
            </w:tcBorders>
            <w:vMerge w:val="continue"/>
            <w:shd w:val="clear" w:color="auto" w:fill="CFF0FC"/>
          </w:tcPr>
          <w:p>
            <w:pPr>
              <w:spacing w:after="0"/>
              <w:rPr>
                <w:sz w:val="22"/>
                <w:szCs w:val="22"/>
                <w:color w:val="auto"/>
              </w:rPr>
            </w:pPr>
          </w:p>
        </w:tc>
        <w:tc>
          <w:tcPr>
            <w:tcW w:w="960" w:type="dxa"/>
            <w:vAlign w:val="bottom"/>
            <w:tcBorders>
              <w:bottom w:val="single" w:sz="8" w:color="auto"/>
            </w:tcBorders>
            <w:vMerge w:val="continue"/>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vMerge w:val="continue"/>
            <w:shd w:val="clear" w:color="auto" w:fill="CFF0FC"/>
          </w:tcPr>
          <w:p>
            <w:pPr>
              <w:spacing w:after="0"/>
              <w:rPr>
                <w:sz w:val="22"/>
                <w:szCs w:val="22"/>
                <w:color w:val="auto"/>
              </w:rPr>
            </w:pPr>
          </w:p>
        </w:tc>
        <w:tc>
          <w:tcPr>
            <w:tcW w:w="98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9" w:name="page10"/>
    <w:bookmarkEnd w:id="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ind w:right="-19"/>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(UNAUDITED) NOTES TO CONSOLIDATED FINANCIAL STATEMENTS</w:t>
      </w:r>
    </w:p>
    <w:p>
      <w:pPr>
        <w:jc w:val="center"/>
        <w:ind w:right="-19"/>
        <w:spacing w:after="0" w:line="225" w:lineRule="auto"/>
        <w:rPr>
          <w:sz w:val="20"/>
          <w:szCs w:val="20"/>
          <w:color w:val="auto"/>
        </w:rPr>
      </w:pPr>
      <w:r>
        <w:rPr>
          <w:rFonts w:ascii="Calibri" w:cs="Calibri" w:eastAsia="Calibri" w:hAnsi="Calibri"/>
          <w:sz w:val="20"/>
          <w:szCs w:val="20"/>
          <w:color w:val="auto"/>
        </w:rPr>
        <w:t>(Contnued)</w:t>
      </w:r>
    </w:p>
    <w:p>
      <w:pPr>
        <w:spacing w:after="0" w:line="188"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Changes in accumulated other comprehensive loss, net of tax, are as follows:</w:t>
      </w:r>
    </w:p>
    <w:p>
      <w:pPr>
        <w:spacing w:after="0" w:line="198" w:lineRule="exact"/>
        <w:rPr>
          <w:sz w:val="20"/>
          <w:szCs w:val="20"/>
          <w:color w:val="auto"/>
        </w:rPr>
      </w:pPr>
    </w:p>
    <w:p>
      <w:pPr>
        <w:ind w:left="7680"/>
        <w:spacing w:after="0"/>
        <w:rPr>
          <w:sz w:val="20"/>
          <w:szCs w:val="20"/>
          <w:color w:val="auto"/>
        </w:rPr>
      </w:pPr>
      <w:r>
        <w:rPr>
          <w:rFonts w:ascii="Calibri" w:cs="Calibri" w:eastAsia="Calibri" w:hAnsi="Calibri"/>
          <w:sz w:val="19"/>
          <w:szCs w:val="19"/>
          <w:i w:val="1"/>
          <w:iCs w:val="1"/>
          <w:color w:val="auto"/>
        </w:rPr>
        <w:t>(Dollars in Millions)</w:t>
      </w:r>
    </w:p>
    <w:p>
      <w:pPr>
        <w:spacing w:after="0" w:line="11" w:lineRule="exact"/>
        <w:rPr>
          <w:sz w:val="20"/>
          <w:szCs w:val="20"/>
          <w:color w:val="auto"/>
        </w:rPr>
      </w:pPr>
    </w:p>
    <w:p>
      <w:pPr>
        <w:jc w:val="right"/>
        <w:ind w:right="440"/>
        <w:spacing w:after="0"/>
        <w:rPr>
          <w:sz w:val="20"/>
          <w:szCs w:val="20"/>
          <w:color w:val="auto"/>
        </w:rPr>
      </w:pPr>
      <w:r>
        <w:rPr>
          <w:rFonts w:ascii="Calibri" w:cs="Calibri" w:eastAsia="Calibri" w:hAnsi="Calibri"/>
          <w:sz w:val="19"/>
          <w:szCs w:val="19"/>
          <w:color w:val="auto"/>
        </w:rPr>
        <w:t>Accumulated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-131445</wp:posOffset>
            </wp:positionV>
            <wp:extent cx="3437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Calibri" w:cs="Calibri" w:eastAsia="Calibri" w:hAnsi="Calibri"/>
          <w:sz w:val="19"/>
          <w:szCs w:val="19"/>
          <w:color w:val="auto"/>
        </w:rPr>
        <w:t>Balance at beginning of period</w:t>
      </w:r>
    </w:p>
    <w:p>
      <w:pPr>
        <w:spacing w:after="0" w:line="4" w:lineRule="exact"/>
        <w:rPr>
          <w:sz w:val="20"/>
          <w:szCs w:val="20"/>
          <w:color w:val="auto"/>
        </w:rPr>
      </w:pPr>
    </w:p>
    <w:p>
      <w:pPr>
        <w:ind w:left="140" w:right="1140" w:hanging="127"/>
        <w:spacing w:after="0" w:line="221" w:lineRule="auto"/>
        <w:rPr>
          <w:sz w:val="20"/>
          <w:szCs w:val="20"/>
          <w:color w:val="auto"/>
        </w:rPr>
      </w:pPr>
      <w:r>
        <w:rPr>
          <w:rFonts w:ascii="Calibri" w:cs="Calibri" w:eastAsia="Calibri" w:hAnsi="Calibri"/>
          <w:sz w:val="19"/>
          <w:szCs w:val="19"/>
          <w:color w:val="auto"/>
        </w:rPr>
        <w:t>Other comprehensive loss before reclassifcatons, net of tax</w:t>
      </w:r>
    </w:p>
    <w:p>
      <w:pPr>
        <w:spacing w:after="0" w:line="1" w:lineRule="exact"/>
        <w:rPr>
          <w:sz w:val="20"/>
          <w:szCs w:val="20"/>
          <w:color w:val="auto"/>
        </w:rPr>
      </w:pPr>
    </w:p>
    <w:p>
      <w:pPr>
        <w:ind w:left="140" w:right="1480" w:hanging="127"/>
        <w:spacing w:after="0" w:line="216" w:lineRule="auto"/>
        <w:rPr>
          <w:sz w:val="20"/>
          <w:szCs w:val="20"/>
          <w:color w:val="auto"/>
        </w:rPr>
      </w:pPr>
      <w:r>
        <w:rPr>
          <w:rFonts w:ascii="Calibri" w:cs="Calibri" w:eastAsia="Calibri" w:hAnsi="Calibri"/>
          <w:sz w:val="19"/>
          <w:szCs w:val="19"/>
          <w:color w:val="auto"/>
        </w:rPr>
        <w:t>Amounts reclassifed from accumulated other comprehensive loss, net of tax</w:t>
      </w:r>
    </w:p>
    <w:p>
      <w:pPr>
        <w:spacing w:after="0" w:line="5" w:lineRule="exact"/>
        <w:rPr>
          <w:sz w:val="20"/>
          <w:szCs w:val="20"/>
          <w:color w:val="auto"/>
        </w:rPr>
      </w:pPr>
    </w:p>
    <w:p>
      <w:pPr>
        <w:ind w:left="20" w:right="1340"/>
        <w:spacing w:after="0" w:line="272" w:lineRule="auto"/>
        <w:rPr>
          <w:sz w:val="20"/>
          <w:szCs w:val="20"/>
          <w:color w:val="auto"/>
        </w:rPr>
      </w:pPr>
      <w:r>
        <w:rPr>
          <w:rFonts w:ascii="Calibri" w:cs="Calibri" w:eastAsia="Calibri" w:hAnsi="Calibri"/>
          <w:sz w:val="19"/>
          <w:szCs w:val="19"/>
          <w:color w:val="auto"/>
        </w:rPr>
        <w:t>Other comprehensive earnings (loss), net of tax Balance at end of period</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Calibri" w:cs="Calibri" w:eastAsia="Calibri" w:hAnsi="Calibri"/>
          <w:sz w:val="19"/>
          <w:szCs w:val="19"/>
          <w:color w:val="auto"/>
        </w:rPr>
        <w:t>Balance at beginning of period</w:t>
      </w:r>
    </w:p>
    <w:p>
      <w:pPr>
        <w:spacing w:after="0" w:line="4" w:lineRule="exact"/>
        <w:rPr>
          <w:sz w:val="20"/>
          <w:szCs w:val="20"/>
          <w:color w:val="auto"/>
        </w:rPr>
      </w:pPr>
    </w:p>
    <w:p>
      <w:pPr>
        <w:ind w:left="140" w:right="1140" w:hanging="127"/>
        <w:spacing w:after="0" w:line="221" w:lineRule="auto"/>
        <w:rPr>
          <w:sz w:val="20"/>
          <w:szCs w:val="20"/>
          <w:color w:val="auto"/>
        </w:rPr>
      </w:pPr>
      <w:r>
        <w:rPr>
          <w:rFonts w:ascii="Calibri" w:cs="Calibri" w:eastAsia="Calibri" w:hAnsi="Calibri"/>
          <w:sz w:val="19"/>
          <w:szCs w:val="19"/>
          <w:color w:val="auto"/>
        </w:rPr>
        <w:t>Other comprehensive loss before reclassifcatons, net of tax</w:t>
      </w:r>
    </w:p>
    <w:p>
      <w:pPr>
        <w:spacing w:after="0" w:line="1" w:lineRule="exact"/>
        <w:rPr>
          <w:sz w:val="20"/>
          <w:szCs w:val="20"/>
          <w:color w:val="auto"/>
        </w:rPr>
      </w:pPr>
    </w:p>
    <w:p>
      <w:pPr>
        <w:ind w:left="140" w:right="1480" w:hanging="127"/>
        <w:spacing w:after="0" w:line="216" w:lineRule="auto"/>
        <w:rPr>
          <w:sz w:val="20"/>
          <w:szCs w:val="20"/>
          <w:color w:val="auto"/>
        </w:rPr>
      </w:pPr>
      <w:r>
        <w:rPr>
          <w:rFonts w:ascii="Calibri" w:cs="Calibri" w:eastAsia="Calibri" w:hAnsi="Calibri"/>
          <w:sz w:val="19"/>
          <w:szCs w:val="19"/>
          <w:color w:val="auto"/>
        </w:rPr>
        <w:t>Amounts reclassifed from accumulated other comprehensive loss, net of tax</w:t>
      </w:r>
    </w:p>
    <w:p>
      <w:pPr>
        <w:spacing w:after="0" w:line="5" w:lineRule="exact"/>
        <w:rPr>
          <w:sz w:val="20"/>
          <w:szCs w:val="20"/>
          <w:color w:val="auto"/>
        </w:rPr>
      </w:pPr>
    </w:p>
    <w:p>
      <w:pPr>
        <w:ind w:left="20" w:right="1340"/>
        <w:spacing w:after="0" w:line="272" w:lineRule="auto"/>
        <w:rPr>
          <w:sz w:val="20"/>
          <w:szCs w:val="20"/>
          <w:color w:val="auto"/>
        </w:rPr>
      </w:pPr>
      <w:r>
        <w:rPr>
          <w:rFonts w:ascii="Calibri" w:cs="Calibri" w:eastAsia="Calibri" w:hAnsi="Calibri"/>
          <w:sz w:val="19"/>
          <w:szCs w:val="19"/>
          <w:color w:val="auto"/>
        </w:rPr>
        <w:t>Other comprehensive earnings (loss), net of tax Balance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60" w:type="dxa"/>
            <w:vAlign w:val="bottom"/>
          </w:tcPr>
          <w:p>
            <w:pPr>
              <w:spacing w:after="0"/>
              <w:rPr>
                <w:sz w:val="14"/>
                <w:szCs w:val="14"/>
                <w:color w:val="auto"/>
              </w:rPr>
            </w:pPr>
          </w:p>
        </w:tc>
        <w:tc>
          <w:tcPr>
            <w:tcW w:w="1760" w:type="dxa"/>
            <w:vAlign w:val="bottom"/>
            <w:gridSpan w:val="2"/>
          </w:tcPr>
          <w:p>
            <w:pPr>
              <w:jc w:val="center"/>
              <w:ind w:right="329"/>
              <w:spacing w:after="0" w:line="166" w:lineRule="exact"/>
              <w:rPr>
                <w:sz w:val="20"/>
                <w:szCs w:val="20"/>
                <w:color w:val="auto"/>
              </w:rPr>
            </w:pPr>
            <w:r>
              <w:rPr>
                <w:rFonts w:ascii="Calibri" w:cs="Calibri" w:eastAsia="Calibri" w:hAnsi="Calibri"/>
                <w:sz w:val="18"/>
                <w:szCs w:val="18"/>
                <w:color w:val="auto"/>
              </w:rPr>
              <w:t>Pension and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191"/>
              <w:spacing w:after="0" w:line="166" w:lineRule="exact"/>
              <w:rPr>
                <w:sz w:val="20"/>
                <w:szCs w:val="20"/>
                <w:color w:val="auto"/>
              </w:rPr>
            </w:pPr>
            <w:r>
              <w:rPr>
                <w:rFonts w:ascii="Calibri" w:cs="Calibri" w:eastAsia="Calibri" w:hAnsi="Calibri"/>
                <w:sz w:val="18"/>
                <w:szCs w:val="18"/>
                <w:color w:val="auto"/>
              </w:rPr>
              <w:t>Other</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760" w:type="dxa"/>
            <w:vAlign w:val="bottom"/>
            <w:gridSpan w:val="2"/>
          </w:tcPr>
          <w:p>
            <w:pPr>
              <w:jc w:val="center"/>
              <w:ind w:right="369"/>
              <w:spacing w:after="0" w:line="202" w:lineRule="exact"/>
              <w:rPr>
                <w:sz w:val="20"/>
                <w:szCs w:val="20"/>
                <w:color w:val="auto"/>
              </w:rPr>
            </w:pPr>
            <w:r>
              <w:rPr>
                <w:rFonts w:ascii="Calibri" w:cs="Calibri" w:eastAsia="Calibri" w:hAnsi="Calibri"/>
                <w:sz w:val="19"/>
                <w:szCs w:val="19"/>
                <w:color w:val="auto"/>
              </w:rPr>
              <w:t>Postretrement</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151"/>
              <w:spacing w:after="0" w:line="202" w:lineRule="exact"/>
              <w:rPr>
                <w:sz w:val="20"/>
                <w:szCs w:val="20"/>
                <w:color w:val="auto"/>
              </w:rPr>
            </w:pPr>
            <w:r>
              <w:rPr>
                <w:rFonts w:ascii="Calibri" w:cs="Calibri" w:eastAsia="Calibri" w:hAnsi="Calibri"/>
                <w:sz w:val="19"/>
                <w:szCs w:val="19"/>
                <w:color w:val="auto"/>
                <w:w w:val="97"/>
              </w:rPr>
              <w:t>Comprehensive</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1760" w:type="dxa"/>
            <w:vAlign w:val="bottom"/>
            <w:gridSpan w:val="2"/>
          </w:tcPr>
          <w:p>
            <w:pPr>
              <w:jc w:val="center"/>
              <w:ind w:right="349"/>
              <w:spacing w:after="0" w:line="226" w:lineRule="exact"/>
              <w:rPr>
                <w:sz w:val="20"/>
                <w:szCs w:val="20"/>
                <w:color w:val="auto"/>
              </w:rPr>
            </w:pPr>
            <w:r>
              <w:rPr>
                <w:rFonts w:ascii="Calibri" w:cs="Calibri" w:eastAsia="Calibri" w:hAnsi="Calibri"/>
                <w:sz w:val="19"/>
                <w:szCs w:val="19"/>
                <w:color w:val="auto"/>
              </w:rPr>
              <w:t>Beneft Plans</w:t>
            </w:r>
          </w:p>
        </w:tc>
        <w:tc>
          <w:tcPr>
            <w:tcW w:w="120" w:type="dxa"/>
            <w:vAlign w:val="bottom"/>
          </w:tcPr>
          <w:p>
            <w:pPr>
              <w:spacing w:after="0"/>
              <w:rPr>
                <w:sz w:val="19"/>
                <w:szCs w:val="19"/>
                <w:color w:val="auto"/>
              </w:rPr>
            </w:pPr>
          </w:p>
        </w:tc>
        <w:tc>
          <w:tcPr>
            <w:tcW w:w="1680" w:type="dxa"/>
            <w:vAlign w:val="bottom"/>
            <w:gridSpan w:val="2"/>
          </w:tcPr>
          <w:p>
            <w:pPr>
              <w:jc w:val="right"/>
              <w:ind w:right="266"/>
              <w:spacing w:after="0" w:line="226" w:lineRule="exact"/>
              <w:rPr>
                <w:sz w:val="20"/>
                <w:szCs w:val="20"/>
                <w:color w:val="auto"/>
              </w:rPr>
            </w:pPr>
            <w:r>
              <w:rPr>
                <w:rFonts w:ascii="Calibri" w:cs="Calibri" w:eastAsia="Calibri" w:hAnsi="Calibri"/>
                <w:sz w:val="19"/>
                <w:szCs w:val="19"/>
                <w:color w:val="auto"/>
                <w:w w:val="98"/>
              </w:rPr>
              <w:t>Foreign Currency</w:t>
            </w:r>
          </w:p>
        </w:tc>
        <w:tc>
          <w:tcPr>
            <w:tcW w:w="180" w:type="dxa"/>
            <w:vAlign w:val="bottom"/>
          </w:tcPr>
          <w:p>
            <w:pPr>
              <w:spacing w:after="0"/>
              <w:rPr>
                <w:sz w:val="19"/>
                <w:szCs w:val="19"/>
                <w:color w:val="auto"/>
              </w:rPr>
            </w:pPr>
          </w:p>
        </w:tc>
        <w:tc>
          <w:tcPr>
            <w:tcW w:w="1580" w:type="dxa"/>
            <w:vAlign w:val="bottom"/>
            <w:gridSpan w:val="2"/>
          </w:tcPr>
          <w:p>
            <w:pPr>
              <w:jc w:val="center"/>
              <w:ind w:right="151"/>
              <w:spacing w:after="0" w:line="226" w:lineRule="exact"/>
              <w:rPr>
                <w:sz w:val="20"/>
                <w:szCs w:val="20"/>
                <w:color w:val="auto"/>
              </w:rPr>
            </w:pPr>
            <w:r>
              <w:rPr>
                <w:rFonts w:ascii="Calibri" w:cs="Calibri" w:eastAsia="Calibri" w:hAnsi="Calibri"/>
                <w:sz w:val="19"/>
                <w:szCs w:val="19"/>
                <w:color w:val="auto"/>
              </w:rPr>
              <w:t>Loss</w:t>
            </w:r>
          </w:p>
        </w:tc>
        <w:tc>
          <w:tcPr>
            <w:tcW w:w="0" w:type="dxa"/>
            <w:vAlign w:val="bottom"/>
          </w:tcPr>
          <w:p>
            <w:pPr>
              <w:spacing w:after="0"/>
              <w:rPr>
                <w:sz w:val="1"/>
                <w:szCs w:val="1"/>
                <w:color w:val="auto"/>
              </w:rPr>
            </w:pPr>
          </w:p>
        </w:tc>
      </w:tr>
      <w:tr>
        <w:trPr>
          <w:trHeight w:val="35"/>
        </w:trPr>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6"/>
              <w:spacing w:after="0" w:line="219" w:lineRule="exact"/>
              <w:rPr>
                <w:sz w:val="20"/>
                <w:szCs w:val="20"/>
                <w:color w:val="auto"/>
              </w:rPr>
            </w:pPr>
            <w:r>
              <w:rPr>
                <w:rFonts w:ascii="Calibri" w:cs="Calibri" w:eastAsia="Calibri" w:hAnsi="Calibri"/>
                <w:sz w:val="19"/>
                <w:szCs w:val="19"/>
                <w:color w:val="auto"/>
              </w:rPr>
              <w:t>Three</w:t>
            </w:r>
          </w:p>
        </w:tc>
        <w:tc>
          <w:tcPr>
            <w:tcW w:w="1820" w:type="dxa"/>
            <w:vAlign w:val="bottom"/>
            <w:tcBorders>
              <w:bottom w:val="single" w:sz="8" w:color="auto"/>
            </w:tcBorders>
            <w:gridSpan w:val="3"/>
          </w:tcPr>
          <w:p>
            <w:pPr>
              <w:jc w:val="right"/>
              <w:spacing w:after="0" w:line="219" w:lineRule="exact"/>
              <w:rPr>
                <w:sz w:val="20"/>
                <w:szCs w:val="20"/>
                <w:color w:val="auto"/>
              </w:rPr>
            </w:pPr>
            <w:r>
              <w:rPr>
                <w:rFonts w:ascii="Calibri" w:cs="Calibri" w:eastAsia="Calibri" w:hAnsi="Calibri"/>
                <w:sz w:val="19"/>
                <w:szCs w:val="19"/>
                <w:color w:val="auto"/>
                <w:w w:val="88"/>
              </w:rPr>
              <w:t>Months Ended September</w:t>
            </w:r>
          </w:p>
        </w:tc>
        <w:tc>
          <w:tcPr>
            <w:tcW w:w="1940" w:type="dxa"/>
            <w:vAlign w:val="bottom"/>
            <w:tcBorders>
              <w:bottom w:val="single" w:sz="8" w:color="auto"/>
            </w:tcBorders>
            <w:gridSpan w:val="3"/>
          </w:tcPr>
          <w:p>
            <w:pPr>
              <w:jc w:val="right"/>
              <w:ind w:right="1026"/>
              <w:spacing w:after="0" w:line="219" w:lineRule="exact"/>
              <w:rPr>
                <w:sz w:val="20"/>
                <w:szCs w:val="20"/>
                <w:color w:val="auto"/>
              </w:rPr>
            </w:pPr>
            <w:r>
              <w:rPr>
                <w:rFonts w:ascii="Calibri" w:cs="Calibri" w:eastAsia="Calibri" w:hAnsi="Calibri"/>
                <w:sz w:val="19"/>
                <w:szCs w:val="19"/>
                <w:color w:val="auto"/>
              </w:rPr>
              <w:t>30, 2022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jc w:val="right"/>
              <w:spacing w:after="0" w:line="223" w:lineRule="exact"/>
              <w:rPr>
                <w:sz w:val="20"/>
                <w:szCs w:val="20"/>
                <w:color w:val="auto"/>
              </w:rPr>
            </w:pPr>
            <w:r>
              <w:rPr>
                <w:rFonts w:ascii="Calibri" w:cs="Calibri" w:eastAsia="Calibri" w:hAnsi="Calibri"/>
                <w:sz w:val="19"/>
                <w:szCs w:val="19"/>
                <w:color w:val="auto"/>
                <w:w w:val="82"/>
              </w:rPr>
              <w:t>$</w:t>
            </w:r>
          </w:p>
        </w:tc>
        <w:tc>
          <w:tcPr>
            <w:tcW w:w="1760" w:type="dxa"/>
            <w:vAlign w:val="bottom"/>
            <w:gridSpan w:val="2"/>
          </w:tcPr>
          <w:p>
            <w:pPr>
              <w:jc w:val="right"/>
              <w:ind w:right="109"/>
              <w:spacing w:after="0" w:line="223" w:lineRule="exact"/>
              <w:rPr>
                <w:sz w:val="20"/>
                <w:szCs w:val="20"/>
                <w:color w:val="auto"/>
              </w:rPr>
            </w:pPr>
            <w:r>
              <w:rPr>
                <w:rFonts w:ascii="Calibri" w:cs="Calibri" w:eastAsia="Calibri" w:hAnsi="Calibri"/>
                <w:sz w:val="19"/>
                <w:szCs w:val="19"/>
                <w:color w:val="auto"/>
              </w:rPr>
              <w:t>(127.6 )</w:t>
            </w:r>
          </w:p>
        </w:tc>
        <w:tc>
          <w:tcPr>
            <w:tcW w:w="120" w:type="dxa"/>
            <w:vAlign w:val="bottom"/>
          </w:tcPr>
          <w:p>
            <w:pPr>
              <w:jc w:val="right"/>
              <w:spacing w:after="0" w:line="223" w:lineRule="exact"/>
              <w:rPr>
                <w:sz w:val="20"/>
                <w:szCs w:val="20"/>
                <w:color w:val="auto"/>
              </w:rPr>
            </w:pPr>
            <w:r>
              <w:rPr>
                <w:rFonts w:ascii="Calibri" w:cs="Calibri" w:eastAsia="Calibri" w:hAnsi="Calibri"/>
                <w:sz w:val="19"/>
                <w:szCs w:val="19"/>
                <w:color w:val="auto"/>
              </w:rPr>
              <w:t>$</w:t>
            </w:r>
          </w:p>
        </w:tc>
        <w:tc>
          <w:tcPr>
            <w:tcW w:w="1680" w:type="dxa"/>
            <w:vAlign w:val="bottom"/>
            <w:gridSpan w:val="2"/>
          </w:tcPr>
          <w:p>
            <w:pPr>
              <w:jc w:val="right"/>
              <w:ind w:right="66"/>
              <w:spacing w:after="0" w:line="223" w:lineRule="exact"/>
              <w:rPr>
                <w:sz w:val="20"/>
                <w:szCs w:val="20"/>
                <w:color w:val="auto"/>
              </w:rPr>
            </w:pPr>
            <w:r>
              <w:rPr>
                <w:rFonts w:ascii="Calibri" w:cs="Calibri" w:eastAsia="Calibri" w:hAnsi="Calibri"/>
                <w:sz w:val="19"/>
                <w:szCs w:val="19"/>
                <w:color w:val="auto"/>
              </w:rPr>
              <w:t>(0.5 )</w:t>
            </w:r>
          </w:p>
        </w:tc>
        <w:tc>
          <w:tcPr>
            <w:tcW w:w="180" w:type="dxa"/>
            <w:vAlign w:val="bottom"/>
          </w:tcPr>
          <w:p>
            <w:pPr>
              <w:jc w:val="right"/>
              <w:spacing w:after="0" w:line="223" w:lineRule="exact"/>
              <w:rPr>
                <w:sz w:val="20"/>
                <w:szCs w:val="20"/>
                <w:color w:val="auto"/>
              </w:rPr>
            </w:pPr>
            <w:r>
              <w:rPr>
                <w:rFonts w:ascii="Calibri" w:cs="Calibri" w:eastAsia="Calibri" w:hAnsi="Calibri"/>
                <w:sz w:val="19"/>
                <w:szCs w:val="19"/>
                <w:color w:val="auto"/>
              </w:rPr>
              <w:t>$</w:t>
            </w:r>
          </w:p>
        </w:tc>
        <w:tc>
          <w:tcPr>
            <w:tcW w:w="1520" w:type="dxa"/>
            <w:vAlign w:val="bottom"/>
          </w:tcPr>
          <w:p>
            <w:pPr>
              <w:jc w:val="right"/>
              <w:spacing w:after="0" w:line="223" w:lineRule="exact"/>
              <w:rPr>
                <w:sz w:val="20"/>
                <w:szCs w:val="20"/>
                <w:color w:val="auto"/>
              </w:rPr>
            </w:pPr>
            <w:r>
              <w:rPr>
                <w:rFonts w:ascii="Calibri" w:cs="Calibri" w:eastAsia="Calibri" w:hAnsi="Calibri"/>
                <w:sz w:val="19"/>
                <w:szCs w:val="19"/>
                <w:color w:val="auto"/>
              </w:rPr>
              <w:t>(128.1</w:t>
            </w:r>
          </w:p>
        </w:tc>
        <w:tc>
          <w:tcPr>
            <w:tcW w:w="60" w:type="dxa"/>
            <w:vAlign w:val="bottom"/>
          </w:tcPr>
          <w:p>
            <w:pPr>
              <w:jc w:val="right"/>
              <w:spacing w:after="0" w:line="206"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1760" w:type="dxa"/>
            <w:vAlign w:val="bottom"/>
            <w:gridSpan w:val="2"/>
          </w:tcPr>
          <w:p>
            <w:pPr>
              <w:jc w:val="right"/>
              <w:ind w:right="189"/>
              <w:spacing w:after="0"/>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4"/>
                <w:szCs w:val="24"/>
                <w:color w:val="auto"/>
              </w:rPr>
            </w:pPr>
          </w:p>
        </w:tc>
        <w:tc>
          <w:tcPr>
            <w:tcW w:w="1680" w:type="dxa"/>
            <w:vAlign w:val="bottom"/>
            <w:gridSpan w:val="2"/>
          </w:tcPr>
          <w:p>
            <w:pPr>
              <w:jc w:val="right"/>
              <w:ind w:right="66"/>
              <w:spacing w:after="0"/>
              <w:rPr>
                <w:sz w:val="20"/>
                <w:szCs w:val="20"/>
                <w:color w:val="auto"/>
              </w:rPr>
            </w:pPr>
            <w:r>
              <w:rPr>
                <w:rFonts w:ascii="Calibri" w:cs="Calibri" w:eastAsia="Calibri" w:hAnsi="Calibri"/>
                <w:sz w:val="19"/>
                <w:szCs w:val="19"/>
                <w:color w:val="auto"/>
              </w:rPr>
              <w:t>(1.9 )</w:t>
            </w:r>
          </w:p>
        </w:tc>
        <w:tc>
          <w:tcPr>
            <w:tcW w:w="1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alibri" w:cs="Calibri" w:eastAsia="Calibri" w:hAnsi="Calibri"/>
                <w:sz w:val="19"/>
                <w:szCs w:val="19"/>
                <w:color w:val="auto"/>
              </w:rPr>
              <w:t>(1.9 )</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9"/>
                <w:szCs w:val="19"/>
                <w:color w:val="auto"/>
              </w:rPr>
              <w:t>4.9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166"/>
              <w:spacing w:after="0"/>
              <w:rPr>
                <w:sz w:val="20"/>
                <w:szCs w:val="20"/>
                <w:color w:val="auto"/>
              </w:rPr>
            </w:pPr>
            <w:r>
              <w:rPr>
                <w:rFonts w:ascii="Calibri" w:cs="Calibri" w:eastAsia="Calibri" w:hAnsi="Calibri"/>
                <w:sz w:val="19"/>
                <w:szCs w:val="19"/>
                <w:color w:val="auto"/>
              </w:rPr>
              <w:t>—</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9"/>
                <w:szCs w:val="19"/>
                <w:color w:val="auto"/>
              </w:rPr>
              <w:t>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66"/>
              <w:spacing w:after="0"/>
              <w:rPr>
                <w:sz w:val="20"/>
                <w:szCs w:val="20"/>
                <w:color w:val="auto"/>
              </w:rPr>
            </w:pPr>
            <w:r>
              <w:rPr>
                <w:rFonts w:ascii="Calibri" w:cs="Calibri" w:eastAsia="Calibri" w:hAnsi="Calibri"/>
                <w:sz w:val="19"/>
                <w:szCs w:val="19"/>
                <w:color w:val="auto"/>
              </w:rPr>
              <w:t>)</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4.9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(1.9</w:t>
            </w:r>
          </w:p>
        </w:tc>
        <w:tc>
          <w:tcPr>
            <w:tcW w:w="2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50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(122.7</w:t>
            </w:r>
          </w:p>
        </w:tc>
        <w:tc>
          <w:tcPr>
            <w:tcW w:w="260" w:type="dxa"/>
            <w:vAlign w:val="bottom"/>
          </w:tcPr>
          <w:p>
            <w:pPr>
              <w:jc w:val="right"/>
              <w:ind w:right="109"/>
              <w:spacing w:after="0" w:line="206" w:lineRule="exact"/>
              <w:rPr>
                <w:sz w:val="20"/>
                <w:szCs w:val="20"/>
                <w:color w:val="auto"/>
              </w:rPr>
            </w:pPr>
            <w:r>
              <w:rPr>
                <w:rFonts w:ascii="Calibri" w:cs="Calibri" w:eastAsia="Calibri" w:hAnsi="Calibri"/>
                <w:sz w:val="18"/>
                <w:szCs w:val="18"/>
                <w:color w:val="auto"/>
                <w:w w:val="72"/>
              </w:rPr>
              <w:t>)</w:t>
            </w:r>
          </w:p>
        </w:tc>
        <w:tc>
          <w:tcPr>
            <w:tcW w:w="1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144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(2.4</w:t>
            </w:r>
          </w:p>
        </w:tc>
        <w:tc>
          <w:tcPr>
            <w:tcW w:w="240" w:type="dxa"/>
            <w:vAlign w:val="bottom"/>
          </w:tcPr>
          <w:p>
            <w:pPr>
              <w:jc w:val="right"/>
              <w:ind w:right="66"/>
              <w:spacing w:after="0" w:line="205" w:lineRule="exact"/>
              <w:rPr>
                <w:sz w:val="20"/>
                <w:szCs w:val="20"/>
                <w:color w:val="auto"/>
              </w:rPr>
            </w:pPr>
            <w:r>
              <w:rPr>
                <w:rFonts w:ascii="Calibri" w:cs="Calibri" w:eastAsia="Calibri" w:hAnsi="Calibri"/>
                <w:sz w:val="19"/>
                <w:szCs w:val="19"/>
                <w:color w:val="auto"/>
              </w:rPr>
              <w:t>)</w:t>
            </w:r>
          </w:p>
        </w:tc>
        <w:tc>
          <w:tcPr>
            <w:tcW w:w="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15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(125.1</w:t>
            </w:r>
          </w:p>
        </w:tc>
        <w:tc>
          <w:tcPr>
            <w:tcW w:w="60" w:type="dxa"/>
            <w:vAlign w:val="bottom"/>
          </w:tcPr>
          <w:p>
            <w:pPr>
              <w:jc w:val="right"/>
              <w:spacing w:after="0" w:line="206"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60" w:type="dxa"/>
            <w:vAlign w:val="bottom"/>
          </w:tcPr>
          <w:p>
            <w:pPr>
              <w:spacing w:after="0"/>
              <w:rPr>
                <w:sz w:val="24"/>
                <w:szCs w:val="24"/>
                <w:color w:val="auto"/>
              </w:rPr>
            </w:pPr>
          </w:p>
        </w:tc>
        <w:tc>
          <w:tcPr>
            <w:tcW w:w="5320" w:type="dxa"/>
            <w:vAlign w:val="bottom"/>
            <w:gridSpan w:val="8"/>
          </w:tcPr>
          <w:p>
            <w:pPr>
              <w:jc w:val="right"/>
              <w:ind w:right="1091"/>
              <w:spacing w:after="0"/>
              <w:rPr>
                <w:sz w:val="20"/>
                <w:szCs w:val="20"/>
                <w:color w:val="auto"/>
              </w:rPr>
            </w:pPr>
            <w:r>
              <w:rPr>
                <w:rFonts w:ascii="Calibri" w:cs="Calibri" w:eastAsia="Calibri" w:hAnsi="Calibri"/>
                <w:sz w:val="19"/>
                <w:szCs w:val="19"/>
                <w:color w:val="auto"/>
              </w:rPr>
              <w:t>Three Months Ended September 30, 2021</w:t>
            </w:r>
          </w:p>
        </w:tc>
        <w:tc>
          <w:tcPr>
            <w:tcW w:w="0" w:type="dxa"/>
            <w:vAlign w:val="bottom"/>
          </w:tcPr>
          <w:p>
            <w:pPr>
              <w:spacing w:after="0"/>
              <w:rPr>
                <w:sz w:val="1"/>
                <w:szCs w:val="1"/>
                <w:color w:val="auto"/>
              </w:rPr>
            </w:pPr>
          </w:p>
        </w:tc>
      </w:tr>
      <w:tr>
        <w:trPr>
          <w:trHeight w:val="35"/>
        </w:trPr>
        <w:tc>
          <w:tcPr>
            <w:tcW w:w="1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19"/>
        </w:trPr>
        <w:tc>
          <w:tcPr>
            <w:tcW w:w="160" w:type="dxa"/>
            <w:vAlign w:val="bottom"/>
          </w:tcPr>
          <w:p>
            <w:pPr>
              <w:jc w:val="right"/>
              <w:spacing w:after="0" w:line="219" w:lineRule="exact"/>
              <w:rPr>
                <w:sz w:val="20"/>
                <w:szCs w:val="20"/>
                <w:color w:val="auto"/>
              </w:rPr>
            </w:pPr>
            <w:r>
              <w:rPr>
                <w:rFonts w:ascii="Calibri" w:cs="Calibri" w:eastAsia="Calibri" w:hAnsi="Calibri"/>
                <w:sz w:val="19"/>
                <w:szCs w:val="19"/>
                <w:color w:val="auto"/>
                <w:w w:val="82"/>
              </w:rPr>
              <w:t>$</w:t>
            </w:r>
          </w:p>
        </w:tc>
        <w:tc>
          <w:tcPr>
            <w:tcW w:w="1760" w:type="dxa"/>
            <w:vAlign w:val="bottom"/>
            <w:gridSpan w:val="2"/>
          </w:tcPr>
          <w:p>
            <w:pPr>
              <w:jc w:val="right"/>
              <w:ind w:right="109"/>
              <w:spacing w:after="0" w:line="219" w:lineRule="exact"/>
              <w:rPr>
                <w:sz w:val="20"/>
                <w:szCs w:val="20"/>
                <w:color w:val="auto"/>
              </w:rPr>
            </w:pPr>
            <w:r>
              <w:rPr>
                <w:rFonts w:ascii="Calibri" w:cs="Calibri" w:eastAsia="Calibri" w:hAnsi="Calibri"/>
                <w:sz w:val="19"/>
                <w:szCs w:val="19"/>
                <w:color w:val="auto"/>
              </w:rPr>
              <w:t>(153.5 )</w:t>
            </w:r>
          </w:p>
        </w:tc>
        <w:tc>
          <w:tcPr>
            <w:tcW w:w="120" w:type="dxa"/>
            <w:vAlign w:val="bottom"/>
          </w:tcPr>
          <w:p>
            <w:pPr>
              <w:jc w:val="right"/>
              <w:spacing w:after="0" w:line="219" w:lineRule="exact"/>
              <w:rPr>
                <w:sz w:val="20"/>
                <w:szCs w:val="20"/>
                <w:color w:val="auto"/>
              </w:rPr>
            </w:pPr>
            <w:r>
              <w:rPr>
                <w:rFonts w:ascii="Calibri" w:cs="Calibri" w:eastAsia="Calibri" w:hAnsi="Calibri"/>
                <w:sz w:val="19"/>
                <w:szCs w:val="19"/>
                <w:color w:val="auto"/>
              </w:rPr>
              <w:t>$</w:t>
            </w:r>
          </w:p>
        </w:tc>
        <w:tc>
          <w:tcPr>
            <w:tcW w:w="1440" w:type="dxa"/>
            <w:vAlign w:val="bottom"/>
          </w:tcPr>
          <w:p>
            <w:pPr>
              <w:jc w:val="right"/>
              <w:spacing w:after="0" w:line="219" w:lineRule="exact"/>
              <w:rPr>
                <w:sz w:val="20"/>
                <w:szCs w:val="20"/>
                <w:color w:val="auto"/>
              </w:rPr>
            </w:pPr>
            <w:r>
              <w:rPr>
                <w:rFonts w:ascii="Calibri" w:cs="Calibri" w:eastAsia="Calibri" w:hAnsi="Calibri"/>
                <w:sz w:val="19"/>
                <w:szCs w:val="19"/>
                <w:color w:val="auto"/>
              </w:rPr>
              <w:t>0.5</w:t>
            </w:r>
          </w:p>
        </w:tc>
        <w:tc>
          <w:tcPr>
            <w:tcW w:w="24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Calibri" w:cs="Calibri" w:eastAsia="Calibri" w:hAnsi="Calibri"/>
                <w:sz w:val="19"/>
                <w:szCs w:val="19"/>
                <w:color w:val="auto"/>
              </w:rPr>
              <w:t>$</w:t>
            </w:r>
          </w:p>
        </w:tc>
        <w:tc>
          <w:tcPr>
            <w:tcW w:w="1520" w:type="dxa"/>
            <w:vAlign w:val="bottom"/>
          </w:tcPr>
          <w:p>
            <w:pPr>
              <w:jc w:val="right"/>
              <w:spacing w:after="0" w:line="219" w:lineRule="exact"/>
              <w:rPr>
                <w:sz w:val="20"/>
                <w:szCs w:val="20"/>
                <w:color w:val="auto"/>
              </w:rPr>
            </w:pPr>
            <w:r>
              <w:rPr>
                <w:rFonts w:ascii="Calibri" w:cs="Calibri" w:eastAsia="Calibri" w:hAnsi="Calibri"/>
                <w:sz w:val="19"/>
                <w:szCs w:val="19"/>
                <w:color w:val="auto"/>
              </w:rPr>
              <w:t>(153.0</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1760" w:type="dxa"/>
            <w:vAlign w:val="bottom"/>
            <w:gridSpan w:val="2"/>
          </w:tcPr>
          <w:p>
            <w:pPr>
              <w:jc w:val="right"/>
              <w:ind w:right="189"/>
              <w:spacing w:after="0"/>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4"/>
                <w:szCs w:val="24"/>
                <w:color w:val="auto"/>
              </w:rPr>
            </w:pPr>
          </w:p>
        </w:tc>
        <w:tc>
          <w:tcPr>
            <w:tcW w:w="1680" w:type="dxa"/>
            <w:vAlign w:val="bottom"/>
            <w:gridSpan w:val="2"/>
          </w:tcPr>
          <w:p>
            <w:pPr>
              <w:jc w:val="right"/>
              <w:ind w:right="66"/>
              <w:spacing w:after="0"/>
              <w:rPr>
                <w:sz w:val="20"/>
                <w:szCs w:val="20"/>
                <w:color w:val="auto"/>
              </w:rPr>
            </w:pPr>
            <w:r>
              <w:rPr>
                <w:rFonts w:ascii="Calibri" w:cs="Calibri" w:eastAsia="Calibri" w:hAnsi="Calibri"/>
                <w:sz w:val="19"/>
                <w:szCs w:val="19"/>
                <w:color w:val="auto"/>
              </w:rPr>
              <w:t>(0.6 )</w:t>
            </w:r>
          </w:p>
        </w:tc>
        <w:tc>
          <w:tcPr>
            <w:tcW w:w="1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alibri" w:cs="Calibri" w:eastAsia="Calibri" w:hAnsi="Calibri"/>
                <w:sz w:val="19"/>
                <w:szCs w:val="19"/>
                <w:color w:val="auto"/>
              </w:rPr>
              <w:t>(0.6 )</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9"/>
                <w:szCs w:val="19"/>
                <w:color w:val="auto"/>
              </w:rPr>
              <w:t>2.2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right"/>
              <w:ind w:right="166"/>
              <w:spacing w:after="0"/>
              <w:rPr>
                <w:sz w:val="20"/>
                <w:szCs w:val="20"/>
                <w:color w:val="auto"/>
              </w:rPr>
            </w:pPr>
            <w:r>
              <w:rPr>
                <w:rFonts w:ascii="Calibri" w:cs="Calibri" w:eastAsia="Calibri" w:hAnsi="Calibri"/>
                <w:sz w:val="19"/>
                <w:szCs w:val="19"/>
                <w:color w:val="auto"/>
              </w:rPr>
              <w:t>—</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alibri" w:cs="Calibri" w:eastAsia="Calibri" w:hAnsi="Calibri"/>
                <w:sz w:val="19"/>
                <w:szCs w:val="19"/>
                <w:color w:val="auto"/>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vMerge w:val="restart"/>
          </w:tcPr>
          <w:p>
            <w:pPr>
              <w:jc w:val="right"/>
              <w:ind w:right="66"/>
              <w:spacing w:after="0"/>
              <w:rPr>
                <w:sz w:val="20"/>
                <w:szCs w:val="20"/>
                <w:color w:val="auto"/>
              </w:rPr>
            </w:pPr>
            <w:r>
              <w:rPr>
                <w:rFonts w:ascii="Calibri" w:cs="Calibri" w:eastAsia="Calibri" w:hAnsi="Calibri"/>
                <w:sz w:val="19"/>
                <w:szCs w:val="19"/>
                <w:color w:val="auto"/>
              </w:rPr>
              <w:t>)</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2.2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(0.6</w:t>
            </w:r>
          </w:p>
        </w:tc>
        <w:tc>
          <w:tcPr>
            <w:tcW w:w="2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line="219" w:lineRule="exact"/>
              <w:rPr>
                <w:sz w:val="20"/>
                <w:szCs w:val="20"/>
                <w:color w:val="auto"/>
              </w:rPr>
            </w:pPr>
            <w:r>
              <w:rPr>
                <w:rFonts w:ascii="Calibri" w:cs="Calibri" w:eastAsia="Calibri" w:hAnsi="Calibri"/>
                <w:sz w:val="19"/>
                <w:szCs w:val="19"/>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50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(151.3</w:t>
            </w:r>
          </w:p>
        </w:tc>
        <w:tc>
          <w:tcPr>
            <w:tcW w:w="260" w:type="dxa"/>
            <w:vAlign w:val="bottom"/>
          </w:tcPr>
          <w:p>
            <w:pPr>
              <w:jc w:val="right"/>
              <w:ind w:right="109"/>
              <w:spacing w:after="0" w:line="206" w:lineRule="exact"/>
              <w:rPr>
                <w:sz w:val="20"/>
                <w:szCs w:val="20"/>
                <w:color w:val="auto"/>
              </w:rPr>
            </w:pPr>
            <w:r>
              <w:rPr>
                <w:rFonts w:ascii="Calibri" w:cs="Calibri" w:eastAsia="Calibri" w:hAnsi="Calibri"/>
                <w:sz w:val="18"/>
                <w:szCs w:val="18"/>
                <w:color w:val="auto"/>
                <w:w w:val="72"/>
              </w:rPr>
              <w:t>)</w:t>
            </w:r>
          </w:p>
        </w:tc>
        <w:tc>
          <w:tcPr>
            <w:tcW w:w="1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144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(0.1</w:t>
            </w:r>
          </w:p>
        </w:tc>
        <w:tc>
          <w:tcPr>
            <w:tcW w:w="240" w:type="dxa"/>
            <w:vAlign w:val="bottom"/>
          </w:tcPr>
          <w:p>
            <w:pPr>
              <w:jc w:val="right"/>
              <w:ind w:right="66"/>
              <w:spacing w:after="0" w:line="205" w:lineRule="exact"/>
              <w:rPr>
                <w:sz w:val="20"/>
                <w:szCs w:val="20"/>
                <w:color w:val="auto"/>
              </w:rPr>
            </w:pPr>
            <w:r>
              <w:rPr>
                <w:rFonts w:ascii="Calibri" w:cs="Calibri" w:eastAsia="Calibri" w:hAnsi="Calibri"/>
                <w:sz w:val="19"/>
                <w:szCs w:val="19"/>
                <w:color w:val="auto"/>
              </w:rPr>
              <w:t>)</w:t>
            </w:r>
          </w:p>
        </w:tc>
        <w:tc>
          <w:tcPr>
            <w:tcW w:w="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15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(151.4</w:t>
            </w:r>
          </w:p>
        </w:tc>
        <w:tc>
          <w:tcPr>
            <w:tcW w:w="60" w:type="dxa"/>
            <w:vAlign w:val="bottom"/>
          </w:tcPr>
          <w:p>
            <w:pPr>
              <w:jc w:val="right"/>
              <w:spacing w:after="0" w:line="206"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-2159635</wp:posOffset>
            </wp:positionV>
            <wp:extent cx="7132320"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-1628140</wp:posOffset>
            </wp:positionV>
            <wp:extent cx="7132320" cy="1036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-325120</wp:posOffset>
            </wp:positionV>
            <wp:extent cx="713232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5000" w:space="720"/>
            <w:col w:w="5520"/>
          </w:cols>
          <w:pgMar w:left="320" w:top="92"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ind w:left="40"/>
              <w:spacing w:after="0"/>
              <w:rPr>
                <w:sz w:val="20"/>
                <w:szCs w:val="20"/>
                <w:color w:val="auto"/>
              </w:rPr>
            </w:pPr>
            <w:r>
              <w:rPr>
                <w:rFonts w:ascii="Calibri" w:cs="Calibri" w:eastAsia="Calibri" w:hAnsi="Calibri"/>
                <w:sz w:val="19"/>
                <w:szCs w:val="19"/>
                <w:i w:val="1"/>
                <w:iCs w:val="1"/>
                <w:color w:val="auto"/>
              </w:rPr>
              <w:t>(Dollars in Millions)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86"/>
              <w:spacing w:after="0" w:line="165" w:lineRule="exact"/>
              <w:rPr>
                <w:sz w:val="20"/>
                <w:szCs w:val="20"/>
                <w:color w:val="auto"/>
              </w:rPr>
            </w:pPr>
            <w:r>
              <w:rPr>
                <w:rFonts w:ascii="Calibri" w:cs="Calibri" w:eastAsia="Calibri" w:hAnsi="Calibri"/>
                <w:sz w:val="17"/>
                <w:szCs w:val="17"/>
                <w:color w:val="auto"/>
              </w:rPr>
              <w:t>Accumulated</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326"/>
              <w:spacing w:after="0" w:line="202" w:lineRule="exact"/>
              <w:rPr>
                <w:sz w:val="20"/>
                <w:szCs w:val="20"/>
                <w:color w:val="auto"/>
              </w:rPr>
            </w:pPr>
            <w:r>
              <w:rPr>
                <w:rFonts w:ascii="Calibri" w:cs="Calibri" w:eastAsia="Calibri" w:hAnsi="Calibri"/>
                <w:sz w:val="19"/>
                <w:szCs w:val="19"/>
                <w:color w:val="auto"/>
                <w:w w:val="99"/>
              </w:rPr>
              <w:t>Pension and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center"/>
              <w:ind w:right="231"/>
              <w:spacing w:after="0" w:line="202" w:lineRule="exact"/>
              <w:rPr>
                <w:sz w:val="20"/>
                <w:szCs w:val="20"/>
                <w:color w:val="auto"/>
              </w:rPr>
            </w:pPr>
            <w:r>
              <w:rPr>
                <w:rFonts w:ascii="Calibri" w:cs="Calibri" w:eastAsia="Calibri" w:hAnsi="Calibri"/>
                <w:sz w:val="19"/>
                <w:szCs w:val="19"/>
                <w:color w:val="auto"/>
                <w:w w:val="97"/>
              </w:rPr>
              <w:t>Other</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46"/>
              <w:spacing w:after="0" w:line="189" w:lineRule="exact"/>
              <w:rPr>
                <w:sz w:val="20"/>
                <w:szCs w:val="20"/>
                <w:color w:val="auto"/>
              </w:rPr>
            </w:pPr>
            <w:r>
              <w:rPr>
                <w:rFonts w:ascii="Calibri" w:cs="Calibri" w:eastAsia="Calibri" w:hAnsi="Calibri"/>
                <w:sz w:val="19"/>
                <w:szCs w:val="19"/>
                <w:color w:val="auto"/>
              </w:rPr>
              <w:t>Postretrement</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191"/>
              <w:spacing w:after="0" w:line="189" w:lineRule="exact"/>
              <w:rPr>
                <w:sz w:val="20"/>
                <w:szCs w:val="20"/>
                <w:color w:val="auto"/>
              </w:rPr>
            </w:pPr>
            <w:r>
              <w:rPr>
                <w:rFonts w:ascii="Calibri" w:cs="Calibri" w:eastAsia="Calibri" w:hAnsi="Calibri"/>
                <w:sz w:val="19"/>
                <w:szCs w:val="19"/>
                <w:color w:val="auto"/>
                <w:w w:val="99"/>
              </w:rPr>
              <w:t>Comprehensive</w:t>
            </w: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center"/>
              <w:ind w:right="306"/>
              <w:spacing w:after="0"/>
              <w:rPr>
                <w:sz w:val="20"/>
                <w:szCs w:val="20"/>
                <w:color w:val="auto"/>
              </w:rPr>
            </w:pPr>
            <w:r>
              <w:rPr>
                <w:rFonts w:ascii="Calibri" w:cs="Calibri" w:eastAsia="Calibri" w:hAnsi="Calibri"/>
                <w:sz w:val="19"/>
                <w:szCs w:val="19"/>
                <w:color w:val="auto"/>
              </w:rPr>
              <w:t>Beneft Plans</w:t>
            </w:r>
          </w:p>
        </w:tc>
        <w:tc>
          <w:tcPr>
            <w:tcW w:w="120" w:type="dxa"/>
            <w:vAlign w:val="bottom"/>
          </w:tcPr>
          <w:p>
            <w:pPr>
              <w:spacing w:after="0"/>
              <w:rPr>
                <w:sz w:val="20"/>
                <w:szCs w:val="20"/>
                <w:color w:val="auto"/>
              </w:rPr>
            </w:pPr>
          </w:p>
        </w:tc>
        <w:tc>
          <w:tcPr>
            <w:tcW w:w="1680" w:type="dxa"/>
            <w:vAlign w:val="bottom"/>
            <w:gridSpan w:val="2"/>
          </w:tcPr>
          <w:p>
            <w:pPr>
              <w:jc w:val="right"/>
              <w:ind w:right="288"/>
              <w:spacing w:after="0" w:line="226" w:lineRule="exact"/>
              <w:rPr>
                <w:sz w:val="20"/>
                <w:szCs w:val="20"/>
                <w:color w:val="auto"/>
              </w:rPr>
            </w:pPr>
            <w:r>
              <w:rPr>
                <w:rFonts w:ascii="Calibri" w:cs="Calibri" w:eastAsia="Calibri" w:hAnsi="Calibri"/>
                <w:sz w:val="19"/>
                <w:szCs w:val="19"/>
                <w:color w:val="auto"/>
                <w:w w:val="97"/>
              </w:rPr>
              <w:t>Foreign Currency</w:t>
            </w:r>
          </w:p>
        </w:tc>
        <w:tc>
          <w:tcPr>
            <w:tcW w:w="160" w:type="dxa"/>
            <w:vAlign w:val="bottom"/>
          </w:tcPr>
          <w:p>
            <w:pPr>
              <w:spacing w:after="0"/>
              <w:rPr>
                <w:sz w:val="20"/>
                <w:szCs w:val="20"/>
                <w:color w:val="auto"/>
              </w:rPr>
            </w:pPr>
          </w:p>
        </w:tc>
        <w:tc>
          <w:tcPr>
            <w:tcW w:w="1600" w:type="dxa"/>
            <w:vAlign w:val="bottom"/>
            <w:gridSpan w:val="2"/>
          </w:tcPr>
          <w:p>
            <w:pPr>
              <w:jc w:val="center"/>
              <w:ind w:right="191"/>
              <w:spacing w:after="0" w:line="226" w:lineRule="exact"/>
              <w:rPr>
                <w:sz w:val="20"/>
                <w:szCs w:val="20"/>
                <w:color w:val="auto"/>
              </w:rPr>
            </w:pPr>
            <w:r>
              <w:rPr>
                <w:rFonts w:ascii="Calibri" w:cs="Calibri" w:eastAsia="Calibri" w:hAnsi="Calibri"/>
                <w:sz w:val="19"/>
                <w:szCs w:val="19"/>
                <w:color w:val="auto"/>
                <w:w w:val="97"/>
              </w:rPr>
              <w:t>Loss</w:t>
            </w: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6"/>
              <w:spacing w:after="0" w:line="219" w:lineRule="exact"/>
              <w:rPr>
                <w:sz w:val="20"/>
                <w:szCs w:val="20"/>
                <w:color w:val="auto"/>
              </w:rPr>
            </w:pPr>
            <w:r>
              <w:rPr>
                <w:rFonts w:ascii="Calibri" w:cs="Calibri" w:eastAsia="Calibri" w:hAnsi="Calibri"/>
                <w:sz w:val="19"/>
                <w:szCs w:val="19"/>
                <w:color w:val="auto"/>
              </w:rPr>
              <w:t>Nine</w:t>
            </w:r>
          </w:p>
        </w:tc>
        <w:tc>
          <w:tcPr>
            <w:tcW w:w="1780" w:type="dxa"/>
            <w:vAlign w:val="bottom"/>
            <w:tcBorders>
              <w:bottom w:val="single" w:sz="8" w:color="auto"/>
            </w:tcBorders>
            <w:gridSpan w:val="3"/>
          </w:tcPr>
          <w:p>
            <w:pPr>
              <w:spacing w:after="0" w:line="219" w:lineRule="exact"/>
              <w:rPr>
                <w:sz w:val="20"/>
                <w:szCs w:val="20"/>
                <w:color w:val="auto"/>
              </w:rPr>
            </w:pPr>
            <w:r>
              <w:rPr>
                <w:rFonts w:ascii="Calibri" w:cs="Calibri" w:eastAsia="Calibri" w:hAnsi="Calibri"/>
                <w:sz w:val="19"/>
                <w:szCs w:val="19"/>
                <w:color w:val="auto"/>
                <w:w w:val="86"/>
              </w:rPr>
              <w:t>Months Ended September</w:t>
            </w:r>
          </w:p>
        </w:tc>
        <w:tc>
          <w:tcPr>
            <w:tcW w:w="1920" w:type="dxa"/>
            <w:vAlign w:val="bottom"/>
            <w:tcBorders>
              <w:bottom w:val="single" w:sz="8" w:color="auto"/>
            </w:tcBorders>
            <w:gridSpan w:val="3"/>
          </w:tcPr>
          <w:p>
            <w:pPr>
              <w:jc w:val="right"/>
              <w:ind w:right="1026"/>
              <w:spacing w:after="0" w:line="219" w:lineRule="exact"/>
              <w:rPr>
                <w:sz w:val="20"/>
                <w:szCs w:val="20"/>
                <w:color w:val="auto"/>
              </w:rPr>
            </w:pPr>
            <w:r>
              <w:rPr>
                <w:rFonts w:ascii="Calibri" w:cs="Calibri" w:eastAsia="Calibri" w:hAnsi="Calibri"/>
                <w:sz w:val="19"/>
                <w:szCs w:val="19"/>
                <w:color w:val="auto"/>
              </w:rPr>
              <w:t>30, 2022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0" w:type="dxa"/>
            <w:vAlign w:val="bottom"/>
            <w:shd w:val="clear" w:color="auto" w:fill="CFF0FC"/>
          </w:tcPr>
          <w:p>
            <w:pPr>
              <w:ind w:left="20"/>
              <w:spacing w:after="0" w:line="226" w:lineRule="exact"/>
              <w:rPr>
                <w:sz w:val="20"/>
                <w:szCs w:val="20"/>
                <w:color w:val="auto"/>
              </w:rPr>
            </w:pPr>
            <w:r>
              <w:rPr>
                <w:rFonts w:ascii="Calibri" w:cs="Calibri" w:eastAsia="Calibri" w:hAnsi="Calibri"/>
                <w:sz w:val="19"/>
                <w:szCs w:val="19"/>
                <w:color w:val="auto"/>
              </w:rPr>
              <w:t>Balance at beginning of period</w:t>
            </w:r>
          </w:p>
        </w:tc>
        <w:tc>
          <w:tcPr>
            <w:tcW w:w="16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720" w:type="dxa"/>
            <w:vAlign w:val="bottom"/>
            <w:gridSpan w:val="2"/>
            <w:shd w:val="clear" w:color="auto" w:fill="CFF0FC"/>
          </w:tcPr>
          <w:p>
            <w:pPr>
              <w:jc w:val="right"/>
              <w:ind w:right="86"/>
              <w:spacing w:after="0" w:line="226" w:lineRule="exact"/>
              <w:rPr>
                <w:sz w:val="20"/>
                <w:szCs w:val="20"/>
                <w:color w:val="auto"/>
              </w:rPr>
            </w:pPr>
            <w:r>
              <w:rPr>
                <w:rFonts w:ascii="Calibri" w:cs="Calibri" w:eastAsia="Calibri" w:hAnsi="Calibri"/>
                <w:sz w:val="19"/>
                <w:szCs w:val="19"/>
                <w:color w:val="auto"/>
              </w:rPr>
              <w:t>(97.6 )</w:t>
            </w:r>
          </w:p>
        </w:tc>
        <w:tc>
          <w:tcPr>
            <w:tcW w:w="120" w:type="dxa"/>
            <w:vAlign w:val="bottom"/>
            <w:shd w:val="clear" w:color="auto" w:fill="CFF0FC"/>
          </w:tcPr>
          <w:p>
            <w:pPr>
              <w:ind w:left="20"/>
              <w:spacing w:after="0" w:line="226" w:lineRule="exact"/>
              <w:rPr>
                <w:sz w:val="20"/>
                <w:szCs w:val="20"/>
                <w:color w:val="auto"/>
              </w:rPr>
            </w:pPr>
            <w:r>
              <w:rPr>
                <w:rFonts w:ascii="Calibri" w:cs="Calibri" w:eastAsia="Calibri" w:hAnsi="Calibri"/>
                <w:sz w:val="19"/>
                <w:szCs w:val="19"/>
                <w:color w:val="auto"/>
                <w:w w:val="82"/>
              </w:rPr>
              <w:t>$</w:t>
            </w:r>
          </w:p>
        </w:tc>
        <w:tc>
          <w:tcPr>
            <w:tcW w:w="1680" w:type="dxa"/>
            <w:vAlign w:val="bottom"/>
            <w:gridSpan w:val="2"/>
            <w:shd w:val="clear" w:color="auto" w:fill="CFF0FC"/>
          </w:tcPr>
          <w:p>
            <w:pPr>
              <w:jc w:val="right"/>
              <w:ind w:right="188"/>
              <w:spacing w:after="0" w:line="226" w:lineRule="exact"/>
              <w:rPr>
                <w:sz w:val="20"/>
                <w:szCs w:val="20"/>
                <w:color w:val="auto"/>
              </w:rPr>
            </w:pPr>
            <w:r>
              <w:rPr>
                <w:rFonts w:ascii="Calibri" w:cs="Calibri" w:eastAsia="Calibri" w:hAnsi="Calibri"/>
                <w:sz w:val="19"/>
                <w:szCs w:val="19"/>
                <w:color w:val="auto"/>
              </w:rPr>
              <w:t>—</w:t>
            </w:r>
          </w:p>
        </w:tc>
        <w:tc>
          <w:tcPr>
            <w:tcW w:w="16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500" w:type="dxa"/>
            <w:vAlign w:val="bottom"/>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(97.6</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171"/>
        </w:trPr>
        <w:tc>
          <w:tcPr>
            <w:tcW w:w="5800" w:type="dxa"/>
            <w:vAlign w:val="bottom"/>
          </w:tcPr>
          <w:p>
            <w:pPr>
              <w:ind w:left="20"/>
              <w:spacing w:after="0" w:line="172" w:lineRule="exact"/>
              <w:rPr>
                <w:sz w:val="20"/>
                <w:szCs w:val="20"/>
                <w:color w:val="auto"/>
              </w:rPr>
            </w:pPr>
            <w:r>
              <w:rPr>
                <w:rFonts w:ascii="Calibri" w:cs="Calibri" w:eastAsia="Calibri" w:hAnsi="Calibri"/>
                <w:sz w:val="18"/>
                <w:szCs w:val="18"/>
                <w:color w:val="auto"/>
              </w:rPr>
              <w:t>Other comprehensive loss before reclassifcatons,</w:t>
            </w:r>
          </w:p>
        </w:tc>
        <w:tc>
          <w:tcPr>
            <w:tcW w:w="160" w:type="dxa"/>
            <w:vAlign w:val="bottom"/>
          </w:tcPr>
          <w:p>
            <w:pPr>
              <w:spacing w:after="0"/>
              <w:rPr>
                <w:sz w:val="14"/>
                <w:szCs w:val="14"/>
                <w:color w:val="auto"/>
              </w:rPr>
            </w:pPr>
          </w:p>
        </w:tc>
        <w:tc>
          <w:tcPr>
            <w:tcW w:w="1720" w:type="dxa"/>
            <w:vAlign w:val="bottom"/>
            <w:gridSpan w:val="2"/>
            <w:vMerge w:val="restart"/>
          </w:tcPr>
          <w:p>
            <w:pPr>
              <w:jc w:val="right"/>
              <w:ind w:right="86"/>
              <w:spacing w:after="0"/>
              <w:rPr>
                <w:sz w:val="20"/>
                <w:szCs w:val="20"/>
                <w:color w:val="auto"/>
              </w:rPr>
            </w:pPr>
            <w:r>
              <w:rPr>
                <w:rFonts w:ascii="Calibri" w:cs="Calibri" w:eastAsia="Calibri" w:hAnsi="Calibri"/>
                <w:sz w:val="19"/>
                <w:szCs w:val="19"/>
                <w:color w:val="auto"/>
              </w:rPr>
              <w:t>(33.0 )</w:t>
            </w:r>
          </w:p>
        </w:tc>
        <w:tc>
          <w:tcPr>
            <w:tcW w:w="120" w:type="dxa"/>
            <w:vAlign w:val="bottom"/>
          </w:tcPr>
          <w:p>
            <w:pPr>
              <w:spacing w:after="0"/>
              <w:rPr>
                <w:sz w:val="14"/>
                <w:szCs w:val="14"/>
                <w:color w:val="auto"/>
              </w:rPr>
            </w:pPr>
          </w:p>
        </w:tc>
        <w:tc>
          <w:tcPr>
            <w:tcW w:w="1680" w:type="dxa"/>
            <w:vAlign w:val="bottom"/>
            <w:gridSpan w:val="2"/>
            <w:vMerge w:val="restart"/>
          </w:tcPr>
          <w:p>
            <w:pPr>
              <w:jc w:val="right"/>
              <w:ind w:right="108"/>
              <w:spacing w:after="0"/>
              <w:rPr>
                <w:sz w:val="20"/>
                <w:szCs w:val="20"/>
                <w:color w:val="auto"/>
              </w:rPr>
            </w:pPr>
            <w:r>
              <w:rPr>
                <w:rFonts w:ascii="Calibri" w:cs="Calibri" w:eastAsia="Calibri" w:hAnsi="Calibri"/>
                <w:sz w:val="19"/>
                <w:szCs w:val="19"/>
                <w:color w:val="auto"/>
              </w:rPr>
              <w:t>(2.4 )</w:t>
            </w:r>
          </w:p>
        </w:tc>
        <w:tc>
          <w:tcPr>
            <w:tcW w:w="160" w:type="dxa"/>
            <w:vAlign w:val="bottom"/>
          </w:tcPr>
          <w:p>
            <w:pPr>
              <w:spacing w:after="0"/>
              <w:rPr>
                <w:sz w:val="14"/>
                <w:szCs w:val="14"/>
                <w:color w:val="auto"/>
              </w:rPr>
            </w:pPr>
          </w:p>
        </w:tc>
        <w:tc>
          <w:tcPr>
            <w:tcW w:w="1600" w:type="dxa"/>
            <w:vAlign w:val="bottom"/>
            <w:gridSpan w:val="2"/>
            <w:vMerge w:val="restart"/>
          </w:tcPr>
          <w:p>
            <w:pPr>
              <w:jc w:val="right"/>
              <w:spacing w:after="0"/>
              <w:rPr>
                <w:sz w:val="20"/>
                <w:szCs w:val="20"/>
                <w:color w:val="auto"/>
              </w:rPr>
            </w:pPr>
            <w:r>
              <w:rPr>
                <w:rFonts w:ascii="Calibri" w:cs="Calibri" w:eastAsia="Calibri" w:hAnsi="Calibri"/>
                <w:sz w:val="19"/>
                <w:szCs w:val="19"/>
                <w:color w:val="auto"/>
              </w:rPr>
              <w:t>(35.4 )</w:t>
            </w:r>
          </w:p>
        </w:tc>
        <w:tc>
          <w:tcPr>
            <w:tcW w:w="0" w:type="dxa"/>
            <w:vAlign w:val="bottom"/>
          </w:tcPr>
          <w:p>
            <w:pPr>
              <w:spacing w:after="0"/>
              <w:rPr>
                <w:sz w:val="1"/>
                <w:szCs w:val="1"/>
                <w:color w:val="auto"/>
              </w:rPr>
            </w:pPr>
          </w:p>
        </w:tc>
      </w:tr>
      <w:tr>
        <w:trPr>
          <w:trHeight w:val="226"/>
        </w:trPr>
        <w:tc>
          <w:tcPr>
            <w:tcW w:w="5800" w:type="dxa"/>
            <w:vAlign w:val="bottom"/>
          </w:tcPr>
          <w:p>
            <w:pPr>
              <w:ind w:left="140"/>
              <w:spacing w:after="0" w:line="226" w:lineRule="exact"/>
              <w:rPr>
                <w:sz w:val="20"/>
                <w:szCs w:val="20"/>
                <w:color w:val="auto"/>
              </w:rPr>
            </w:pPr>
            <w:r>
              <w:rPr>
                <w:rFonts w:ascii="Calibri" w:cs="Calibri" w:eastAsia="Calibri" w:hAnsi="Calibri"/>
                <w:sz w:val="19"/>
                <w:szCs w:val="19"/>
                <w:color w:val="auto"/>
              </w:rPr>
              <w:t>net of tax</w:t>
            </w:r>
          </w:p>
        </w:tc>
        <w:tc>
          <w:tcPr>
            <w:tcW w:w="16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00" w:type="dxa"/>
            <w:vAlign w:val="bottom"/>
            <w:shd w:val="clear" w:color="auto" w:fill="CFF0FC"/>
          </w:tcPr>
          <w:p>
            <w:pPr>
              <w:ind w:left="20"/>
              <w:spacing w:after="0" w:line="172" w:lineRule="exact"/>
              <w:rPr>
                <w:sz w:val="20"/>
                <w:szCs w:val="20"/>
                <w:color w:val="auto"/>
              </w:rPr>
            </w:pPr>
            <w:r>
              <w:rPr>
                <w:rFonts w:ascii="Calibri" w:cs="Calibri" w:eastAsia="Calibri" w:hAnsi="Calibri"/>
                <w:sz w:val="18"/>
                <w:szCs w:val="18"/>
                <w:color w:val="auto"/>
              </w:rPr>
              <w:t>Amounts reclassifed from accumulated other</w:t>
            </w:r>
          </w:p>
        </w:tc>
        <w:tc>
          <w:tcPr>
            <w:tcW w:w="16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spacing w:after="0"/>
              <w:rPr>
                <w:sz w:val="20"/>
                <w:szCs w:val="20"/>
                <w:color w:val="auto"/>
              </w:rPr>
            </w:pPr>
            <w:r>
              <w:rPr>
                <w:rFonts w:ascii="Calibri" w:cs="Calibri" w:eastAsia="Calibri" w:hAnsi="Calibri"/>
                <w:sz w:val="19"/>
                <w:szCs w:val="19"/>
                <w:color w:val="auto"/>
              </w:rPr>
              <w:t>7.9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vMerge w:val="restart"/>
            <w:shd w:val="clear" w:color="auto" w:fill="CFF0FC"/>
          </w:tcPr>
          <w:p>
            <w:pPr>
              <w:jc w:val="right"/>
              <w:spacing w:after="0"/>
              <w:rPr>
                <w:sz w:val="20"/>
                <w:szCs w:val="20"/>
                <w:color w:val="auto"/>
              </w:rPr>
            </w:pPr>
            <w:r>
              <w:rPr>
                <w:rFonts w:ascii="Calibri" w:cs="Calibri" w:eastAsia="Calibri" w:hAnsi="Calibri"/>
                <w:sz w:val="19"/>
                <w:szCs w:val="19"/>
                <w:color w:val="auto"/>
              </w:rPr>
              <w:t>—</w:t>
            </w:r>
          </w:p>
        </w:tc>
        <w:tc>
          <w:tcPr>
            <w:tcW w:w="260" w:type="dxa"/>
            <w:vAlign w:val="bottom"/>
            <w:vMerge w:val="restart"/>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vMerge w:val="restart"/>
            <w:shd w:val="clear" w:color="auto" w:fill="CFF0FC"/>
          </w:tcPr>
          <w:p>
            <w:pPr>
              <w:jc w:val="right"/>
              <w:spacing w:after="0"/>
              <w:rPr>
                <w:sz w:val="20"/>
                <w:szCs w:val="20"/>
                <w:color w:val="auto"/>
              </w:rPr>
            </w:pPr>
            <w:r>
              <w:rPr>
                <w:rFonts w:ascii="Calibri" w:cs="Calibri" w:eastAsia="Calibri" w:hAnsi="Calibri"/>
                <w:sz w:val="19"/>
                <w:szCs w:val="19"/>
                <w:color w:val="auto"/>
              </w:rPr>
              <w:t>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shd w:val="clear" w:color="auto" w:fill="CFF0FC"/>
          </w:tcPr>
          <w:p>
            <w:pPr>
              <w:ind w:left="140"/>
              <w:spacing w:after="0" w:line="226" w:lineRule="exact"/>
              <w:rPr>
                <w:sz w:val="20"/>
                <w:szCs w:val="20"/>
                <w:color w:val="auto"/>
              </w:rPr>
            </w:pPr>
            <w:r>
              <w:rPr>
                <w:rFonts w:ascii="Calibri" w:cs="Calibri" w:eastAsia="Calibri" w:hAnsi="Calibri"/>
                <w:sz w:val="19"/>
                <w:szCs w:val="19"/>
                <w:color w:val="auto"/>
              </w:rPr>
              <w:t>comprehensive loss, net of tax</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line="224" w:lineRule="exact"/>
              <w:rPr>
                <w:sz w:val="20"/>
                <w:szCs w:val="20"/>
                <w:color w:val="auto"/>
              </w:rPr>
            </w:pPr>
            <w:r>
              <w:rPr>
                <w:rFonts w:ascii="Calibri" w:cs="Calibri" w:eastAsia="Calibri" w:hAnsi="Calibri"/>
                <w:sz w:val="19"/>
                <w:szCs w:val="19"/>
                <w:color w:val="auto"/>
              </w:rPr>
              <w:t>Other comprehensive loss, net of tax</w:t>
            </w:r>
          </w:p>
        </w:tc>
        <w:tc>
          <w:tcPr>
            <w:tcW w:w="160" w:type="dxa"/>
            <w:vAlign w:val="bottom"/>
          </w:tcPr>
          <w:p>
            <w:pPr>
              <w:spacing w:after="0"/>
              <w:rPr>
                <w:sz w:val="19"/>
                <w:szCs w:val="19"/>
                <w:color w:val="auto"/>
              </w:rPr>
            </w:pPr>
          </w:p>
        </w:tc>
        <w:tc>
          <w:tcPr>
            <w:tcW w:w="1720" w:type="dxa"/>
            <w:vAlign w:val="bottom"/>
            <w:gridSpan w:val="2"/>
          </w:tcPr>
          <w:p>
            <w:pPr>
              <w:jc w:val="right"/>
              <w:ind w:right="86"/>
              <w:spacing w:after="0" w:line="224" w:lineRule="exact"/>
              <w:rPr>
                <w:sz w:val="20"/>
                <w:szCs w:val="20"/>
                <w:color w:val="auto"/>
              </w:rPr>
            </w:pPr>
            <w:r>
              <w:rPr>
                <w:rFonts w:ascii="Calibri" w:cs="Calibri" w:eastAsia="Calibri" w:hAnsi="Calibri"/>
                <w:sz w:val="19"/>
                <w:szCs w:val="19"/>
                <w:color w:val="auto"/>
              </w:rPr>
              <w:t>(25.1 )</w:t>
            </w:r>
          </w:p>
        </w:tc>
        <w:tc>
          <w:tcPr>
            <w:tcW w:w="120" w:type="dxa"/>
            <w:vAlign w:val="bottom"/>
          </w:tcPr>
          <w:p>
            <w:pPr>
              <w:spacing w:after="0"/>
              <w:rPr>
                <w:sz w:val="19"/>
                <w:szCs w:val="19"/>
                <w:color w:val="auto"/>
              </w:rPr>
            </w:pPr>
          </w:p>
        </w:tc>
        <w:tc>
          <w:tcPr>
            <w:tcW w:w="1680" w:type="dxa"/>
            <w:vAlign w:val="bottom"/>
            <w:gridSpan w:val="2"/>
          </w:tcPr>
          <w:p>
            <w:pPr>
              <w:jc w:val="right"/>
              <w:ind w:right="108"/>
              <w:spacing w:after="0" w:line="224" w:lineRule="exact"/>
              <w:rPr>
                <w:sz w:val="20"/>
                <w:szCs w:val="20"/>
                <w:color w:val="auto"/>
              </w:rPr>
            </w:pPr>
            <w:r>
              <w:rPr>
                <w:rFonts w:ascii="Calibri" w:cs="Calibri" w:eastAsia="Calibri" w:hAnsi="Calibri"/>
                <w:sz w:val="19"/>
                <w:szCs w:val="19"/>
                <w:color w:val="auto"/>
              </w:rPr>
              <w:t>(2.4 )</w:t>
            </w:r>
          </w:p>
        </w:tc>
        <w:tc>
          <w:tcPr>
            <w:tcW w:w="160" w:type="dxa"/>
            <w:vAlign w:val="bottom"/>
          </w:tcPr>
          <w:p>
            <w:pPr>
              <w:spacing w:after="0"/>
              <w:rPr>
                <w:sz w:val="19"/>
                <w:szCs w:val="19"/>
                <w:color w:val="auto"/>
              </w:rPr>
            </w:pPr>
          </w:p>
        </w:tc>
        <w:tc>
          <w:tcPr>
            <w:tcW w:w="1600" w:type="dxa"/>
            <w:vAlign w:val="bottom"/>
            <w:gridSpan w:val="2"/>
          </w:tcPr>
          <w:p>
            <w:pPr>
              <w:jc w:val="right"/>
              <w:spacing w:after="0" w:line="224" w:lineRule="exact"/>
              <w:rPr>
                <w:sz w:val="20"/>
                <w:szCs w:val="20"/>
                <w:color w:val="auto"/>
              </w:rPr>
            </w:pPr>
            <w:r>
              <w:rPr>
                <w:rFonts w:ascii="Calibri" w:cs="Calibri" w:eastAsia="Calibri" w:hAnsi="Calibri"/>
                <w:sz w:val="19"/>
                <w:szCs w:val="19"/>
                <w:color w:val="auto"/>
              </w:rPr>
              <w:t>(27.5 )</w:t>
            </w:r>
          </w:p>
        </w:tc>
        <w:tc>
          <w:tcPr>
            <w:tcW w:w="0" w:type="dxa"/>
            <w:vAlign w:val="bottom"/>
          </w:tcPr>
          <w:p>
            <w:pPr>
              <w:spacing w:after="0"/>
              <w:rPr>
                <w:sz w:val="1"/>
                <w:szCs w:val="1"/>
                <w:color w:val="auto"/>
              </w:rPr>
            </w:pPr>
          </w:p>
        </w:tc>
      </w:tr>
      <w:tr>
        <w:trPr>
          <w:trHeight w:val="267"/>
        </w:trPr>
        <w:tc>
          <w:tcPr>
            <w:tcW w:w="5800" w:type="dxa"/>
            <w:vAlign w:val="bottom"/>
            <w:tcBorders>
              <w:bottom w:val="single" w:sz="8" w:color="CFF0FC"/>
            </w:tcBorders>
            <w:shd w:val="clear" w:color="auto" w:fill="CFF0FC"/>
          </w:tcPr>
          <w:p>
            <w:pPr>
              <w:ind w:left="20"/>
              <w:spacing w:after="0" w:line="227" w:lineRule="exact"/>
              <w:rPr>
                <w:sz w:val="20"/>
                <w:szCs w:val="20"/>
                <w:color w:val="auto"/>
              </w:rPr>
            </w:pPr>
            <w:r>
              <w:rPr>
                <w:rFonts w:ascii="Calibri" w:cs="Calibri" w:eastAsia="Calibri" w:hAnsi="Calibri"/>
                <w:sz w:val="19"/>
                <w:szCs w:val="19"/>
                <w:color w:val="auto"/>
              </w:rPr>
              <w:t>Balance at end of period</w:t>
            </w:r>
          </w:p>
        </w:tc>
        <w:tc>
          <w:tcPr>
            <w:tcW w:w="16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48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(122.7</w:t>
            </w:r>
          </w:p>
        </w:tc>
        <w:tc>
          <w:tcPr>
            <w:tcW w:w="240" w:type="dxa"/>
            <w:vAlign w:val="bottom"/>
            <w:tcBorders>
              <w:bottom w:val="single" w:sz="8" w:color="CFF0FC"/>
            </w:tcBorders>
            <w:shd w:val="clear" w:color="auto" w:fill="CFF0FC"/>
          </w:tcPr>
          <w:p>
            <w:pPr>
              <w:spacing w:after="0" w:line="226" w:lineRule="exact"/>
              <w:rPr>
                <w:sz w:val="20"/>
                <w:szCs w:val="20"/>
                <w:color w:val="auto"/>
              </w:rPr>
            </w:pPr>
            <w:r>
              <w:rPr>
                <w:rFonts w:ascii="Calibri" w:cs="Calibri" w:eastAsia="Calibri" w:hAnsi="Calibri"/>
                <w:sz w:val="19"/>
                <w:szCs w:val="19"/>
                <w:color w:val="auto"/>
              </w:rPr>
              <w:t>)</w:t>
            </w:r>
          </w:p>
        </w:tc>
        <w:tc>
          <w:tcPr>
            <w:tcW w:w="120" w:type="dxa"/>
            <w:vAlign w:val="bottom"/>
            <w:tcBorders>
              <w:top w:val="single" w:sz="8" w:color="auto"/>
              <w:bottom w:val="single" w:sz="8" w:color="auto"/>
            </w:tcBorders>
            <w:shd w:val="clear" w:color="auto" w:fill="CFF0FC"/>
          </w:tcPr>
          <w:p>
            <w:pPr>
              <w:ind w:left="20"/>
              <w:spacing w:after="0" w:line="226" w:lineRule="exact"/>
              <w:rPr>
                <w:sz w:val="20"/>
                <w:szCs w:val="20"/>
                <w:color w:val="auto"/>
              </w:rPr>
            </w:pPr>
            <w:r>
              <w:rPr>
                <w:rFonts w:ascii="Calibri" w:cs="Calibri" w:eastAsia="Calibri" w:hAnsi="Calibri"/>
                <w:sz w:val="19"/>
                <w:szCs w:val="19"/>
                <w:color w:val="auto"/>
                <w:w w:val="82"/>
              </w:rPr>
              <w:t>$</w:t>
            </w:r>
          </w:p>
        </w:tc>
        <w:tc>
          <w:tcPr>
            <w:tcW w:w="142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(2.4</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w w:val="82"/>
              </w:rPr>
              <w:t>$</w:t>
            </w:r>
          </w:p>
        </w:tc>
        <w:tc>
          <w:tcPr>
            <w:tcW w:w="150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(125.1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404"/>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80" w:type="dxa"/>
            <w:vAlign w:val="bottom"/>
            <w:gridSpan w:val="8"/>
          </w:tcPr>
          <w:p>
            <w:pPr>
              <w:jc w:val="right"/>
              <w:ind w:right="1131"/>
              <w:spacing w:after="0"/>
              <w:rPr>
                <w:sz w:val="20"/>
                <w:szCs w:val="20"/>
                <w:color w:val="auto"/>
              </w:rPr>
            </w:pPr>
            <w:r>
              <w:rPr>
                <w:rFonts w:ascii="Calibri" w:cs="Calibri" w:eastAsia="Calibri" w:hAnsi="Calibri"/>
                <w:sz w:val="19"/>
                <w:szCs w:val="19"/>
                <w:color w:val="auto"/>
              </w:rPr>
              <w:t>Nine Months Ended September 30, 2021</w:t>
            </w:r>
          </w:p>
        </w:tc>
        <w:tc>
          <w:tcPr>
            <w:tcW w:w="0" w:type="dxa"/>
            <w:vAlign w:val="bottom"/>
          </w:tcPr>
          <w:p>
            <w:pPr>
              <w:spacing w:after="0"/>
              <w:rPr>
                <w:sz w:val="1"/>
                <w:szCs w:val="1"/>
                <w:color w:val="auto"/>
              </w:rPr>
            </w:pPr>
          </w:p>
        </w:tc>
      </w:tr>
      <w:tr>
        <w:trPr>
          <w:trHeight w:val="35"/>
        </w:trPr>
        <w:tc>
          <w:tcPr>
            <w:tcW w:w="5800" w:type="dxa"/>
            <w:vAlign w:val="bottom"/>
            <w:vMerge w:val="restart"/>
          </w:tcPr>
          <w:p>
            <w:pPr>
              <w:ind w:left="20"/>
              <w:spacing w:after="0"/>
              <w:rPr>
                <w:sz w:val="20"/>
                <w:szCs w:val="20"/>
                <w:color w:val="auto"/>
              </w:rPr>
            </w:pPr>
            <w:r>
              <w:rPr>
                <w:rFonts w:ascii="Calibri" w:cs="Calibri" w:eastAsia="Calibri" w:hAnsi="Calibri"/>
                <w:sz w:val="19"/>
                <w:szCs w:val="19"/>
                <w:color w:val="auto"/>
              </w:rPr>
              <w:t>Balance at beginning of period</w:t>
            </w:r>
          </w:p>
        </w:tc>
        <w:tc>
          <w:tcPr>
            <w:tcW w:w="1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21"/>
        </w:trPr>
        <w:tc>
          <w:tcPr>
            <w:tcW w:w="5800" w:type="dxa"/>
            <w:vAlign w:val="bottom"/>
            <w:vMerge w:val="continue"/>
          </w:tcPr>
          <w:p>
            <w:pPr>
              <w:spacing w:after="0"/>
              <w:rPr>
                <w:sz w:val="19"/>
                <w:szCs w:val="19"/>
                <w:color w:val="auto"/>
              </w:rPr>
            </w:pPr>
          </w:p>
        </w:tc>
        <w:tc>
          <w:tcPr>
            <w:tcW w:w="160" w:type="dxa"/>
            <w:vAlign w:val="bottom"/>
          </w:tcPr>
          <w:p>
            <w:pPr>
              <w:jc w:val="right"/>
              <w:spacing w:after="0" w:line="221" w:lineRule="exact"/>
              <w:rPr>
                <w:sz w:val="20"/>
                <w:szCs w:val="20"/>
                <w:color w:val="auto"/>
              </w:rPr>
            </w:pPr>
            <w:r>
              <w:rPr>
                <w:rFonts w:ascii="Calibri" w:cs="Calibri" w:eastAsia="Calibri" w:hAnsi="Calibri"/>
                <w:sz w:val="19"/>
                <w:szCs w:val="19"/>
                <w:color w:val="auto"/>
                <w:w w:val="82"/>
              </w:rPr>
              <w:t>$</w:t>
            </w:r>
          </w:p>
        </w:tc>
        <w:tc>
          <w:tcPr>
            <w:tcW w:w="1720" w:type="dxa"/>
            <w:vAlign w:val="bottom"/>
            <w:gridSpan w:val="2"/>
          </w:tcPr>
          <w:p>
            <w:pPr>
              <w:jc w:val="right"/>
              <w:ind w:right="86"/>
              <w:spacing w:after="0" w:line="221" w:lineRule="exact"/>
              <w:rPr>
                <w:sz w:val="20"/>
                <w:szCs w:val="20"/>
                <w:color w:val="auto"/>
              </w:rPr>
            </w:pPr>
            <w:r>
              <w:rPr>
                <w:rFonts w:ascii="Calibri" w:cs="Calibri" w:eastAsia="Calibri" w:hAnsi="Calibri"/>
                <w:sz w:val="19"/>
                <w:szCs w:val="19"/>
                <w:color w:val="auto"/>
              </w:rPr>
              <w:t>(158.1 )</w:t>
            </w:r>
          </w:p>
        </w:tc>
        <w:tc>
          <w:tcPr>
            <w:tcW w:w="120" w:type="dxa"/>
            <w:vAlign w:val="bottom"/>
          </w:tcPr>
          <w:p>
            <w:pPr>
              <w:ind w:left="20"/>
              <w:spacing w:after="0" w:line="221" w:lineRule="exact"/>
              <w:rPr>
                <w:sz w:val="20"/>
                <w:szCs w:val="20"/>
                <w:color w:val="auto"/>
              </w:rPr>
            </w:pPr>
            <w:r>
              <w:rPr>
                <w:rFonts w:ascii="Calibri" w:cs="Calibri" w:eastAsia="Calibri" w:hAnsi="Calibri"/>
                <w:sz w:val="19"/>
                <w:szCs w:val="19"/>
                <w:color w:val="auto"/>
                <w:w w:val="82"/>
              </w:rPr>
              <w:t>$</w:t>
            </w:r>
          </w:p>
        </w:tc>
        <w:tc>
          <w:tcPr>
            <w:tcW w:w="1680" w:type="dxa"/>
            <w:vAlign w:val="bottom"/>
            <w:gridSpan w:val="2"/>
          </w:tcPr>
          <w:p>
            <w:pPr>
              <w:jc w:val="right"/>
              <w:ind w:right="108"/>
              <w:spacing w:after="0" w:line="221" w:lineRule="exact"/>
              <w:rPr>
                <w:sz w:val="20"/>
                <w:szCs w:val="20"/>
                <w:color w:val="auto"/>
              </w:rPr>
            </w:pPr>
            <w:r>
              <w:rPr>
                <w:rFonts w:ascii="Calibri" w:cs="Calibri" w:eastAsia="Calibri" w:hAnsi="Calibri"/>
                <w:sz w:val="19"/>
                <w:szCs w:val="19"/>
                <w:color w:val="auto"/>
              </w:rPr>
              <w:t>(0.3 )</w:t>
            </w:r>
          </w:p>
        </w:tc>
        <w:tc>
          <w:tcPr>
            <w:tcW w:w="160" w:type="dxa"/>
            <w:vAlign w:val="bottom"/>
          </w:tcPr>
          <w:p>
            <w:pPr>
              <w:jc w:val="right"/>
              <w:spacing w:after="0" w:line="221" w:lineRule="exact"/>
              <w:rPr>
                <w:sz w:val="20"/>
                <w:szCs w:val="20"/>
                <w:color w:val="auto"/>
              </w:rPr>
            </w:pPr>
            <w:r>
              <w:rPr>
                <w:rFonts w:ascii="Calibri" w:cs="Calibri" w:eastAsia="Calibri" w:hAnsi="Calibri"/>
                <w:sz w:val="19"/>
                <w:szCs w:val="19"/>
                <w:color w:val="auto"/>
                <w:w w:val="82"/>
              </w:rPr>
              <w:t>$</w:t>
            </w:r>
          </w:p>
        </w:tc>
        <w:tc>
          <w:tcPr>
            <w:tcW w:w="1500" w:type="dxa"/>
            <w:vAlign w:val="bottom"/>
          </w:tcPr>
          <w:p>
            <w:pPr>
              <w:jc w:val="right"/>
              <w:spacing w:after="0" w:line="221" w:lineRule="exact"/>
              <w:rPr>
                <w:sz w:val="20"/>
                <w:szCs w:val="20"/>
                <w:color w:val="auto"/>
              </w:rPr>
            </w:pPr>
            <w:r>
              <w:rPr>
                <w:rFonts w:ascii="Calibri" w:cs="Calibri" w:eastAsia="Calibri" w:hAnsi="Calibri"/>
                <w:sz w:val="19"/>
                <w:szCs w:val="19"/>
                <w:color w:val="auto"/>
              </w:rPr>
              <w:t>(158.4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800" w:type="dxa"/>
            <w:vAlign w:val="bottom"/>
            <w:shd w:val="clear" w:color="auto" w:fill="CFF0FC"/>
          </w:tcPr>
          <w:p>
            <w:pPr>
              <w:ind w:left="20"/>
              <w:spacing w:after="0" w:line="174" w:lineRule="exact"/>
              <w:rPr>
                <w:sz w:val="20"/>
                <w:szCs w:val="20"/>
                <w:color w:val="auto"/>
              </w:rPr>
            </w:pPr>
            <w:r>
              <w:rPr>
                <w:rFonts w:ascii="Calibri" w:cs="Calibri" w:eastAsia="Calibri" w:hAnsi="Calibri"/>
                <w:sz w:val="18"/>
                <w:szCs w:val="18"/>
                <w:color w:val="auto"/>
              </w:rPr>
              <w:t>Other comprehensive earnings before reclassifcatons,</w:t>
            </w:r>
          </w:p>
        </w:tc>
        <w:tc>
          <w:tcPr>
            <w:tcW w:w="160" w:type="dxa"/>
            <w:vAlign w:val="bottom"/>
            <w:shd w:val="clear" w:color="auto" w:fill="CFF0FC"/>
          </w:tcPr>
          <w:p>
            <w:pPr>
              <w:spacing w:after="0"/>
              <w:rPr>
                <w:sz w:val="15"/>
                <w:szCs w:val="15"/>
                <w:color w:val="auto"/>
              </w:rPr>
            </w:pPr>
          </w:p>
        </w:tc>
        <w:tc>
          <w:tcPr>
            <w:tcW w:w="1720" w:type="dxa"/>
            <w:vAlign w:val="bottom"/>
            <w:gridSpan w:val="2"/>
            <w:vMerge w:val="restart"/>
            <w:shd w:val="clear" w:color="auto" w:fill="CFF0FC"/>
          </w:tcPr>
          <w:p>
            <w:pPr>
              <w:jc w:val="right"/>
              <w:ind w:right="166"/>
              <w:spacing w:after="0"/>
              <w:rPr>
                <w:sz w:val="20"/>
                <w:szCs w:val="20"/>
                <w:color w:val="auto"/>
              </w:rPr>
            </w:pPr>
            <w:r>
              <w:rPr>
                <w:rFonts w:ascii="Calibri" w:cs="Calibri" w:eastAsia="Calibri" w:hAnsi="Calibri"/>
                <w:sz w:val="19"/>
                <w:szCs w:val="19"/>
                <w:color w:val="auto"/>
              </w:rPr>
              <w:t>—</w:t>
            </w:r>
          </w:p>
        </w:tc>
        <w:tc>
          <w:tcPr>
            <w:tcW w:w="12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Calibri" w:cs="Calibri" w:eastAsia="Calibri" w:hAnsi="Calibri"/>
                <w:sz w:val="19"/>
                <w:szCs w:val="19"/>
                <w:color w:val="auto"/>
              </w:rPr>
              <w:t>0.2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vMerge w:val="restart"/>
            <w:shd w:val="clear" w:color="auto" w:fill="CFF0FC"/>
          </w:tcPr>
          <w:p>
            <w:pPr>
              <w:jc w:val="right"/>
              <w:spacing w:after="0"/>
              <w:rPr>
                <w:sz w:val="20"/>
                <w:szCs w:val="20"/>
                <w:color w:val="auto"/>
              </w:rPr>
            </w:pPr>
            <w:r>
              <w:rPr>
                <w:rFonts w:ascii="Calibri" w:cs="Calibri" w:eastAsia="Calibri" w:hAnsi="Calibri"/>
                <w:sz w:val="19"/>
                <w:szCs w:val="19"/>
                <w:color w:val="auto"/>
              </w:rPr>
              <w:t>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FF0FC"/>
            </w:tcBorders>
            <w:shd w:val="clear" w:color="auto" w:fill="CFF0FC"/>
          </w:tcPr>
          <w:p>
            <w:pPr>
              <w:ind w:left="140"/>
              <w:spacing w:after="0" w:line="226" w:lineRule="exact"/>
              <w:rPr>
                <w:sz w:val="20"/>
                <w:szCs w:val="20"/>
                <w:color w:val="auto"/>
              </w:rPr>
            </w:pPr>
            <w:r>
              <w:rPr>
                <w:rFonts w:ascii="Calibri" w:cs="Calibri" w:eastAsia="Calibri" w:hAnsi="Calibri"/>
                <w:sz w:val="19"/>
                <w:szCs w:val="19"/>
                <w:color w:val="auto"/>
              </w:rPr>
              <w:t>net of tax</w:t>
            </w:r>
          </w:p>
        </w:tc>
        <w:tc>
          <w:tcPr>
            <w:tcW w:w="1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gridSpan w:val="2"/>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800" w:type="dxa"/>
            <w:vAlign w:val="bottom"/>
          </w:tcPr>
          <w:p>
            <w:pPr>
              <w:ind w:left="20"/>
              <w:spacing w:after="0" w:line="172" w:lineRule="exact"/>
              <w:rPr>
                <w:sz w:val="20"/>
                <w:szCs w:val="20"/>
                <w:color w:val="auto"/>
              </w:rPr>
            </w:pPr>
            <w:r>
              <w:rPr>
                <w:rFonts w:ascii="Calibri" w:cs="Calibri" w:eastAsia="Calibri" w:hAnsi="Calibri"/>
                <w:sz w:val="18"/>
                <w:szCs w:val="18"/>
                <w:color w:val="auto"/>
              </w:rPr>
              <w:t>Amounts reclassifed from accumulated other</w:t>
            </w: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Calibri" w:cs="Calibri" w:eastAsia="Calibri" w:hAnsi="Calibri"/>
                <w:sz w:val="19"/>
                <w:szCs w:val="19"/>
                <w:color w:val="auto"/>
              </w:rPr>
              <w:t>6.8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right"/>
              <w:ind w:right="188"/>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Calibri" w:cs="Calibri" w:eastAsia="Calibri" w:hAnsi="Calibri"/>
                <w:sz w:val="19"/>
                <w:szCs w:val="19"/>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40"/>
              <w:spacing w:after="0" w:line="226" w:lineRule="exact"/>
              <w:rPr>
                <w:sz w:val="20"/>
                <w:szCs w:val="20"/>
                <w:color w:val="auto"/>
              </w:rPr>
            </w:pPr>
            <w:r>
              <w:rPr>
                <w:rFonts w:ascii="Calibri" w:cs="Calibri" w:eastAsia="Calibri" w:hAnsi="Calibri"/>
                <w:sz w:val="19"/>
                <w:szCs w:val="19"/>
                <w:color w:val="auto"/>
              </w:rPr>
              <w:t>comprehensive loss, net of tax</w:t>
            </w: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tcBorders>
              <w:bottom w:val="single" w:sz="8" w:color="CFF0FC"/>
            </w:tcBorders>
            <w:shd w:val="clear" w:color="auto" w:fill="CFF0FC"/>
          </w:tcPr>
          <w:p>
            <w:pPr>
              <w:ind w:left="20"/>
              <w:spacing w:after="0" w:line="226" w:lineRule="exact"/>
              <w:rPr>
                <w:sz w:val="20"/>
                <w:szCs w:val="20"/>
                <w:color w:val="auto"/>
              </w:rPr>
            </w:pPr>
            <w:r>
              <w:rPr>
                <w:rFonts w:ascii="Calibri" w:cs="Calibri" w:eastAsia="Calibri" w:hAnsi="Calibri"/>
                <w:sz w:val="19"/>
                <w:szCs w:val="19"/>
                <w:color w:val="auto"/>
              </w:rPr>
              <w:t>Other comprehensive earnings, net of tax</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6.8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0.2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line="226" w:lineRule="exact"/>
              <w:rPr>
                <w:sz w:val="20"/>
                <w:szCs w:val="20"/>
                <w:color w:val="auto"/>
              </w:rPr>
            </w:pPr>
            <w:r>
              <w:rPr>
                <w:rFonts w:ascii="Calibri" w:cs="Calibri" w:eastAsia="Calibri" w:hAnsi="Calibri"/>
                <w:sz w:val="19"/>
                <w:szCs w:val="19"/>
                <w:color w:val="auto"/>
              </w:rPr>
              <w:t>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0"/>
              <w:spacing w:after="0" w:line="225" w:lineRule="exact"/>
              <w:rPr>
                <w:sz w:val="20"/>
                <w:szCs w:val="20"/>
                <w:color w:val="auto"/>
              </w:rPr>
            </w:pPr>
            <w:r>
              <w:rPr>
                <w:rFonts w:ascii="Calibri" w:cs="Calibri" w:eastAsia="Calibri" w:hAnsi="Calibri"/>
                <w:sz w:val="19"/>
                <w:szCs w:val="19"/>
                <w:color w:val="auto"/>
              </w:rPr>
              <w:t>Balance at end of period</w:t>
            </w:r>
          </w:p>
        </w:tc>
        <w:tc>
          <w:tcPr>
            <w:tcW w:w="160" w:type="dxa"/>
            <w:vAlign w:val="bottom"/>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720" w:type="dxa"/>
            <w:vAlign w:val="bottom"/>
            <w:gridSpan w:val="2"/>
          </w:tcPr>
          <w:p>
            <w:pPr>
              <w:jc w:val="right"/>
              <w:ind w:right="86"/>
              <w:spacing w:after="0" w:line="225" w:lineRule="exact"/>
              <w:rPr>
                <w:sz w:val="20"/>
                <w:szCs w:val="20"/>
                <w:color w:val="auto"/>
              </w:rPr>
            </w:pPr>
            <w:r>
              <w:rPr>
                <w:rFonts w:ascii="Calibri" w:cs="Calibri" w:eastAsia="Calibri" w:hAnsi="Calibri"/>
                <w:sz w:val="19"/>
                <w:szCs w:val="19"/>
                <w:color w:val="auto"/>
              </w:rPr>
              <w:t>(151.3 )</w:t>
            </w:r>
          </w:p>
        </w:tc>
        <w:tc>
          <w:tcPr>
            <w:tcW w:w="120" w:type="dxa"/>
            <w:vAlign w:val="bottom"/>
          </w:tcPr>
          <w:p>
            <w:pPr>
              <w:ind w:left="20"/>
              <w:spacing w:after="0" w:line="225" w:lineRule="exact"/>
              <w:rPr>
                <w:sz w:val="20"/>
                <w:szCs w:val="20"/>
                <w:color w:val="auto"/>
              </w:rPr>
            </w:pPr>
            <w:r>
              <w:rPr>
                <w:rFonts w:ascii="Calibri" w:cs="Calibri" w:eastAsia="Calibri" w:hAnsi="Calibri"/>
                <w:sz w:val="19"/>
                <w:szCs w:val="19"/>
                <w:color w:val="auto"/>
                <w:w w:val="82"/>
              </w:rPr>
              <w:t>$</w:t>
            </w:r>
          </w:p>
        </w:tc>
        <w:tc>
          <w:tcPr>
            <w:tcW w:w="1680" w:type="dxa"/>
            <w:vAlign w:val="bottom"/>
            <w:gridSpan w:val="2"/>
          </w:tcPr>
          <w:p>
            <w:pPr>
              <w:jc w:val="right"/>
              <w:ind w:right="108"/>
              <w:spacing w:after="0" w:line="225" w:lineRule="exact"/>
              <w:rPr>
                <w:sz w:val="20"/>
                <w:szCs w:val="20"/>
                <w:color w:val="auto"/>
              </w:rPr>
            </w:pPr>
            <w:r>
              <w:rPr>
                <w:rFonts w:ascii="Calibri" w:cs="Calibri" w:eastAsia="Calibri" w:hAnsi="Calibri"/>
                <w:sz w:val="19"/>
                <w:szCs w:val="19"/>
                <w:color w:val="auto"/>
              </w:rPr>
              <w:t>(0.1 )</w:t>
            </w:r>
          </w:p>
        </w:tc>
        <w:tc>
          <w:tcPr>
            <w:tcW w:w="160" w:type="dxa"/>
            <w:vAlign w:val="bottom"/>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60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rPr>
              <w:t>(151.4 )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-1637030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-1637030</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-1637030</wp:posOffset>
            </wp:positionV>
            <wp:extent cx="685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-1327785</wp:posOffset>
            </wp:positionV>
            <wp:extent cx="2417445" cy="4718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17445" cy="47180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-179705</wp:posOffset>
            </wp:positionV>
            <wp:extent cx="6858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-179705</wp:posOffset>
            </wp:positionV>
            <wp:extent cx="6858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type w:val="continuous"/>
        </w:sectPr>
      </w:pPr>
    </w:p>
    <w:bookmarkStart w:id="10" w:name="page11"/>
    <w:bookmarkEnd w:id="1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spacing w:after="0" w:line="227" w:lineRule="auto"/>
        <w:rPr>
          <w:sz w:val="20"/>
          <w:szCs w:val="20"/>
          <w:color w:val="auto"/>
        </w:rPr>
      </w:pPr>
      <w:r>
        <w:rPr>
          <w:rFonts w:ascii="Calibri" w:cs="Calibri" w:eastAsia="Calibri" w:hAnsi="Calibri"/>
          <w:sz w:val="20"/>
          <w:szCs w:val="20"/>
          <w:color w:val="auto"/>
        </w:rPr>
        <w:t>The $33.0 million, net of tax, other comprehensive loss before reclassifcatons in the Pension and Postretrement Beneft Plans for the nine months ended September 30, 2022 is driven by the remeasurement of the funded status of the Company’s qualifed pension plan, required as a result of a plan amendment that provided an enhanced beneft for eligible hourly employees.</w:t>
      </w:r>
    </w:p>
    <w:p>
      <w:pPr>
        <w:spacing w:after="0" w:line="9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Changes in net noncurrent deferred tax assets related to accumulated other comprehensive loss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7"/>
          </w:tcPr>
          <w:p>
            <w:pPr>
              <w:ind w:left="20"/>
              <w:spacing w:after="0"/>
              <w:rPr>
                <w:sz w:val="20"/>
                <w:szCs w:val="20"/>
                <w:color w:val="auto"/>
              </w:rPr>
            </w:pPr>
            <w:r>
              <w:rPr>
                <w:rFonts w:ascii="Calibri" w:cs="Calibri" w:eastAsia="Calibri" w:hAnsi="Calibri"/>
                <w:sz w:val="20"/>
                <w:szCs w:val="20"/>
                <w:color w:val="auto"/>
              </w:rPr>
              <w:t>Pension and Postretrement Beneft Plans</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5"/>
        </w:trPr>
        <w:tc>
          <w:tcPr>
            <w:tcW w:w="4860" w:type="dxa"/>
            <w:vAlign w:val="bottom"/>
          </w:tcPr>
          <w:p>
            <w:pPr>
              <w:spacing w:after="0"/>
              <w:rPr>
                <w:sz w:val="17"/>
                <w:szCs w:val="17"/>
                <w:color w:val="auto"/>
              </w:rPr>
            </w:pPr>
          </w:p>
        </w:tc>
        <w:tc>
          <w:tcPr>
            <w:tcW w:w="2320" w:type="dxa"/>
            <w:vAlign w:val="bottom"/>
            <w:gridSpan w:val="5"/>
          </w:tcPr>
          <w:p>
            <w:pPr>
              <w:jc w:val="right"/>
              <w:spacing w:after="0" w:line="205" w:lineRule="exact"/>
              <w:rPr>
                <w:sz w:val="20"/>
                <w:szCs w:val="20"/>
                <w:color w:val="auto"/>
              </w:rPr>
            </w:pPr>
            <w:r>
              <w:rPr>
                <w:rFonts w:ascii="Calibri" w:cs="Calibri" w:eastAsia="Calibri" w:hAnsi="Calibri"/>
                <w:sz w:val="20"/>
                <w:szCs w:val="20"/>
                <w:color w:val="auto"/>
              </w:rPr>
              <w:t>Three Months Ended</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4"/>
          </w:tcPr>
          <w:p>
            <w:pPr>
              <w:jc w:val="right"/>
              <w:ind w:right="641"/>
              <w:spacing w:after="0" w:line="205" w:lineRule="exact"/>
              <w:rPr>
                <w:sz w:val="20"/>
                <w:szCs w:val="20"/>
                <w:color w:val="auto"/>
              </w:rPr>
            </w:pPr>
            <w:r>
              <w:rPr>
                <w:rFonts w:ascii="Calibri" w:cs="Calibri" w:eastAsia="Calibri" w:hAnsi="Calibri"/>
                <w:sz w:val="20"/>
                <w:szCs w:val="20"/>
                <w:color w:val="auto"/>
              </w:rPr>
              <w:t>Nine Months Ended</w:t>
            </w:r>
          </w:p>
        </w:tc>
        <w:tc>
          <w:tcPr>
            <w:tcW w:w="100" w:type="dxa"/>
            <w:vAlign w:val="bottom"/>
          </w:tcPr>
          <w:p>
            <w:pPr>
              <w:spacing w:after="0"/>
              <w:rPr>
                <w:sz w:val="17"/>
                <w:szCs w:val="17"/>
                <w:color w:val="auto"/>
              </w:rPr>
            </w:pPr>
          </w:p>
        </w:tc>
      </w:tr>
      <w:tr>
        <w:trPr>
          <w:trHeight w:val="247"/>
        </w:trPr>
        <w:tc>
          <w:tcPr>
            <w:tcW w:w="4860" w:type="dxa"/>
            <w:vAlign w:val="bottom"/>
          </w:tcPr>
          <w:p>
            <w:pPr>
              <w:spacing w:after="0"/>
              <w:rPr>
                <w:sz w:val="21"/>
                <w:szCs w:val="21"/>
                <w:color w:val="auto"/>
              </w:rPr>
            </w:pPr>
          </w:p>
        </w:tc>
        <w:tc>
          <w:tcPr>
            <w:tcW w:w="2320" w:type="dxa"/>
            <w:vAlign w:val="bottom"/>
            <w:tcBorders>
              <w:bottom w:val="single" w:sz="8" w:color="auto"/>
            </w:tcBorders>
            <w:gridSpan w:val="5"/>
          </w:tcPr>
          <w:p>
            <w:pPr>
              <w:jc w:val="right"/>
              <w:ind w:right="161"/>
              <w:spacing w:after="0" w:line="234" w:lineRule="exact"/>
              <w:rPr>
                <w:sz w:val="20"/>
                <w:szCs w:val="20"/>
                <w:color w:val="auto"/>
              </w:rPr>
            </w:pPr>
            <w:r>
              <w:rPr>
                <w:rFonts w:ascii="Calibri" w:cs="Calibri" w:eastAsia="Calibri" w:hAnsi="Calibri"/>
                <w:sz w:val="20"/>
                <w:szCs w:val="20"/>
                <w:color w:val="auto"/>
              </w:rPr>
              <w:t>September 30,</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line="234" w:lineRule="exact"/>
              <w:rPr>
                <w:sz w:val="20"/>
                <w:szCs w:val="20"/>
                <w:color w:val="auto"/>
              </w:rPr>
            </w:pPr>
            <w:r>
              <w:rPr>
                <w:rFonts w:ascii="Calibri" w:cs="Calibri" w:eastAsia="Calibri" w:hAnsi="Calibri"/>
                <w:sz w:val="20"/>
                <w:szCs w:val="20"/>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860" w:type="dxa"/>
            <w:vAlign w:val="bottom"/>
          </w:tcPr>
          <w:p>
            <w:pPr>
              <w:spacing w:after="0"/>
              <w:rPr>
                <w:sz w:val="19"/>
                <w:szCs w:val="19"/>
                <w:color w:val="auto"/>
              </w:rPr>
            </w:pPr>
          </w:p>
        </w:tc>
        <w:tc>
          <w:tcPr>
            <w:tcW w:w="920" w:type="dxa"/>
            <w:vAlign w:val="bottom"/>
          </w:tcPr>
          <w:p>
            <w:pPr>
              <w:jc w:val="right"/>
              <w:spacing w:after="0" w:line="229" w:lineRule="exact"/>
              <w:rPr>
                <w:sz w:val="20"/>
                <w:szCs w:val="20"/>
                <w:color w:val="auto"/>
              </w:rPr>
            </w:pPr>
            <w:r>
              <w:rPr>
                <w:rFonts w:ascii="Calibri" w:cs="Calibri" w:eastAsia="Calibri" w:hAnsi="Calibri"/>
                <w:sz w:val="20"/>
                <w:szCs w:val="20"/>
                <w:color w:val="auto"/>
              </w:rPr>
              <w:t>2022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ind w:right="361"/>
              <w:spacing w:after="0" w:line="229" w:lineRule="exact"/>
              <w:rPr>
                <w:sz w:val="20"/>
                <w:szCs w:val="20"/>
                <w:color w:val="auto"/>
              </w:rPr>
            </w:pPr>
            <w:r>
              <w:rPr>
                <w:rFonts w:ascii="Calibri" w:cs="Calibri" w:eastAsia="Calibri" w:hAnsi="Calibri"/>
                <w:sz w:val="20"/>
                <w:szCs w:val="20"/>
                <w:color w:val="auto"/>
              </w:rPr>
              <w:t>2021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01"/>
              <w:spacing w:after="0" w:line="229" w:lineRule="exact"/>
              <w:rPr>
                <w:sz w:val="20"/>
                <w:szCs w:val="20"/>
                <w:color w:val="auto"/>
              </w:rPr>
            </w:pPr>
            <w:r>
              <w:rPr>
                <w:rFonts w:ascii="Calibri" w:cs="Calibri" w:eastAsia="Calibri" w:hAnsi="Calibri"/>
                <w:sz w:val="20"/>
                <w:szCs w:val="20"/>
                <w:color w:val="auto"/>
              </w:rPr>
              <w:t>2022</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21"/>
              <w:spacing w:after="0" w:line="229" w:lineRule="exact"/>
              <w:rPr>
                <w:sz w:val="20"/>
                <w:szCs w:val="20"/>
                <w:color w:val="auto"/>
              </w:rPr>
            </w:pPr>
            <w:r>
              <w:rPr>
                <w:rFonts w:ascii="Calibri" w:cs="Calibri" w:eastAsia="Calibri" w:hAnsi="Calibri"/>
                <w:sz w:val="20"/>
                <w:szCs w:val="20"/>
                <w:color w:val="auto"/>
                <w:w w:val="98"/>
              </w:rPr>
              <w:t>2021</w:t>
            </w:r>
          </w:p>
        </w:tc>
        <w:tc>
          <w:tcPr>
            <w:tcW w:w="100" w:type="dxa"/>
            <w:vAlign w:val="bottom"/>
          </w:tcPr>
          <w:p>
            <w:pPr>
              <w:spacing w:after="0"/>
              <w:rPr>
                <w:sz w:val="19"/>
                <w:szCs w:val="19"/>
                <w:color w:val="auto"/>
              </w:rPr>
            </w:pPr>
          </w:p>
        </w:tc>
      </w:tr>
      <w:tr>
        <w:trPr>
          <w:trHeight w:val="199"/>
        </w:trPr>
        <w:tc>
          <w:tcPr>
            <w:tcW w:w="48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9" w:lineRule="exact"/>
              <w:rPr>
                <w:sz w:val="20"/>
                <w:szCs w:val="20"/>
                <w:color w:val="auto"/>
              </w:rPr>
            </w:pPr>
            <w:r>
              <w:rPr>
                <w:rFonts w:ascii="Calibri" w:cs="Calibri" w:eastAsia="Calibri" w:hAnsi="Calibri"/>
                <w:sz w:val="20"/>
                <w:szCs w:val="20"/>
                <w:i w:val="1"/>
                <w:iCs w:val="1"/>
                <w:color w:val="auto"/>
                <w:w w:val="92"/>
              </w:rPr>
              <w:t>(Dollars</w:t>
            </w:r>
          </w:p>
        </w:tc>
        <w:tc>
          <w:tcPr>
            <w:tcW w:w="260" w:type="dxa"/>
            <w:vAlign w:val="bottom"/>
          </w:tcPr>
          <w:p>
            <w:pPr>
              <w:jc w:val="right"/>
              <w:spacing w:after="0" w:line="199" w:lineRule="exact"/>
              <w:rPr>
                <w:sz w:val="20"/>
                <w:szCs w:val="20"/>
                <w:color w:val="auto"/>
              </w:rPr>
            </w:pPr>
            <w:r>
              <w:rPr>
                <w:rFonts w:ascii="Calibri" w:cs="Calibri" w:eastAsia="Calibri" w:hAnsi="Calibri"/>
                <w:sz w:val="20"/>
                <w:szCs w:val="20"/>
                <w:i w:val="1"/>
                <w:iCs w:val="1"/>
                <w:color w:val="auto"/>
              </w:rPr>
              <w:t>in</w:t>
            </w:r>
          </w:p>
        </w:tc>
        <w:tc>
          <w:tcPr>
            <w:tcW w:w="1400" w:type="dxa"/>
            <w:vAlign w:val="bottom"/>
            <w:tcBorders>
              <w:top w:val="single" w:sz="8" w:color="auto"/>
            </w:tcBorders>
            <w:gridSpan w:val="2"/>
          </w:tcPr>
          <w:p>
            <w:pPr>
              <w:ind w:left="40"/>
              <w:spacing w:after="0" w:line="199" w:lineRule="exact"/>
              <w:rPr>
                <w:sz w:val="20"/>
                <w:szCs w:val="20"/>
                <w:color w:val="auto"/>
              </w:rPr>
            </w:pPr>
            <w:r>
              <w:rPr>
                <w:rFonts w:ascii="Calibri" w:cs="Calibri" w:eastAsia="Calibri" w:hAnsi="Calibri"/>
                <w:sz w:val="20"/>
                <w:szCs w:val="20"/>
                <w:i w:val="1"/>
                <w:iCs w:val="1"/>
                <w:color w:val="auto"/>
              </w:rPr>
              <w:t>Millions)</w:t>
            </w:r>
          </w:p>
        </w:tc>
        <w:tc>
          <w:tcPr>
            <w:tcW w:w="2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860" w:type="dxa"/>
            <w:vAlign w:val="bottom"/>
          </w:tcPr>
          <w:p>
            <w:pPr>
              <w:ind w:left="20"/>
              <w:spacing w:after="0" w:line="234" w:lineRule="exact"/>
              <w:rPr>
                <w:sz w:val="20"/>
                <w:szCs w:val="20"/>
                <w:color w:val="auto"/>
              </w:rPr>
            </w:pPr>
            <w:r>
              <w:rPr>
                <w:rFonts w:ascii="Calibri" w:cs="Calibri" w:eastAsia="Calibri" w:hAnsi="Calibri"/>
                <w:sz w:val="20"/>
                <w:szCs w:val="20"/>
                <w:color w:val="auto"/>
              </w:rPr>
              <w:t>Balance at beginning of period</w:t>
            </w:r>
          </w:p>
        </w:tc>
        <w:tc>
          <w:tcPr>
            <w:tcW w:w="920" w:type="dxa"/>
            <w:vAlign w:val="bottom"/>
          </w:tcPr>
          <w:p>
            <w:pPr>
              <w:jc w:val="right"/>
              <w:ind w:right="721"/>
              <w:spacing w:after="0" w:line="234" w:lineRule="exact"/>
              <w:rPr>
                <w:sz w:val="20"/>
                <w:szCs w:val="20"/>
                <w:color w:val="auto"/>
              </w:rPr>
            </w:pPr>
            <w:r>
              <w:rPr>
                <w:rFonts w:ascii="Calibri" w:cs="Calibri" w:eastAsia="Calibri" w:hAnsi="Calibri"/>
                <w:sz w:val="20"/>
                <w:szCs w:val="20"/>
                <w:color w:val="auto"/>
                <w:w w:val="78"/>
              </w:rPr>
              <w:t>$</w:t>
            </w:r>
          </w:p>
        </w:tc>
        <w:tc>
          <w:tcPr>
            <w:tcW w:w="420" w:type="dxa"/>
            <w:vAlign w:val="bottom"/>
          </w:tcPr>
          <w:p>
            <w:pPr>
              <w:jc w:val="right"/>
              <w:spacing w:after="0" w:line="234" w:lineRule="exact"/>
              <w:rPr>
                <w:sz w:val="20"/>
                <w:szCs w:val="20"/>
                <w:color w:val="auto"/>
              </w:rPr>
            </w:pPr>
            <w:r>
              <w:rPr>
                <w:rFonts w:ascii="Calibri" w:cs="Calibri" w:eastAsia="Calibri" w:hAnsi="Calibri"/>
                <w:sz w:val="20"/>
                <w:szCs w:val="20"/>
                <w:color w:val="auto"/>
              </w:rPr>
              <w:t>79.5</w:t>
            </w:r>
          </w:p>
        </w:tc>
        <w:tc>
          <w:tcPr>
            <w:tcW w:w="80" w:type="dxa"/>
            <w:vAlign w:val="bottom"/>
          </w:tcPr>
          <w:p>
            <w:pPr>
              <w:spacing w:after="0"/>
              <w:rPr>
                <w:sz w:val="21"/>
                <w:szCs w:val="21"/>
                <w:color w:val="auto"/>
              </w:rPr>
            </w:pPr>
          </w:p>
        </w:tc>
        <w:tc>
          <w:tcPr>
            <w:tcW w:w="900" w:type="dxa"/>
            <w:vAlign w:val="bottom"/>
            <w:gridSpan w:val="2"/>
          </w:tcPr>
          <w:p>
            <w:pPr>
              <w:jc w:val="right"/>
              <w:ind w:right="501"/>
              <w:spacing w:after="0" w:line="234" w:lineRule="exact"/>
              <w:rPr>
                <w:sz w:val="20"/>
                <w:szCs w:val="20"/>
                <w:color w:val="auto"/>
              </w:rPr>
            </w:pPr>
            <w:r>
              <w:rPr>
                <w:rFonts w:ascii="Calibri" w:cs="Calibri" w:eastAsia="Calibri" w:hAnsi="Calibri"/>
                <w:sz w:val="20"/>
                <w:szCs w:val="20"/>
                <w:color w:val="auto"/>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87.9</w:t>
            </w:r>
          </w:p>
        </w:tc>
        <w:tc>
          <w:tcPr>
            <w:tcW w:w="260" w:type="dxa"/>
            <w:vAlign w:val="bottom"/>
          </w:tcPr>
          <w:p>
            <w:pPr>
              <w:spacing w:after="0"/>
              <w:rPr>
                <w:sz w:val="21"/>
                <w:szCs w:val="21"/>
                <w:color w:val="auto"/>
              </w:rPr>
            </w:pPr>
          </w:p>
        </w:tc>
        <w:tc>
          <w:tcPr>
            <w:tcW w:w="30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69.7</w:t>
            </w:r>
          </w:p>
        </w:tc>
        <w:tc>
          <w:tcPr>
            <w:tcW w:w="260" w:type="dxa"/>
            <w:vAlign w:val="bottom"/>
          </w:tcPr>
          <w:p>
            <w:pPr>
              <w:spacing w:after="0"/>
              <w:rPr>
                <w:sz w:val="21"/>
                <w:szCs w:val="21"/>
                <w:color w:val="auto"/>
              </w:rPr>
            </w:pPr>
          </w:p>
        </w:tc>
        <w:tc>
          <w:tcPr>
            <w:tcW w:w="500" w:type="dxa"/>
            <w:vAlign w:val="bottom"/>
          </w:tcPr>
          <w:p>
            <w:pPr>
              <w:jc w:val="right"/>
              <w:ind w:right="281"/>
              <w:spacing w:after="0" w:line="234" w:lineRule="exact"/>
              <w:rPr>
                <w:sz w:val="20"/>
                <w:szCs w:val="20"/>
                <w:color w:val="auto"/>
              </w:rPr>
            </w:pPr>
            <w:r>
              <w:rPr>
                <w:rFonts w:ascii="Calibri" w:cs="Calibri" w:eastAsia="Calibri" w:hAnsi="Calibri"/>
                <w:sz w:val="20"/>
                <w:szCs w:val="20"/>
                <w:color w:val="auto"/>
                <w:w w:val="98"/>
              </w:rPr>
              <w:t>$</w:t>
            </w:r>
          </w:p>
        </w:tc>
        <w:tc>
          <w:tcPr>
            <w:tcW w:w="940" w:type="dxa"/>
            <w:vAlign w:val="bottom"/>
          </w:tcPr>
          <w:p>
            <w:pPr>
              <w:jc w:val="right"/>
              <w:spacing w:after="0" w:line="234" w:lineRule="exact"/>
              <w:rPr>
                <w:sz w:val="20"/>
                <w:szCs w:val="20"/>
                <w:color w:val="auto"/>
              </w:rPr>
            </w:pPr>
            <w:r>
              <w:rPr>
                <w:rFonts w:ascii="Calibri" w:cs="Calibri" w:eastAsia="Calibri" w:hAnsi="Calibri"/>
                <w:sz w:val="20"/>
                <w:szCs w:val="20"/>
                <w:color w:val="auto"/>
              </w:rPr>
              <w:t>89.4</w:t>
            </w:r>
          </w:p>
        </w:tc>
        <w:tc>
          <w:tcPr>
            <w:tcW w:w="100" w:type="dxa"/>
            <w:vAlign w:val="bottom"/>
          </w:tcPr>
          <w:p>
            <w:pPr>
              <w:spacing w:after="0"/>
              <w:rPr>
                <w:sz w:val="21"/>
                <w:szCs w:val="21"/>
                <w:color w:val="auto"/>
              </w:rPr>
            </w:pPr>
          </w:p>
        </w:tc>
      </w:tr>
      <w:tr>
        <w:trPr>
          <w:trHeight w:val="239"/>
        </w:trPr>
        <w:tc>
          <w:tcPr>
            <w:tcW w:w="486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Tax efect of other comprehensive (earnings) loss</w:t>
            </w:r>
          </w:p>
        </w:tc>
        <w:tc>
          <w:tcPr>
            <w:tcW w:w="9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0"/>
              <w:spacing w:after="0" w:line="240" w:lineRule="exact"/>
              <w:rPr>
                <w:sz w:val="20"/>
                <w:szCs w:val="20"/>
                <w:color w:val="auto"/>
              </w:rPr>
            </w:pPr>
            <w:r>
              <w:rPr>
                <w:rFonts w:ascii="Calibri" w:cs="Calibri" w:eastAsia="Calibri" w:hAnsi="Calibri"/>
                <w:sz w:val="20"/>
                <w:szCs w:val="20"/>
                <w:color w:val="auto"/>
              </w:rPr>
              <w:t>(1.6 )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81"/>
              <w:spacing w:after="0" w:line="240" w:lineRule="exact"/>
              <w:rPr>
                <w:sz w:val="20"/>
                <w:szCs w:val="20"/>
                <w:color w:val="auto"/>
              </w:rPr>
            </w:pPr>
            <w:r>
              <w:rPr>
                <w:rFonts w:ascii="Calibri" w:cs="Calibri" w:eastAsia="Calibri" w:hAnsi="Calibri"/>
                <w:sz w:val="20"/>
                <w:szCs w:val="20"/>
                <w:color w:val="auto"/>
              </w:rPr>
              <w:t>(0.8 )</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8.2</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line="240" w:lineRule="exact"/>
              <w:rPr>
                <w:sz w:val="20"/>
                <w:szCs w:val="20"/>
                <w:color w:val="auto"/>
              </w:rPr>
            </w:pPr>
            <w:r>
              <w:rPr>
                <w:rFonts w:ascii="Calibri" w:cs="Calibri" w:eastAsia="Calibri" w:hAnsi="Calibri"/>
                <w:sz w:val="20"/>
                <w:szCs w:val="20"/>
                <w:color w:val="auto"/>
              </w:rPr>
              <w:t>(2.3 )</w:t>
            </w:r>
          </w:p>
        </w:tc>
      </w:tr>
      <w:tr>
        <w:trPr>
          <w:trHeight w:val="223"/>
        </w:trPr>
        <w:tc>
          <w:tcPr>
            <w:tcW w:w="4860" w:type="dxa"/>
            <w:vAlign w:val="bottom"/>
            <w:tcBorders>
              <w:top w:val="single" w:sz="8" w:color="CFF0FC"/>
            </w:tcBorders>
          </w:tcPr>
          <w:p>
            <w:pPr>
              <w:ind w:left="20"/>
              <w:spacing w:after="0" w:line="223" w:lineRule="exact"/>
              <w:rPr>
                <w:sz w:val="20"/>
                <w:szCs w:val="20"/>
                <w:color w:val="auto"/>
              </w:rPr>
            </w:pPr>
            <w:r>
              <w:rPr>
                <w:rFonts w:ascii="Calibri" w:cs="Calibri" w:eastAsia="Calibri" w:hAnsi="Calibri"/>
                <w:sz w:val="20"/>
                <w:szCs w:val="20"/>
                <w:color w:val="auto"/>
              </w:rPr>
              <w:t>Balance at end of period</w:t>
            </w:r>
          </w:p>
        </w:tc>
        <w:tc>
          <w:tcPr>
            <w:tcW w:w="920" w:type="dxa"/>
            <w:vAlign w:val="bottom"/>
            <w:tcBorders>
              <w:top w:val="single" w:sz="8" w:color="auto"/>
              <w:bottom w:val="single" w:sz="8" w:color="auto"/>
            </w:tcBorders>
          </w:tcPr>
          <w:p>
            <w:pPr>
              <w:jc w:val="right"/>
              <w:ind w:right="721"/>
              <w:spacing w:after="0" w:line="223" w:lineRule="exact"/>
              <w:rPr>
                <w:sz w:val="20"/>
                <w:szCs w:val="20"/>
                <w:color w:val="auto"/>
              </w:rPr>
            </w:pPr>
            <w:r>
              <w:rPr>
                <w:rFonts w:ascii="Calibri" w:cs="Calibri" w:eastAsia="Calibri" w:hAnsi="Calibri"/>
                <w:sz w:val="20"/>
                <w:szCs w:val="20"/>
                <w:color w:val="auto"/>
                <w:w w:val="78"/>
              </w:rPr>
              <w:t>$</w:t>
            </w:r>
          </w:p>
        </w:tc>
        <w:tc>
          <w:tcPr>
            <w:tcW w:w="42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77.9</w:t>
            </w: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Calibri" w:cs="Calibri" w:eastAsia="Calibri" w:hAnsi="Calibri"/>
                <w:sz w:val="20"/>
                <w:szCs w:val="20"/>
                <w:color w:val="auto"/>
                <w:w w:val="98"/>
              </w:rPr>
              <w:t>$</w:t>
            </w:r>
          </w:p>
        </w:tc>
        <w:tc>
          <w:tcPr>
            <w:tcW w:w="60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87.1</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line="223" w:lineRule="exact"/>
              <w:rPr>
                <w:sz w:val="20"/>
                <w:szCs w:val="20"/>
                <w:color w:val="auto"/>
              </w:rPr>
            </w:pPr>
            <w:r>
              <w:rPr>
                <w:rFonts w:ascii="Calibri" w:cs="Calibri" w:eastAsia="Calibri" w:hAnsi="Calibri"/>
                <w:sz w:val="20"/>
                <w:szCs w:val="20"/>
                <w:color w:val="auto"/>
              </w:rPr>
              <w:t>$</w:t>
            </w: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77.9</w:t>
            </w:r>
          </w:p>
        </w:tc>
        <w:tc>
          <w:tcPr>
            <w:tcW w:w="260" w:type="dxa"/>
            <w:vAlign w:val="bottom"/>
            <w:tcBorders>
              <w:top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281"/>
              <w:spacing w:after="0" w:line="223" w:lineRule="exact"/>
              <w:rPr>
                <w:sz w:val="20"/>
                <w:szCs w:val="20"/>
                <w:color w:val="auto"/>
              </w:rPr>
            </w:pPr>
            <w:r>
              <w:rPr>
                <w:rFonts w:ascii="Calibri" w:cs="Calibri" w:eastAsia="Calibri" w:hAnsi="Calibri"/>
                <w:sz w:val="20"/>
                <w:szCs w:val="20"/>
                <w:color w:val="auto"/>
                <w:w w:val="98"/>
              </w:rPr>
              <w:t>$</w:t>
            </w:r>
          </w:p>
        </w:tc>
        <w:tc>
          <w:tcPr>
            <w:tcW w:w="94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87.1</w:t>
            </w:r>
          </w:p>
        </w:tc>
        <w:tc>
          <w:tcPr>
            <w:tcW w:w="100" w:type="dxa"/>
            <w:vAlign w:val="bottom"/>
            <w:tcBorders>
              <w:top w:val="single" w:sz="8" w:color="CFF0FC"/>
            </w:tcBorders>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-179070</wp:posOffset>
            </wp:positionV>
            <wp:extent cx="7747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6858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-179070</wp:posOffset>
            </wp:positionV>
            <wp:extent cx="6858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08"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Reclassifcatons out of accumulated other comprehensive loss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5"/>
          </w:tcPr>
          <w:p>
            <w:pPr>
              <w:jc w:val="right"/>
              <w:ind w:right="467"/>
              <w:spacing w:after="0"/>
              <w:rPr>
                <w:sz w:val="20"/>
                <w:szCs w:val="20"/>
                <w:color w:val="auto"/>
              </w:rPr>
            </w:pPr>
            <w:r>
              <w:rPr>
                <w:rFonts w:ascii="Calibri" w:cs="Calibri" w:eastAsia="Calibri" w:hAnsi="Calibri"/>
                <w:sz w:val="19"/>
                <w:szCs w:val="19"/>
                <w:color w:val="auto"/>
              </w:rPr>
              <w:t>Three Months Ended</w:t>
            </w:r>
          </w:p>
        </w:tc>
        <w:tc>
          <w:tcPr>
            <w:tcW w:w="2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Calibri" w:cs="Calibri" w:eastAsia="Calibri" w:hAnsi="Calibri"/>
                <w:sz w:val="19"/>
                <w:szCs w:val="19"/>
                <w:color w:val="auto"/>
              </w:rPr>
              <w:t>Nine Months Ended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jc w:val="center"/>
              <w:ind w:left="46"/>
              <w:spacing w:after="0"/>
              <w:rPr>
                <w:sz w:val="20"/>
                <w:szCs w:val="20"/>
                <w:color w:val="auto"/>
              </w:rPr>
            </w:pPr>
            <w:r>
              <w:rPr>
                <w:rFonts w:ascii="Calibri" w:cs="Calibri" w:eastAsia="Calibri" w:hAnsi="Calibri"/>
                <w:sz w:val="19"/>
                <w:szCs w:val="19"/>
                <w:color w:val="auto"/>
              </w:rPr>
              <w:t>Afected line items in the</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5"/>
          </w:tcPr>
          <w:p>
            <w:pPr>
              <w:jc w:val="right"/>
              <w:ind w:right="707"/>
              <w:spacing w:after="0" w:line="230" w:lineRule="exact"/>
              <w:rPr>
                <w:sz w:val="20"/>
                <w:szCs w:val="20"/>
                <w:color w:val="auto"/>
              </w:rPr>
            </w:pPr>
            <w:r>
              <w:rPr>
                <w:rFonts w:ascii="Calibri" w:cs="Calibri" w:eastAsia="Calibri" w:hAnsi="Calibri"/>
                <w:sz w:val="19"/>
                <w:szCs w:val="19"/>
                <w:color w:val="auto"/>
              </w:rPr>
              <w:t>September 30,</w:t>
            </w:r>
          </w:p>
        </w:tc>
        <w:tc>
          <w:tcPr>
            <w:tcW w:w="200" w:type="dxa"/>
            <w:vAlign w:val="bottom"/>
          </w:tcPr>
          <w:p>
            <w:pPr>
              <w:spacing w:after="0"/>
              <w:rPr>
                <w:sz w:val="21"/>
                <w:szCs w:val="21"/>
                <w:color w:val="auto"/>
              </w:rPr>
            </w:pPr>
          </w:p>
        </w:tc>
        <w:tc>
          <w:tcPr>
            <w:tcW w:w="1640" w:type="dxa"/>
            <w:vAlign w:val="bottom"/>
            <w:gridSpan w:val="3"/>
          </w:tcPr>
          <w:p>
            <w:pPr>
              <w:jc w:val="right"/>
              <w:ind w:right="106"/>
              <w:spacing w:after="0" w:line="230" w:lineRule="exact"/>
              <w:rPr>
                <w:sz w:val="20"/>
                <w:szCs w:val="20"/>
                <w:color w:val="auto"/>
              </w:rPr>
            </w:pPr>
            <w:r>
              <w:rPr>
                <w:rFonts w:ascii="Calibri" w:cs="Calibri" w:eastAsia="Calibri" w:hAnsi="Calibri"/>
                <w:sz w:val="19"/>
                <w:szCs w:val="19"/>
                <w:color w:val="auto"/>
              </w:rPr>
              <w:t>September 30,</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00" w:type="dxa"/>
            <w:vAlign w:val="bottom"/>
          </w:tcPr>
          <w:p>
            <w:pPr>
              <w:jc w:val="center"/>
              <w:ind w:left="26"/>
              <w:spacing w:after="0"/>
              <w:rPr>
                <w:sz w:val="20"/>
                <w:szCs w:val="20"/>
                <w:color w:val="auto"/>
              </w:rPr>
            </w:pPr>
            <w:r>
              <w:rPr>
                <w:rFonts w:ascii="Calibri" w:cs="Calibri" w:eastAsia="Calibri" w:hAnsi="Calibri"/>
                <w:sz w:val="19"/>
                <w:szCs w:val="19"/>
                <w:color w:val="auto"/>
                <w:w w:val="99"/>
              </w:rPr>
              <w:t>consolidated statements of earnings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500" w:type="dxa"/>
            <w:vAlign w:val="bottom"/>
            <w:vMerge w:val="restart"/>
          </w:tcPr>
          <w:p>
            <w:pPr>
              <w:jc w:val="center"/>
              <w:ind w:left="46"/>
              <w:spacing w:after="0" w:line="230" w:lineRule="exact"/>
              <w:rPr>
                <w:sz w:val="20"/>
                <w:szCs w:val="20"/>
                <w:color w:val="auto"/>
              </w:rPr>
            </w:pPr>
            <w:r>
              <w:rPr>
                <w:rFonts w:ascii="Calibri" w:cs="Calibri" w:eastAsia="Calibri" w:hAnsi="Calibri"/>
                <w:sz w:val="19"/>
                <w:szCs w:val="19"/>
                <w:color w:val="auto"/>
                <w:w w:val="99"/>
              </w:rPr>
              <w:t>and comprehensive earnings</w:t>
            </w:r>
          </w:p>
        </w:tc>
        <w:tc>
          <w:tcPr>
            <w:tcW w:w="0" w:type="dxa"/>
            <w:vAlign w:val="bottom"/>
          </w:tcPr>
          <w:p>
            <w:pPr>
              <w:spacing w:after="0"/>
              <w:rPr>
                <w:sz w:val="1"/>
                <w:szCs w:val="1"/>
                <w:color w:val="auto"/>
              </w:rPr>
            </w:pPr>
          </w:p>
        </w:tc>
      </w:tr>
      <w:tr>
        <w:trPr>
          <w:trHeight w:val="219"/>
        </w:trPr>
        <w:tc>
          <w:tcPr>
            <w:tcW w:w="3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6"/>
              <w:spacing w:after="0" w:line="219" w:lineRule="exact"/>
              <w:rPr>
                <w:sz w:val="20"/>
                <w:szCs w:val="20"/>
                <w:color w:val="auto"/>
              </w:rPr>
            </w:pPr>
            <w:r>
              <w:rPr>
                <w:rFonts w:ascii="Calibri" w:cs="Calibri" w:eastAsia="Calibri" w:hAnsi="Calibri"/>
                <w:sz w:val="19"/>
                <w:szCs w:val="19"/>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6"/>
              <w:spacing w:after="0" w:line="219" w:lineRule="exact"/>
              <w:rPr>
                <w:sz w:val="20"/>
                <w:szCs w:val="20"/>
                <w:color w:val="auto"/>
              </w:rPr>
            </w:pPr>
            <w:r>
              <w:rPr>
                <w:rFonts w:ascii="Calibri" w:cs="Calibri" w:eastAsia="Calibri" w:hAnsi="Calibri"/>
                <w:sz w:val="19"/>
                <w:szCs w:val="19"/>
                <w:color w:val="auto"/>
              </w:rPr>
              <w:t>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6"/>
              <w:spacing w:after="0" w:line="219" w:lineRule="exact"/>
              <w:rPr>
                <w:sz w:val="20"/>
                <w:szCs w:val="20"/>
                <w:color w:val="auto"/>
              </w:rPr>
            </w:pPr>
            <w:r>
              <w:rPr>
                <w:rFonts w:ascii="Calibri" w:cs="Calibri" w:eastAsia="Calibri" w:hAnsi="Calibri"/>
                <w:sz w:val="19"/>
                <w:szCs w:val="19"/>
                <w:color w:val="auto"/>
              </w:rPr>
              <w:t>2022</w:t>
            </w:r>
          </w:p>
        </w:tc>
        <w:tc>
          <w:tcPr>
            <w:tcW w:w="24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206"/>
              <w:spacing w:after="0" w:line="219" w:lineRule="exact"/>
              <w:rPr>
                <w:sz w:val="20"/>
                <w:szCs w:val="20"/>
                <w:color w:val="auto"/>
              </w:rPr>
            </w:pPr>
            <w:r>
              <w:rPr>
                <w:rFonts w:ascii="Calibri" w:cs="Calibri" w:eastAsia="Calibri" w:hAnsi="Calibri"/>
                <w:sz w:val="19"/>
                <w:szCs w:val="19"/>
                <w:color w:val="auto"/>
              </w:rPr>
              <w:t>2021</w:t>
            </w:r>
          </w:p>
        </w:tc>
        <w:tc>
          <w:tcPr>
            <w:tcW w:w="100" w:type="dxa"/>
            <w:vAlign w:val="bottom"/>
            <w:vMerge w:val="continue"/>
          </w:tcPr>
          <w:p>
            <w:pPr>
              <w:spacing w:after="0"/>
              <w:rPr>
                <w:sz w:val="19"/>
                <w:szCs w:val="19"/>
                <w:color w:val="auto"/>
              </w:rPr>
            </w:pPr>
          </w:p>
        </w:tc>
        <w:tc>
          <w:tcPr>
            <w:tcW w:w="3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Calibri" w:cs="Calibri" w:eastAsia="Calibri" w:hAnsi="Calibri"/>
                <w:sz w:val="19"/>
                <w:szCs w:val="19"/>
                <w:i w:val="1"/>
                <w:iCs w:val="1"/>
                <w:color w:val="auto"/>
              </w:rPr>
              <w:t>(Dollars</w:t>
            </w:r>
          </w:p>
        </w:tc>
        <w:tc>
          <w:tcPr>
            <w:tcW w:w="220" w:type="dxa"/>
            <w:vAlign w:val="bottom"/>
          </w:tcPr>
          <w:p>
            <w:pPr>
              <w:jc w:val="right"/>
              <w:ind w:right="47"/>
              <w:spacing w:after="0"/>
              <w:rPr>
                <w:sz w:val="20"/>
                <w:szCs w:val="20"/>
                <w:color w:val="auto"/>
              </w:rPr>
            </w:pPr>
            <w:r>
              <w:rPr>
                <w:rFonts w:ascii="Calibri" w:cs="Calibri" w:eastAsia="Calibri" w:hAnsi="Calibri"/>
                <w:sz w:val="15"/>
                <w:szCs w:val="15"/>
                <w:i w:val="1"/>
                <w:iCs w:val="1"/>
                <w:color w:val="auto"/>
                <w:w w:val="71"/>
              </w:rPr>
              <w:t>in</w:t>
            </w:r>
          </w:p>
        </w:tc>
        <w:tc>
          <w:tcPr>
            <w:tcW w:w="960" w:type="dxa"/>
            <w:vAlign w:val="bottom"/>
            <w:gridSpan w:val="2"/>
          </w:tcPr>
          <w:p>
            <w:pPr>
              <w:spacing w:after="0" w:line="225" w:lineRule="exact"/>
              <w:rPr>
                <w:sz w:val="20"/>
                <w:szCs w:val="20"/>
                <w:color w:val="auto"/>
              </w:rPr>
            </w:pPr>
            <w:r>
              <w:rPr>
                <w:rFonts w:ascii="Calibri" w:cs="Calibri" w:eastAsia="Calibri" w:hAnsi="Calibri"/>
                <w:sz w:val="19"/>
                <w:szCs w:val="19"/>
                <w:i w:val="1"/>
                <w:iCs w:val="1"/>
                <w:color w:val="auto"/>
              </w:rPr>
              <w:t>Millions)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040" w:type="dxa"/>
            <w:vAlign w:val="bottom"/>
            <w:shd w:val="clear" w:color="auto" w:fill="CFF0FC"/>
          </w:tcPr>
          <w:p>
            <w:pPr>
              <w:ind w:left="20"/>
              <w:spacing w:after="0" w:line="174" w:lineRule="exact"/>
              <w:rPr>
                <w:sz w:val="20"/>
                <w:szCs w:val="20"/>
                <w:color w:val="auto"/>
              </w:rPr>
            </w:pPr>
            <w:r>
              <w:rPr>
                <w:rFonts w:ascii="Calibri" w:cs="Calibri" w:eastAsia="Calibri" w:hAnsi="Calibri"/>
                <w:sz w:val="18"/>
                <w:szCs w:val="18"/>
                <w:color w:val="auto"/>
              </w:rPr>
              <w:t>Pension and postretrement</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40" w:type="dxa"/>
            <w:vAlign w:val="bottom"/>
            <w:tcBorders>
              <w:bottom w:val="single" w:sz="8" w:color="CFF0FC"/>
            </w:tcBorders>
            <w:shd w:val="clear" w:color="auto" w:fill="CFF0FC"/>
          </w:tcPr>
          <w:p>
            <w:pPr>
              <w:ind w:left="140"/>
              <w:spacing w:after="0" w:line="226" w:lineRule="exact"/>
              <w:rPr>
                <w:sz w:val="20"/>
                <w:szCs w:val="20"/>
                <w:color w:val="auto"/>
              </w:rPr>
            </w:pPr>
            <w:r>
              <w:rPr>
                <w:rFonts w:ascii="Calibri" w:cs="Calibri" w:eastAsia="Calibri" w:hAnsi="Calibri"/>
                <w:sz w:val="19"/>
                <w:szCs w:val="19"/>
                <w:color w:val="auto"/>
              </w:rPr>
              <w:t>beneft plans</w:t>
            </w: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40" w:type="dxa"/>
            <w:vAlign w:val="bottom"/>
          </w:tcPr>
          <w:p>
            <w:pPr>
              <w:ind w:left="200"/>
              <w:spacing w:after="0" w:line="226" w:lineRule="exact"/>
              <w:rPr>
                <w:sz w:val="20"/>
                <w:szCs w:val="20"/>
                <w:color w:val="auto"/>
              </w:rPr>
            </w:pPr>
            <w:r>
              <w:rPr>
                <w:rFonts w:ascii="Calibri" w:cs="Calibri" w:eastAsia="Calibri" w:hAnsi="Calibri"/>
                <w:sz w:val="19"/>
                <w:szCs w:val="19"/>
                <w:color w:val="auto"/>
              </w:rPr>
              <w:t>Setlement charge</w:t>
            </w:r>
          </w:p>
        </w:tc>
        <w:tc>
          <w:tcPr>
            <w:tcW w:w="200" w:type="dxa"/>
            <w:vAlign w:val="bottom"/>
          </w:tcPr>
          <w:p>
            <w:pPr>
              <w:jc w:val="right"/>
              <w:ind w:right="6"/>
              <w:spacing w:after="0" w:line="226" w:lineRule="exact"/>
              <w:rPr>
                <w:sz w:val="20"/>
                <w:szCs w:val="20"/>
                <w:color w:val="auto"/>
              </w:rPr>
            </w:pPr>
            <w:r>
              <w:rPr>
                <w:rFonts w:ascii="Calibri" w:cs="Calibri" w:eastAsia="Calibri" w:hAnsi="Calibri"/>
                <w:sz w:val="19"/>
                <w:szCs w:val="19"/>
                <w:color w:val="auto"/>
                <w:w w:val="82"/>
              </w:rPr>
              <w:t>$</w:t>
            </w:r>
          </w:p>
        </w:tc>
        <w:tc>
          <w:tcPr>
            <w:tcW w:w="780" w:type="dxa"/>
            <w:vAlign w:val="bottom"/>
          </w:tcPr>
          <w:p>
            <w:pPr>
              <w:jc w:val="right"/>
              <w:spacing w:after="0" w:line="226" w:lineRule="exact"/>
              <w:rPr>
                <w:sz w:val="20"/>
                <w:szCs w:val="20"/>
                <w:color w:val="auto"/>
              </w:rPr>
            </w:pPr>
            <w:r>
              <w:rPr>
                <w:rFonts w:ascii="Calibri" w:cs="Calibri" w:eastAsia="Calibri" w:hAnsi="Calibri"/>
                <w:sz w:val="19"/>
                <w:szCs w:val="19"/>
                <w:color w:val="auto"/>
              </w:rPr>
              <w:t>4.5</w:t>
            </w:r>
          </w:p>
        </w:tc>
        <w:tc>
          <w:tcPr>
            <w:tcW w:w="260" w:type="dxa"/>
            <w:vAlign w:val="bottom"/>
          </w:tcPr>
          <w:p>
            <w:pPr>
              <w:spacing w:after="0"/>
              <w:rPr>
                <w:sz w:val="19"/>
                <w:szCs w:val="19"/>
                <w:color w:val="auto"/>
              </w:rPr>
            </w:pPr>
          </w:p>
        </w:tc>
        <w:tc>
          <w:tcPr>
            <w:tcW w:w="200" w:type="dxa"/>
            <w:vAlign w:val="bottom"/>
          </w:tcPr>
          <w:p>
            <w:pPr>
              <w:jc w:val="right"/>
              <w:ind w:right="6"/>
              <w:spacing w:after="0" w:line="226" w:lineRule="exact"/>
              <w:rPr>
                <w:sz w:val="20"/>
                <w:szCs w:val="20"/>
                <w:color w:val="auto"/>
              </w:rPr>
            </w:pPr>
            <w:r>
              <w:rPr>
                <w:rFonts w:ascii="Calibri" w:cs="Calibri" w:eastAsia="Calibri" w:hAnsi="Calibri"/>
                <w:sz w:val="19"/>
                <w:szCs w:val="19"/>
                <w:color w:val="auto"/>
                <w:w w:val="82"/>
              </w:rPr>
              <w:t>$</w:t>
            </w:r>
          </w:p>
        </w:tc>
        <w:tc>
          <w:tcPr>
            <w:tcW w:w="1000" w:type="dxa"/>
            <w:vAlign w:val="bottom"/>
            <w:gridSpan w:val="2"/>
          </w:tcPr>
          <w:p>
            <w:pPr>
              <w:jc w:val="right"/>
              <w:ind w:right="167"/>
              <w:spacing w:after="0" w:line="226" w:lineRule="exact"/>
              <w:rPr>
                <w:sz w:val="20"/>
                <w:szCs w:val="20"/>
                <w:color w:val="auto"/>
              </w:rPr>
            </w:pPr>
            <w:r>
              <w:rPr>
                <w:rFonts w:ascii="Calibri" w:cs="Calibri" w:eastAsia="Calibri" w:hAnsi="Calibri"/>
                <w:sz w:val="19"/>
                <w:szCs w:val="19"/>
                <w:color w:val="auto"/>
              </w:rPr>
              <w:t>—</w:t>
            </w:r>
          </w:p>
        </w:tc>
        <w:tc>
          <w:tcPr>
            <w:tcW w:w="200" w:type="dxa"/>
            <w:vAlign w:val="bottom"/>
          </w:tcPr>
          <w:p>
            <w:pPr>
              <w:ind w:left="20"/>
              <w:spacing w:after="0" w:line="226" w:lineRule="exact"/>
              <w:rPr>
                <w:sz w:val="20"/>
                <w:szCs w:val="20"/>
                <w:color w:val="auto"/>
              </w:rPr>
            </w:pPr>
            <w:r>
              <w:rPr>
                <w:rFonts w:ascii="Calibri" w:cs="Calibri" w:eastAsia="Calibri" w:hAnsi="Calibri"/>
                <w:sz w:val="19"/>
                <w:szCs w:val="19"/>
                <w:color w:val="auto"/>
              </w:rPr>
              <w:t>$</w:t>
            </w:r>
          </w:p>
        </w:tc>
        <w:tc>
          <w:tcPr>
            <w:tcW w:w="760" w:type="dxa"/>
            <w:vAlign w:val="bottom"/>
          </w:tcPr>
          <w:p>
            <w:pPr>
              <w:jc w:val="right"/>
              <w:spacing w:after="0" w:line="226" w:lineRule="exact"/>
              <w:rPr>
                <w:sz w:val="20"/>
                <w:szCs w:val="20"/>
                <w:color w:val="auto"/>
              </w:rPr>
            </w:pPr>
            <w:r>
              <w:rPr>
                <w:rFonts w:ascii="Calibri" w:cs="Calibri" w:eastAsia="Calibri" w:hAnsi="Calibri"/>
                <w:sz w:val="19"/>
                <w:szCs w:val="19"/>
                <w:color w:val="auto"/>
              </w:rPr>
              <w:t>4.5</w:t>
            </w:r>
          </w:p>
        </w:tc>
        <w:tc>
          <w:tcPr>
            <w:tcW w:w="240" w:type="dxa"/>
            <w:vAlign w:val="bottom"/>
          </w:tcPr>
          <w:p>
            <w:pPr>
              <w:spacing w:after="0"/>
              <w:rPr>
                <w:sz w:val="19"/>
                <w:szCs w:val="19"/>
                <w:color w:val="auto"/>
              </w:rPr>
            </w:pPr>
          </w:p>
        </w:tc>
        <w:tc>
          <w:tcPr>
            <w:tcW w:w="640" w:type="dxa"/>
            <w:vAlign w:val="bottom"/>
          </w:tcPr>
          <w:p>
            <w:pPr>
              <w:jc w:val="right"/>
              <w:ind w:right="446"/>
              <w:spacing w:after="0" w:line="226" w:lineRule="exact"/>
              <w:rPr>
                <w:sz w:val="20"/>
                <w:szCs w:val="20"/>
                <w:color w:val="auto"/>
              </w:rPr>
            </w:pPr>
            <w:r>
              <w:rPr>
                <w:rFonts w:ascii="Calibri" w:cs="Calibri" w:eastAsia="Calibri" w:hAnsi="Calibri"/>
                <w:sz w:val="19"/>
                <w:szCs w:val="19"/>
                <w:color w:val="auto"/>
                <w:w w:val="82"/>
              </w:rPr>
              <w:t>$</w:t>
            </w:r>
          </w:p>
        </w:tc>
        <w:tc>
          <w:tcPr>
            <w:tcW w:w="420" w:type="dxa"/>
            <w:vAlign w:val="bottom"/>
            <w:gridSpan w:val="2"/>
          </w:tcPr>
          <w:p>
            <w:pPr>
              <w:jc w:val="right"/>
              <w:ind w:right="120"/>
              <w:spacing w:after="0" w:line="226" w:lineRule="exact"/>
              <w:rPr>
                <w:sz w:val="20"/>
                <w:szCs w:val="20"/>
                <w:color w:val="auto"/>
              </w:rPr>
            </w:pPr>
            <w:r>
              <w:rPr>
                <w:rFonts w:ascii="Calibri" w:cs="Calibri" w:eastAsia="Calibri" w:hAnsi="Calibri"/>
                <w:sz w:val="19"/>
                <w:szCs w:val="19"/>
                <w:color w:val="auto"/>
              </w:rPr>
              <w: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040" w:type="dxa"/>
            <w:vAlign w:val="bottom"/>
            <w:shd w:val="clear" w:color="auto" w:fill="CFF0FC"/>
          </w:tcPr>
          <w:p>
            <w:pPr>
              <w:ind w:left="200"/>
              <w:spacing w:after="0"/>
              <w:rPr>
                <w:sz w:val="20"/>
                <w:szCs w:val="20"/>
                <w:color w:val="auto"/>
              </w:rPr>
            </w:pPr>
            <w:r>
              <w:rPr>
                <w:rFonts w:ascii="Calibri" w:cs="Calibri" w:eastAsia="Calibri" w:hAnsi="Calibri"/>
                <w:sz w:val="19"/>
                <w:szCs w:val="19"/>
                <w:color w:val="auto"/>
              </w:rPr>
              <w:t>Amortzaton of:</w:t>
            </w:r>
          </w:p>
        </w:tc>
        <w:tc>
          <w:tcPr>
            <w:tcW w:w="20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5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spacing w:after="0"/>
              <w:rPr>
                <w:sz w:val="11"/>
                <w:szCs w:val="11"/>
                <w:color w:val="auto"/>
              </w:rPr>
            </w:pPr>
          </w:p>
        </w:tc>
        <w:tc>
          <w:tcPr>
            <w:tcW w:w="3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3040" w:type="dxa"/>
            <w:vAlign w:val="bottom"/>
          </w:tcPr>
          <w:p>
            <w:pPr>
              <w:ind w:left="380"/>
              <w:spacing w:after="0"/>
              <w:rPr>
                <w:sz w:val="20"/>
                <w:szCs w:val="20"/>
                <w:color w:val="auto"/>
              </w:rPr>
            </w:pPr>
            <w:r>
              <w:rPr>
                <w:rFonts w:ascii="Calibri" w:cs="Calibri" w:eastAsia="Calibri" w:hAnsi="Calibri"/>
                <w:sz w:val="19"/>
                <w:szCs w:val="19"/>
                <w:color w:val="auto"/>
              </w:rPr>
              <w:t>Prior service cost</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alibri" w:cs="Calibri" w:eastAsia="Calibri" w:hAnsi="Calibri"/>
                <w:sz w:val="19"/>
                <w:szCs w:val="19"/>
                <w:color w:val="auto"/>
              </w:rPr>
              <w:t>1.1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67"/>
              <w:spacing w:after="0"/>
              <w:rPr>
                <w:sz w:val="20"/>
                <w:szCs w:val="20"/>
                <w:color w:val="auto"/>
              </w:rPr>
            </w:pPr>
            <w:r>
              <w:rPr>
                <w:rFonts w:ascii="Calibri" w:cs="Calibri" w:eastAsia="Calibri" w:hAnsi="Calibri"/>
                <w:sz w:val="19"/>
                <w:szCs w:val="19"/>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alibri" w:cs="Calibri" w:eastAsia="Calibri" w:hAnsi="Calibri"/>
                <w:sz w:val="19"/>
                <w:szCs w:val="19"/>
                <w:color w:val="auto"/>
              </w:rPr>
              <w:t>3.2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040" w:type="dxa"/>
            <w:vAlign w:val="bottom"/>
            <w:vMerge w:val="restart"/>
            <w:shd w:val="clear" w:color="auto" w:fill="CFF0FC"/>
          </w:tcPr>
          <w:p>
            <w:pPr>
              <w:ind w:left="380"/>
              <w:spacing w:after="0"/>
              <w:rPr>
                <w:sz w:val="20"/>
                <w:szCs w:val="20"/>
                <w:color w:val="auto"/>
              </w:rPr>
            </w:pPr>
            <w:r>
              <w:rPr>
                <w:rFonts w:ascii="Calibri" w:cs="Calibri" w:eastAsia="Calibri" w:hAnsi="Calibri"/>
                <w:sz w:val="19"/>
                <w:szCs w:val="19"/>
                <w:color w:val="auto"/>
              </w:rPr>
              <w:t>Actuarial loss</w:t>
            </w:r>
          </w:p>
        </w:tc>
        <w:tc>
          <w:tcPr>
            <w:tcW w:w="2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9"/>
                <w:szCs w:val="19"/>
                <w:color w:val="auto"/>
              </w:rPr>
              <w:t>0.9</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9"/>
                <w:szCs w:val="19"/>
                <w:color w:val="auto"/>
              </w:rPr>
              <w:t>3.0</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9"/>
                <w:szCs w:val="19"/>
                <w:color w:val="auto"/>
              </w:rPr>
              <w:t>2.8</w:t>
            </w:r>
          </w:p>
        </w:tc>
        <w:tc>
          <w:tcPr>
            <w:tcW w:w="24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c>
          <w:tcPr>
            <w:tcW w:w="320" w:type="dxa"/>
            <w:vAlign w:val="bottom"/>
            <w:shd w:val="clear" w:color="auto" w:fill="CFF0FC"/>
          </w:tcPr>
          <w:p>
            <w:pPr>
              <w:jc w:val="right"/>
              <w:spacing w:after="0"/>
              <w:rPr>
                <w:sz w:val="20"/>
                <w:szCs w:val="20"/>
                <w:color w:val="auto"/>
              </w:rPr>
            </w:pPr>
            <w:r>
              <w:rPr>
                <w:rFonts w:ascii="Calibri" w:cs="Calibri" w:eastAsia="Calibri" w:hAnsi="Calibri"/>
                <w:sz w:val="19"/>
                <w:szCs w:val="19"/>
                <w:color w:val="auto"/>
              </w:rPr>
              <w:t>9.1</w:t>
            </w:r>
          </w:p>
        </w:tc>
        <w:tc>
          <w:tcPr>
            <w:tcW w:w="100" w:type="dxa"/>
            <w:vAlign w:val="bottom"/>
            <w:shd w:val="clear" w:color="auto" w:fill="CFF0FC"/>
          </w:tcPr>
          <w:p>
            <w:pPr>
              <w:spacing w:after="0"/>
              <w:rPr>
                <w:sz w:val="23"/>
                <w:szCs w:val="23"/>
                <w:color w:val="auto"/>
              </w:rPr>
            </w:pPr>
          </w:p>
        </w:tc>
        <w:tc>
          <w:tcPr>
            <w:tcW w:w="35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3040" w:type="dxa"/>
            <w:vAlign w:val="bottom"/>
            <w:tcBorders>
              <w:bottom w:val="single" w:sz="8" w:color="CFF0FC"/>
            </w:tcBorders>
            <w:vMerge w:val="continue"/>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5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0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line="221" w:lineRule="exact"/>
              <w:rPr>
                <w:sz w:val="20"/>
                <w:szCs w:val="20"/>
                <w:color w:val="auto"/>
              </w:rPr>
            </w:pPr>
            <w:r>
              <w:rPr>
                <w:rFonts w:ascii="Calibri" w:cs="Calibri" w:eastAsia="Calibri" w:hAnsi="Calibri"/>
                <w:sz w:val="19"/>
                <w:szCs w:val="19"/>
                <w:color w:val="auto"/>
              </w:rPr>
              <w:t>6.5</w:t>
            </w: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line="221" w:lineRule="exact"/>
              <w:rPr>
                <w:sz w:val="20"/>
                <w:szCs w:val="20"/>
                <w:color w:val="auto"/>
              </w:rPr>
            </w:pPr>
            <w:r>
              <w:rPr>
                <w:rFonts w:ascii="Calibri" w:cs="Calibri" w:eastAsia="Calibri" w:hAnsi="Calibri"/>
                <w:sz w:val="19"/>
                <w:szCs w:val="19"/>
                <w:color w:val="auto"/>
              </w:rPr>
              <w:t>3.0</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1" w:lineRule="exact"/>
              <w:rPr>
                <w:sz w:val="20"/>
                <w:szCs w:val="20"/>
                <w:color w:val="auto"/>
              </w:rPr>
            </w:pPr>
            <w:r>
              <w:rPr>
                <w:rFonts w:ascii="Calibri" w:cs="Calibri" w:eastAsia="Calibri" w:hAnsi="Calibri"/>
                <w:sz w:val="19"/>
                <w:szCs w:val="19"/>
                <w:color w:val="auto"/>
              </w:rPr>
              <w:t>10.5</w:t>
            </w:r>
          </w:p>
        </w:tc>
        <w:tc>
          <w:tcPr>
            <w:tcW w:w="240" w:type="dxa"/>
            <w:vAlign w:val="bottom"/>
            <w:tcBorders>
              <w:top w:val="single" w:sz="8" w:color="CFF0FC"/>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line="221" w:lineRule="exact"/>
              <w:rPr>
                <w:sz w:val="20"/>
                <w:szCs w:val="20"/>
                <w:color w:val="auto"/>
              </w:rPr>
            </w:pPr>
            <w:r>
              <w:rPr>
                <w:rFonts w:ascii="Calibri" w:cs="Calibri" w:eastAsia="Calibri" w:hAnsi="Calibri"/>
                <w:sz w:val="19"/>
                <w:szCs w:val="19"/>
                <w:color w:val="auto"/>
              </w:rPr>
              <w:t>9.1</w:t>
            </w:r>
          </w:p>
        </w:tc>
        <w:tc>
          <w:tcPr>
            <w:tcW w:w="100" w:type="dxa"/>
            <w:vAlign w:val="bottom"/>
            <w:tcBorders>
              <w:top w:val="single" w:sz="8" w:color="CFF0FC"/>
            </w:tcBorders>
          </w:tcPr>
          <w:p>
            <w:pPr>
              <w:spacing w:after="0"/>
              <w:rPr>
                <w:sz w:val="19"/>
                <w:szCs w:val="19"/>
                <w:color w:val="auto"/>
              </w:rPr>
            </w:pPr>
          </w:p>
        </w:tc>
        <w:tc>
          <w:tcPr>
            <w:tcW w:w="3500" w:type="dxa"/>
            <w:vAlign w:val="bottom"/>
            <w:tcBorders>
              <w:top w:val="single" w:sz="8" w:color="CFF0FC"/>
            </w:tcBorders>
          </w:tcPr>
          <w:p>
            <w:pPr>
              <w:ind w:left="140"/>
              <w:spacing w:after="0" w:line="221" w:lineRule="exact"/>
              <w:rPr>
                <w:sz w:val="20"/>
                <w:szCs w:val="20"/>
                <w:color w:val="auto"/>
              </w:rPr>
            </w:pPr>
            <w:r>
              <w:rPr>
                <w:rFonts w:ascii="Calibri" w:cs="Calibri" w:eastAsia="Calibri" w:hAnsi="Calibri"/>
                <w:sz w:val="19"/>
                <w:szCs w:val="19"/>
                <w:color w:val="auto"/>
              </w:rPr>
              <w:t>Other nonoperatng income, net</w:t>
            </w:r>
          </w:p>
        </w:tc>
        <w:tc>
          <w:tcPr>
            <w:tcW w:w="0" w:type="dxa"/>
            <w:vAlign w:val="bottom"/>
          </w:tcPr>
          <w:p>
            <w:pPr>
              <w:spacing w:after="0"/>
              <w:rPr>
                <w:sz w:val="1"/>
                <w:szCs w:val="1"/>
                <w:color w:val="auto"/>
              </w:rPr>
            </w:pPr>
          </w:p>
        </w:tc>
      </w:tr>
      <w:tr>
        <w:trPr>
          <w:trHeight w:val="412"/>
        </w:trPr>
        <w:tc>
          <w:tcPr>
            <w:tcW w:w="304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9"/>
                <w:szCs w:val="19"/>
                <w:color w:val="auto"/>
              </w:rPr>
              <w:t>Tax beneft</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Calibri" w:cs="Calibri" w:eastAsia="Calibri" w:hAnsi="Calibri"/>
                <w:sz w:val="19"/>
                <w:szCs w:val="19"/>
                <w:color w:val="auto"/>
              </w:rPr>
              <w:t>(1.6 )</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gridSpan w:val="2"/>
            <w:shd w:val="clear" w:color="auto" w:fill="CFF0FC"/>
          </w:tcPr>
          <w:p>
            <w:pPr>
              <w:jc w:val="right"/>
              <w:ind w:right="67"/>
              <w:spacing w:after="0"/>
              <w:rPr>
                <w:sz w:val="20"/>
                <w:szCs w:val="20"/>
                <w:color w:val="auto"/>
              </w:rPr>
            </w:pPr>
            <w:r>
              <w:rPr>
                <w:rFonts w:ascii="Calibri" w:cs="Calibri" w:eastAsia="Calibri" w:hAnsi="Calibri"/>
                <w:sz w:val="19"/>
                <w:szCs w:val="19"/>
                <w:color w:val="auto"/>
              </w:rPr>
              <w:t>(0.8 )</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9"/>
                <w:szCs w:val="19"/>
                <w:color w:val="auto"/>
              </w:rPr>
              <w:t>(2.6 )</w:t>
            </w:r>
          </w:p>
        </w:tc>
        <w:tc>
          <w:tcPr>
            <w:tcW w:w="6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9"/>
                <w:szCs w:val="19"/>
                <w:color w:val="auto"/>
                <w:w w:val="90"/>
              </w:rPr>
              <w:t>(2.3 )</w:t>
            </w:r>
          </w:p>
        </w:tc>
        <w:tc>
          <w:tcPr>
            <w:tcW w:w="3500" w:type="dxa"/>
            <w:vAlign w:val="bottom"/>
            <w:tcBorders>
              <w:bottom w:val="single" w:sz="8" w:color="CFF0FC"/>
            </w:tcBorders>
            <w:shd w:val="clear" w:color="auto" w:fill="CFF0FC"/>
          </w:tcPr>
          <w:p>
            <w:pPr>
              <w:ind w:left="140"/>
              <w:spacing w:after="0"/>
              <w:rPr>
                <w:sz w:val="20"/>
                <w:szCs w:val="20"/>
                <w:color w:val="auto"/>
              </w:rPr>
            </w:pPr>
            <w:r>
              <w:rPr>
                <w:rFonts w:ascii="Calibri" w:cs="Calibri" w:eastAsia="Calibri" w:hAnsi="Calibri"/>
                <w:sz w:val="19"/>
                <w:szCs w:val="19"/>
                <w:color w:val="auto"/>
              </w:rPr>
              <w:t>Income tax expense</w:t>
            </w:r>
          </w:p>
        </w:tc>
        <w:tc>
          <w:tcPr>
            <w:tcW w:w="0" w:type="dxa"/>
            <w:vAlign w:val="bottom"/>
          </w:tcPr>
          <w:p>
            <w:pPr>
              <w:spacing w:after="0"/>
              <w:rPr>
                <w:sz w:val="1"/>
                <w:szCs w:val="1"/>
                <w:color w:val="auto"/>
              </w:rPr>
            </w:pPr>
          </w:p>
        </w:tc>
      </w:tr>
      <w:tr>
        <w:trPr>
          <w:trHeight w:val="255"/>
        </w:trPr>
        <w:tc>
          <w:tcPr>
            <w:tcW w:w="304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jc w:val="right"/>
              <w:ind w:right="6"/>
              <w:spacing w:after="0"/>
              <w:rPr>
                <w:sz w:val="20"/>
                <w:szCs w:val="20"/>
                <w:color w:val="auto"/>
              </w:rPr>
            </w:pPr>
            <w:r>
              <w:rPr>
                <w:rFonts w:ascii="Calibri" w:cs="Calibri" w:eastAsia="Calibri" w:hAnsi="Calibri"/>
                <w:sz w:val="19"/>
                <w:szCs w:val="19"/>
                <w:color w:val="auto"/>
                <w:w w:val="82"/>
              </w:rPr>
              <w:t>$</w:t>
            </w:r>
          </w:p>
        </w:tc>
        <w:tc>
          <w:tcPr>
            <w:tcW w:w="780" w:type="dxa"/>
            <w:vAlign w:val="bottom"/>
            <w:tcBorders>
              <w:top w:val="single" w:sz="8" w:color="auto"/>
            </w:tcBorders>
          </w:tcPr>
          <w:p>
            <w:pPr>
              <w:jc w:val="right"/>
              <w:spacing w:after="0"/>
              <w:rPr>
                <w:sz w:val="20"/>
                <w:szCs w:val="20"/>
                <w:color w:val="auto"/>
              </w:rPr>
            </w:pPr>
            <w:r>
              <w:rPr>
                <w:rFonts w:ascii="Calibri" w:cs="Calibri" w:eastAsia="Calibri" w:hAnsi="Calibri"/>
                <w:sz w:val="19"/>
                <w:szCs w:val="19"/>
                <w:color w:val="auto"/>
              </w:rPr>
              <w:t>4.9</w:t>
            </w:r>
          </w:p>
        </w:tc>
        <w:tc>
          <w:tcPr>
            <w:tcW w:w="26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jc w:val="right"/>
              <w:ind w:right="6"/>
              <w:spacing w:after="0"/>
              <w:rPr>
                <w:sz w:val="20"/>
                <w:szCs w:val="20"/>
                <w:color w:val="auto"/>
              </w:rPr>
            </w:pPr>
            <w:r>
              <w:rPr>
                <w:rFonts w:ascii="Calibri" w:cs="Calibri" w:eastAsia="Calibri" w:hAnsi="Calibri"/>
                <w:sz w:val="19"/>
                <w:szCs w:val="19"/>
                <w:color w:val="auto"/>
                <w:w w:val="82"/>
              </w:rPr>
              <w:t>$</w:t>
            </w:r>
          </w:p>
        </w:tc>
        <w:tc>
          <w:tcPr>
            <w:tcW w:w="780" w:type="dxa"/>
            <w:vAlign w:val="bottom"/>
            <w:tcBorders>
              <w:top w:val="single" w:sz="8" w:color="auto"/>
            </w:tcBorders>
          </w:tcPr>
          <w:p>
            <w:pPr>
              <w:jc w:val="right"/>
              <w:spacing w:after="0"/>
              <w:rPr>
                <w:sz w:val="20"/>
                <w:szCs w:val="20"/>
                <w:color w:val="auto"/>
              </w:rPr>
            </w:pPr>
            <w:r>
              <w:rPr>
                <w:rFonts w:ascii="Calibri" w:cs="Calibri" w:eastAsia="Calibri" w:hAnsi="Calibri"/>
                <w:sz w:val="19"/>
                <w:szCs w:val="19"/>
                <w:color w:val="auto"/>
              </w:rPr>
              <w:t>2.2</w:t>
            </w:r>
          </w:p>
        </w:tc>
        <w:tc>
          <w:tcPr>
            <w:tcW w:w="22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ind w:left="20"/>
              <w:spacing w:after="0"/>
              <w:rPr>
                <w:sz w:val="20"/>
                <w:szCs w:val="20"/>
                <w:color w:val="auto"/>
              </w:rPr>
            </w:pPr>
            <w:r>
              <w:rPr>
                <w:rFonts w:ascii="Calibri" w:cs="Calibri" w:eastAsia="Calibri" w:hAnsi="Calibri"/>
                <w:sz w:val="19"/>
                <w:szCs w:val="19"/>
                <w:color w:val="auto"/>
              </w:rPr>
              <w:t>$</w:t>
            </w:r>
          </w:p>
        </w:tc>
        <w:tc>
          <w:tcPr>
            <w:tcW w:w="760" w:type="dxa"/>
            <w:vAlign w:val="bottom"/>
            <w:tcBorders>
              <w:top w:val="single" w:sz="8" w:color="auto"/>
            </w:tcBorders>
          </w:tcPr>
          <w:p>
            <w:pPr>
              <w:jc w:val="right"/>
              <w:spacing w:after="0"/>
              <w:rPr>
                <w:sz w:val="20"/>
                <w:szCs w:val="20"/>
                <w:color w:val="auto"/>
              </w:rPr>
            </w:pPr>
            <w:r>
              <w:rPr>
                <w:rFonts w:ascii="Calibri" w:cs="Calibri" w:eastAsia="Calibri" w:hAnsi="Calibri"/>
                <w:sz w:val="19"/>
                <w:szCs w:val="19"/>
                <w:color w:val="auto"/>
              </w:rPr>
              <w:t>7.9</w:t>
            </w:r>
          </w:p>
        </w:tc>
        <w:tc>
          <w:tcPr>
            <w:tcW w:w="240" w:type="dxa"/>
            <w:vAlign w:val="bottom"/>
            <w:tcBorders>
              <w:top w:val="single" w:sz="8" w:color="CFF0FC"/>
            </w:tcBorders>
          </w:tcPr>
          <w:p>
            <w:pPr>
              <w:spacing w:after="0"/>
              <w:rPr>
                <w:sz w:val="22"/>
                <w:szCs w:val="22"/>
                <w:color w:val="auto"/>
              </w:rPr>
            </w:pPr>
          </w:p>
        </w:tc>
        <w:tc>
          <w:tcPr>
            <w:tcW w:w="640" w:type="dxa"/>
            <w:vAlign w:val="bottom"/>
            <w:tcBorders>
              <w:top w:val="single" w:sz="8" w:color="auto"/>
            </w:tcBorders>
          </w:tcPr>
          <w:p>
            <w:pPr>
              <w:jc w:val="right"/>
              <w:ind w:right="446"/>
              <w:spacing w:after="0"/>
              <w:rPr>
                <w:sz w:val="20"/>
                <w:szCs w:val="20"/>
                <w:color w:val="auto"/>
              </w:rPr>
            </w:pPr>
            <w:r>
              <w:rPr>
                <w:rFonts w:ascii="Calibri" w:cs="Calibri" w:eastAsia="Calibri" w:hAnsi="Calibri"/>
                <w:sz w:val="19"/>
                <w:szCs w:val="19"/>
                <w:color w:val="auto"/>
                <w:w w:val="82"/>
              </w:rPr>
              <w:t>$</w:t>
            </w:r>
          </w:p>
        </w:tc>
        <w:tc>
          <w:tcPr>
            <w:tcW w:w="320" w:type="dxa"/>
            <w:vAlign w:val="bottom"/>
            <w:tcBorders>
              <w:top w:val="single" w:sz="8" w:color="auto"/>
            </w:tcBorders>
          </w:tcPr>
          <w:p>
            <w:pPr>
              <w:jc w:val="right"/>
              <w:spacing w:after="0"/>
              <w:rPr>
                <w:sz w:val="20"/>
                <w:szCs w:val="20"/>
                <w:color w:val="auto"/>
              </w:rPr>
            </w:pPr>
            <w:r>
              <w:rPr>
                <w:rFonts w:ascii="Calibri" w:cs="Calibri" w:eastAsia="Calibri" w:hAnsi="Calibri"/>
                <w:sz w:val="19"/>
                <w:szCs w:val="19"/>
                <w:color w:val="auto"/>
              </w:rPr>
              <w:t>6.8</w:t>
            </w:r>
          </w:p>
        </w:tc>
        <w:tc>
          <w:tcPr>
            <w:tcW w:w="100" w:type="dxa"/>
            <w:vAlign w:val="bottom"/>
            <w:tcBorders>
              <w:top w:val="single" w:sz="8" w:color="CFF0FC"/>
            </w:tcBorders>
          </w:tcPr>
          <w:p>
            <w:pPr>
              <w:spacing w:after="0"/>
              <w:rPr>
                <w:sz w:val="22"/>
                <w:szCs w:val="22"/>
                <w:color w:val="auto"/>
              </w:rPr>
            </w:pPr>
          </w:p>
        </w:tc>
        <w:tc>
          <w:tcPr>
            <w:tcW w:w="35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30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-685165</wp:posOffset>
            </wp:positionV>
            <wp:extent cx="7747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-685165</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-685165</wp:posOffset>
            </wp:positionV>
            <wp:extent cx="685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-685165</wp:posOffset>
            </wp:positionV>
            <wp:extent cx="6858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-273685</wp:posOffset>
            </wp:positionV>
            <wp:extent cx="7747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-273685</wp:posOffset>
            </wp:positionV>
            <wp:extent cx="6858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-273685</wp:posOffset>
            </wp:positionV>
            <wp:extent cx="6858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-273685</wp:posOffset>
            </wp:positionV>
            <wp:extent cx="6858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74320"/>
                    </a:xfrm>
                    <a:prstGeom prst="rect">
                      <a:avLst/>
                    </a:prstGeom>
                    <a:noFill/>
                  </pic:spPr>
                </pic:pic>
              </a:graphicData>
            </a:graphic>
          </wp:anchor>
        </w:drawing>
      </w:r>
    </w:p>
    <w:p>
      <w:pPr>
        <w:spacing w:after="0" w:line="148"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Earnings per Common Share</w:t>
      </w:r>
    </w:p>
    <w:p>
      <w:pPr>
        <w:spacing w:after="0" w:line="103" w:lineRule="exact"/>
        <w:rPr>
          <w:sz w:val="20"/>
          <w:szCs w:val="20"/>
          <w:color w:val="auto"/>
        </w:rPr>
      </w:pPr>
    </w:p>
    <w:p>
      <w:pPr>
        <w:jc w:val="both"/>
        <w:ind w:left="380"/>
        <w:spacing w:after="0" w:line="223" w:lineRule="auto"/>
        <w:rPr>
          <w:sz w:val="20"/>
          <w:szCs w:val="20"/>
          <w:color w:val="auto"/>
        </w:rPr>
      </w:pPr>
      <w:r>
        <w:rPr>
          <w:rFonts w:ascii="Calibri" w:cs="Calibri" w:eastAsia="Calibri" w:hAnsi="Calibri"/>
          <w:sz w:val="20"/>
          <w:szCs w:val="20"/>
          <w:color w:val="auto"/>
        </w:rPr>
        <w:t>The numerator for basic and diluted earnings per common share is net earnings atributable to Martn Marieta reduced by dividends and undistributed earnings atributable to certain of the Company’s stock-based compensaton arrangements. If there is a net loss, no amount of the undistributed loss is atributed to unvested partcipatng securites.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compensaton arrangements if the conversion is dilutve. For the three and nine months ended September 30, 2022 and 2021, the diluted per-share computatons refect the number of common shares outstanding including the number of additonal shares that would have been outstanding if the potentally dilutve common shares had been issued.</w:t>
      </w:r>
    </w:p>
    <w:p>
      <w:pPr>
        <w:jc w:val="center"/>
        <w:spacing w:after="0" w:line="227" w:lineRule="auto"/>
        <w:rPr>
          <w:sz w:val="20"/>
          <w:szCs w:val="20"/>
          <w:color w:val="auto"/>
        </w:rPr>
      </w:pPr>
      <w:r>
        <w:rPr>
          <w:rFonts w:ascii="Calibri" w:cs="Calibri" w:eastAsia="Calibri" w:hAnsi="Calibri"/>
          <w:sz w:val="20"/>
          <w:szCs w:val="20"/>
          <w:color w:val="auto"/>
        </w:rPr>
        <w:t>Page 11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11" w:name="page12"/>
    <w:bookmarkEnd w:id="1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96"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The following table reconciles the denominator for basic and diluted earnings from contnuing operatons per common share:</w:t>
      </w:r>
    </w:p>
    <w:p>
      <w:pPr>
        <w:spacing w:after="0" w:line="196" w:lineRule="exact"/>
        <w:rPr>
          <w:sz w:val="20"/>
          <w:szCs w:val="20"/>
          <w:color w:val="auto"/>
        </w:rPr>
      </w:pPr>
    </w:p>
    <w:tbl>
      <w:tblPr>
        <w:tblLayout w:type="fixed"/>
        <w:tblInd w:w="5740" w:type="dxa"/>
        <w:tblCellMar>
          <w:top w:w="0" w:type="dxa"/>
          <w:left w:w="0" w:type="dxa"/>
          <w:bottom w:w="0" w:type="dxa"/>
          <w:right w:w="0" w:type="dxa"/>
        </w:tblCellMar>
      </w:tblPr>
      <w:tr>
        <w:trPr>
          <w:trHeight w:val="244"/>
        </w:trPr>
        <w:tc>
          <w:tcPr>
            <w:tcW w:w="3200" w:type="dxa"/>
            <w:vAlign w:val="bottom"/>
            <w:gridSpan w:val="5"/>
          </w:tcPr>
          <w:p>
            <w:pPr>
              <w:jc w:val="center"/>
              <w:ind w:right="560"/>
              <w:spacing w:after="0"/>
              <w:rPr>
                <w:sz w:val="20"/>
                <w:szCs w:val="20"/>
                <w:color w:val="auto"/>
              </w:rPr>
            </w:pPr>
            <w:r>
              <w:rPr>
                <w:rFonts w:ascii="Calibri" w:cs="Calibri" w:eastAsia="Calibri" w:hAnsi="Calibri"/>
                <w:sz w:val="20"/>
                <w:szCs w:val="20"/>
                <w:color w:val="auto"/>
              </w:rPr>
              <w:t>Three Months Ended</w:t>
            </w:r>
          </w:p>
        </w:tc>
        <w:tc>
          <w:tcPr>
            <w:tcW w:w="2200" w:type="dxa"/>
            <w:vAlign w:val="bottom"/>
            <w:gridSpan w:val="3"/>
          </w:tcPr>
          <w:p>
            <w:pPr>
              <w:jc w:val="center"/>
              <w:ind w:right="241"/>
              <w:spacing w:after="0"/>
              <w:rPr>
                <w:sz w:val="20"/>
                <w:szCs w:val="20"/>
                <w:color w:val="auto"/>
              </w:rPr>
            </w:pPr>
            <w:r>
              <w:rPr>
                <w:rFonts w:ascii="Calibri" w:cs="Calibri" w:eastAsia="Calibri" w:hAnsi="Calibri"/>
                <w:sz w:val="20"/>
                <w:szCs w:val="20"/>
                <w:color w:val="auto"/>
              </w:rPr>
              <w:t>Nine Months Ended</w:t>
            </w:r>
          </w:p>
        </w:tc>
      </w:tr>
      <w:tr>
        <w:trPr>
          <w:trHeight w:val="247"/>
        </w:trPr>
        <w:tc>
          <w:tcPr>
            <w:tcW w:w="3200" w:type="dxa"/>
            <w:vAlign w:val="bottom"/>
            <w:gridSpan w:val="5"/>
          </w:tcPr>
          <w:p>
            <w:pPr>
              <w:jc w:val="center"/>
              <w:ind w:right="560"/>
              <w:spacing w:after="0" w:line="234" w:lineRule="exact"/>
              <w:rPr>
                <w:sz w:val="20"/>
                <w:szCs w:val="20"/>
                <w:color w:val="auto"/>
              </w:rPr>
            </w:pPr>
            <w:r>
              <w:rPr>
                <w:rFonts w:ascii="Calibri" w:cs="Calibri" w:eastAsia="Calibri" w:hAnsi="Calibri"/>
                <w:sz w:val="20"/>
                <w:szCs w:val="20"/>
                <w:color w:val="auto"/>
              </w:rPr>
              <w:t>September 30,</w:t>
            </w:r>
          </w:p>
        </w:tc>
        <w:tc>
          <w:tcPr>
            <w:tcW w:w="2200" w:type="dxa"/>
            <w:vAlign w:val="bottom"/>
            <w:gridSpan w:val="3"/>
          </w:tcPr>
          <w:p>
            <w:pPr>
              <w:jc w:val="center"/>
              <w:ind w:right="241"/>
              <w:spacing w:after="0" w:line="234" w:lineRule="exact"/>
              <w:rPr>
                <w:sz w:val="20"/>
                <w:szCs w:val="20"/>
                <w:color w:val="auto"/>
              </w:rPr>
            </w:pPr>
            <w:r>
              <w:rPr>
                <w:rFonts w:ascii="Calibri" w:cs="Calibri" w:eastAsia="Calibri" w:hAnsi="Calibri"/>
                <w:sz w:val="20"/>
                <w:szCs w:val="20"/>
                <w:color w:val="auto"/>
              </w:rPr>
              <w:t>September 30,</w:t>
            </w:r>
          </w:p>
        </w:tc>
      </w:tr>
      <w:tr>
        <w:trPr>
          <w:trHeight w:val="230"/>
        </w:trPr>
        <w:tc>
          <w:tcPr>
            <w:tcW w:w="1120" w:type="dxa"/>
            <w:vAlign w:val="bottom"/>
            <w:tcBorders>
              <w:top w:val="single" w:sz="8" w:color="auto"/>
              <w:bottom w:val="single" w:sz="8" w:color="auto"/>
            </w:tcBorders>
          </w:tcPr>
          <w:p>
            <w:pPr>
              <w:jc w:val="right"/>
              <w:ind w:right="261"/>
              <w:spacing w:after="0" w:line="229" w:lineRule="exact"/>
              <w:rPr>
                <w:sz w:val="20"/>
                <w:szCs w:val="20"/>
                <w:color w:val="auto"/>
              </w:rPr>
            </w:pPr>
            <w:r>
              <w:rPr>
                <w:rFonts w:ascii="Calibri" w:cs="Calibri" w:eastAsia="Calibri" w:hAnsi="Calibri"/>
                <w:sz w:val="20"/>
                <w:szCs w:val="20"/>
                <w:color w:val="auto"/>
              </w:rPr>
              <w:t>2022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41"/>
              <w:spacing w:after="0" w:line="229" w:lineRule="exact"/>
              <w:rPr>
                <w:sz w:val="20"/>
                <w:szCs w:val="20"/>
                <w:color w:val="auto"/>
              </w:rPr>
            </w:pPr>
            <w:r>
              <w:rPr>
                <w:rFonts w:ascii="Calibri" w:cs="Calibri" w:eastAsia="Calibri" w:hAnsi="Calibri"/>
                <w:sz w:val="20"/>
                <w:szCs w:val="20"/>
                <w:color w:val="auto"/>
              </w:rPr>
              <w:t>2021</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61"/>
              <w:spacing w:after="0" w:line="229" w:lineRule="exact"/>
              <w:rPr>
                <w:sz w:val="20"/>
                <w:szCs w:val="20"/>
                <w:color w:val="auto"/>
              </w:rPr>
            </w:pPr>
            <w:r>
              <w:rPr>
                <w:rFonts w:ascii="Calibri" w:cs="Calibri" w:eastAsia="Calibri" w:hAnsi="Calibri"/>
                <w:sz w:val="20"/>
                <w:szCs w:val="20"/>
                <w:color w:val="auto"/>
              </w:rPr>
              <w:t>2022</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2021</w:t>
            </w:r>
          </w:p>
        </w:tc>
      </w:tr>
      <w:tr>
        <w:trPr>
          <w:trHeight w:val="228"/>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3"/>
          </w:tcPr>
          <w:p>
            <w:pPr>
              <w:ind w:left="840"/>
              <w:spacing w:after="0" w:line="228" w:lineRule="exact"/>
              <w:rPr>
                <w:sz w:val="20"/>
                <w:szCs w:val="20"/>
                <w:color w:val="auto"/>
              </w:rPr>
            </w:pPr>
            <w:r>
              <w:rPr>
                <w:rFonts w:ascii="Calibri" w:cs="Calibri" w:eastAsia="Calibri" w:hAnsi="Calibri"/>
                <w:sz w:val="20"/>
                <w:szCs w:val="20"/>
                <w:i w:val="1"/>
                <w:iCs w:val="1"/>
                <w:color w:val="auto"/>
              </w:rPr>
              <w:t>(In Millions)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185" w:lineRule="exact"/>
        <w:rPr>
          <w:sz w:val="20"/>
          <w:szCs w:val="20"/>
          <w:color w:val="auto"/>
        </w:rPr>
      </w:pPr>
    </w:p>
    <w:p>
      <w:pPr>
        <w:sectPr>
          <w:pgSz w:w="11900" w:h="16838" w:orient="portrait"/>
          <w:cols w:equalWidth="0" w:num="1">
            <w:col w:w="11240"/>
          </w:cols>
          <w:pgMar w:left="320" w:top="92"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Basic weighted-average common shares outstanding</w:t>
      </w:r>
    </w:p>
    <w:p>
      <w:pPr>
        <w:ind w:left="20"/>
        <w:spacing w:after="0" w:line="238" w:lineRule="auto"/>
        <w:rPr>
          <w:sz w:val="20"/>
          <w:szCs w:val="20"/>
          <w:color w:val="auto"/>
        </w:rPr>
      </w:pPr>
      <w:r>
        <w:rPr>
          <w:rFonts w:ascii="Calibri" w:cs="Calibri" w:eastAsia="Calibri" w:hAnsi="Calibri"/>
          <w:sz w:val="20"/>
          <w:szCs w:val="20"/>
          <w:color w:val="auto"/>
        </w:rPr>
        <w:t>Efect of dilutve employee and director awards</w:t>
      </w:r>
    </w:p>
    <w:p>
      <w:pPr>
        <w:ind w:left="20"/>
        <w:spacing w:after="0"/>
        <w:rPr>
          <w:sz w:val="20"/>
          <w:szCs w:val="20"/>
          <w:color w:val="auto"/>
        </w:rPr>
      </w:pPr>
      <w:r>
        <w:rPr>
          <w:rFonts w:ascii="Calibri" w:cs="Calibri" w:eastAsia="Calibri" w:hAnsi="Calibri"/>
          <w:sz w:val="20"/>
          <w:szCs w:val="20"/>
          <w:color w:val="auto"/>
        </w:rPr>
        <w:t>Diluted 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120" w:type="dxa"/>
            <w:vAlign w:val="bottom"/>
          </w:tcPr>
          <w:p>
            <w:pPr>
              <w:jc w:val="right"/>
              <w:spacing w:after="0"/>
              <w:rPr>
                <w:sz w:val="20"/>
                <w:szCs w:val="20"/>
                <w:color w:val="auto"/>
              </w:rPr>
            </w:pPr>
            <w:r>
              <w:rPr>
                <w:rFonts w:ascii="Calibri" w:cs="Calibri" w:eastAsia="Calibri" w:hAnsi="Calibri"/>
                <w:sz w:val="20"/>
                <w:szCs w:val="20"/>
                <w:color w:val="auto"/>
              </w:rPr>
              <w:t>62.3</w:t>
            </w:r>
          </w:p>
        </w:tc>
        <w:tc>
          <w:tcPr>
            <w:tcW w:w="1540" w:type="dxa"/>
            <w:vAlign w:val="bottom"/>
            <w:gridSpan w:val="2"/>
          </w:tcPr>
          <w:p>
            <w:pPr>
              <w:jc w:val="right"/>
              <w:spacing w:after="0"/>
              <w:rPr>
                <w:sz w:val="20"/>
                <w:szCs w:val="20"/>
                <w:color w:val="auto"/>
              </w:rPr>
            </w:pPr>
            <w:r>
              <w:rPr>
                <w:rFonts w:ascii="Calibri" w:cs="Calibri" w:eastAsia="Calibri" w:hAnsi="Calibri"/>
                <w:sz w:val="20"/>
                <w:szCs w:val="20"/>
                <w:color w:val="auto"/>
              </w:rPr>
              <w:t>62.4</w:t>
            </w:r>
          </w:p>
        </w:tc>
        <w:tc>
          <w:tcPr>
            <w:tcW w:w="1340" w:type="dxa"/>
            <w:vAlign w:val="bottom"/>
            <w:gridSpan w:val="2"/>
          </w:tcPr>
          <w:p>
            <w:pPr>
              <w:jc w:val="right"/>
              <w:spacing w:after="0"/>
              <w:rPr>
                <w:sz w:val="20"/>
                <w:szCs w:val="20"/>
                <w:color w:val="auto"/>
              </w:rPr>
            </w:pPr>
            <w:r>
              <w:rPr>
                <w:rFonts w:ascii="Calibri" w:cs="Calibri" w:eastAsia="Calibri" w:hAnsi="Calibri"/>
                <w:sz w:val="20"/>
                <w:szCs w:val="20"/>
                <w:color w:val="auto"/>
              </w:rPr>
              <w:t>62.4</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62.4</w:t>
            </w:r>
          </w:p>
        </w:tc>
      </w:tr>
      <w:tr>
        <w:trPr>
          <w:trHeight w:val="247"/>
        </w:trPr>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0.2</w:t>
            </w:r>
          </w:p>
        </w:tc>
        <w:tc>
          <w:tcPr>
            <w:tcW w:w="15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0.2</w:t>
            </w:r>
          </w:p>
        </w:tc>
        <w:tc>
          <w:tcPr>
            <w:tcW w:w="13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0.1</w:t>
            </w:r>
          </w:p>
        </w:tc>
        <w:tc>
          <w:tcPr>
            <w:tcW w:w="140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0.2</w:t>
            </w:r>
          </w:p>
        </w:tc>
      </w:tr>
      <w:tr>
        <w:trPr>
          <w:trHeight w:val="230"/>
        </w:trPr>
        <w:tc>
          <w:tcPr>
            <w:tcW w:w="1120" w:type="dxa"/>
            <w:vAlign w:val="bottom"/>
            <w:tcBorders>
              <w:top w:val="single" w:sz="8" w:color="auto"/>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62.5</w:t>
            </w:r>
          </w:p>
        </w:tc>
        <w:tc>
          <w:tcPr>
            <w:tcW w:w="2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62.6</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62.5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62.6</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-470535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-170815</wp:posOffset>
            </wp:positionV>
            <wp:extent cx="71323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5020" w:space="720"/>
            <w:col w:w="5500"/>
          </w:cols>
          <w:pgMar w:left="320" w:top="92" w:right="339" w:bottom="1440" w:gutter="0" w:footer="0" w:header="0"/>
          <w:type w:val="continuous"/>
        </w:sectPr>
      </w:pPr>
    </w:p>
    <w:p>
      <w:pPr>
        <w:ind w:left="380"/>
        <w:spacing w:after="0"/>
        <w:rPr>
          <w:sz w:val="20"/>
          <w:szCs w:val="20"/>
          <w:color w:val="auto"/>
        </w:rPr>
      </w:pPr>
      <w:r>
        <w:rPr>
          <w:rFonts w:ascii="Calibri" w:cs="Calibri" w:eastAsia="Calibri" w:hAnsi="Calibri"/>
          <w:sz w:val="20"/>
          <w:szCs w:val="20"/>
          <w:b w:val="1"/>
          <w:bCs w:val="1"/>
          <w:color w:val="auto"/>
        </w:rPr>
        <w:t>Restricted Cash</w:t>
      </w:r>
    </w:p>
    <w:p>
      <w:pPr>
        <w:spacing w:after="0" w:line="103" w:lineRule="exact"/>
        <w:rPr>
          <w:sz w:val="20"/>
          <w:szCs w:val="20"/>
          <w:color w:val="auto"/>
        </w:rPr>
      </w:pPr>
    </w:p>
    <w:p>
      <w:pPr>
        <w:jc w:val="both"/>
        <w:ind w:left="380"/>
        <w:spacing w:after="0" w:line="223" w:lineRule="auto"/>
        <w:rPr>
          <w:sz w:val="20"/>
          <w:szCs w:val="20"/>
          <w:color w:val="auto"/>
        </w:rPr>
      </w:pPr>
      <w:r>
        <w:rPr>
          <w:rFonts w:ascii="Calibri" w:cs="Calibri" w:eastAsia="Calibri" w:hAnsi="Calibri"/>
          <w:sz w:val="20"/>
          <w:szCs w:val="20"/>
          <w:color w:val="auto"/>
        </w:rPr>
        <w:t>At December 31, 2021, the Company had restricted cash of $0.5 million, which was invested in an account designated for the purchase of like-kind exchange replacement assets under Secton 1031 of the Internal Revenue Code and related IRS procedures (Secton 1031). The Company was restricted from utlizing the cash for purposes other than the purchase of the qualifed assets for a designated period from receipt of the proceeds from the sale of the exchanged property. There was no restricted cash at September 30, 2022.</w:t>
      </w:r>
    </w:p>
    <w:p>
      <w:pPr>
        <w:spacing w:after="0" w:line="108" w:lineRule="exact"/>
        <w:rPr>
          <w:sz w:val="20"/>
          <w:szCs w:val="20"/>
          <w:color w:val="auto"/>
        </w:rPr>
      </w:pPr>
    </w:p>
    <w:p>
      <w:pPr>
        <w:jc w:val="both"/>
        <w:ind w:left="380"/>
        <w:spacing w:after="0" w:line="228" w:lineRule="auto"/>
        <w:rPr>
          <w:sz w:val="20"/>
          <w:szCs w:val="20"/>
          <w:color w:val="auto"/>
        </w:rPr>
      </w:pPr>
      <w:r>
        <w:rPr>
          <w:rFonts w:ascii="Calibri" w:cs="Calibri" w:eastAsia="Calibri" w:hAnsi="Calibri"/>
          <w:sz w:val="20"/>
          <w:szCs w:val="20"/>
          <w:color w:val="auto"/>
        </w:rPr>
        <w:t xml:space="preserve">In connecton with Accountng Standards Update 2016-18, </w:t>
      </w:r>
      <w:r>
        <w:rPr>
          <w:rFonts w:ascii="Calibri" w:cs="Calibri" w:eastAsia="Calibri" w:hAnsi="Calibri"/>
          <w:sz w:val="20"/>
          <w:szCs w:val="20"/>
          <w:i w:val="1"/>
          <w:iCs w:val="1"/>
          <w:color w:val="auto"/>
        </w:rPr>
        <w:t>Statement of Cash Flows (Topic 230),</w:t>
      </w:r>
      <w:r>
        <w:rPr>
          <w:rFonts w:ascii="Calibri" w:cs="Calibri" w:eastAsia="Calibri" w:hAnsi="Calibri"/>
          <w:sz w:val="20"/>
          <w:szCs w:val="20"/>
          <w:color w:val="auto"/>
        </w:rPr>
        <w:t xml:space="preserve"> the statement of cash fows refects cash fow changes and balances for cash, cash equivalents and restricted cash on an aggregated basis.</w:t>
      </w:r>
    </w:p>
    <w:p>
      <w:pPr>
        <w:spacing w:after="0" w:line="103" w:lineRule="exact"/>
        <w:rPr>
          <w:sz w:val="20"/>
          <w:szCs w:val="20"/>
          <w:color w:val="auto"/>
        </w:rPr>
      </w:pPr>
    </w:p>
    <w:p>
      <w:pPr>
        <w:jc w:val="both"/>
        <w:ind w:left="380"/>
        <w:spacing w:after="0" w:line="228" w:lineRule="auto"/>
        <w:rPr>
          <w:sz w:val="20"/>
          <w:szCs w:val="20"/>
          <w:color w:val="auto"/>
        </w:rPr>
      </w:pPr>
      <w:r>
        <w:rPr>
          <w:rFonts w:ascii="Calibri" w:cs="Calibri" w:eastAsia="Calibri" w:hAnsi="Calibri"/>
          <w:sz w:val="20"/>
          <w:szCs w:val="20"/>
          <w:color w:val="auto"/>
        </w:rPr>
        <w:t>The following table reconciles cash, cash equivalents and restricted cash as reported on the consolidated balance sheets to the aggregated amounts presented on the consolidated statements of cash fows: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341"/>
              <w:spacing w:after="0"/>
              <w:rPr>
                <w:sz w:val="20"/>
                <w:szCs w:val="20"/>
                <w:color w:val="auto"/>
              </w:rPr>
            </w:pPr>
            <w:r>
              <w:rPr>
                <w:rFonts w:ascii="Calibri" w:cs="Calibri" w:eastAsia="Calibri" w:hAnsi="Calibri"/>
                <w:sz w:val="20"/>
                <w:szCs w:val="20"/>
                <w:color w:val="auto"/>
              </w:rPr>
              <w:t>September 30,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361"/>
              <w:spacing w:after="0"/>
              <w:rPr>
                <w:sz w:val="20"/>
                <w:szCs w:val="20"/>
                <w:color w:val="auto"/>
              </w:rPr>
            </w:pPr>
            <w:r>
              <w:rPr>
                <w:rFonts w:ascii="Calibri" w:cs="Calibri" w:eastAsia="Calibri" w:hAnsi="Calibri"/>
                <w:sz w:val="20"/>
                <w:szCs w:val="20"/>
                <w:color w:val="auto"/>
              </w:rPr>
              <w:t>December 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41"/>
              <w:spacing w:after="0" w:line="234" w:lineRule="exact"/>
              <w:rPr>
                <w:sz w:val="20"/>
                <w:szCs w:val="20"/>
                <w:color w:val="auto"/>
              </w:rPr>
            </w:pPr>
            <w:r>
              <w:rPr>
                <w:rFonts w:ascii="Calibri" w:cs="Calibri" w:eastAsia="Calibri" w:hAnsi="Calibri"/>
                <w:sz w:val="20"/>
                <w:szCs w:val="20"/>
                <w:color w:val="auto"/>
              </w:rPr>
              <w:t>2022</w:t>
            </w: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41"/>
              <w:spacing w:after="0" w:line="234"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ind w:left="60"/>
              <w:spacing w:after="0" w:line="210" w:lineRule="exact"/>
              <w:rPr>
                <w:sz w:val="20"/>
                <w:szCs w:val="20"/>
                <w:color w:val="auto"/>
              </w:rPr>
            </w:pPr>
            <w:r>
              <w:rPr>
                <w:rFonts w:ascii="Calibri" w:cs="Calibri" w:eastAsia="Calibri" w:hAnsi="Calibri"/>
                <w:sz w:val="20"/>
                <w:szCs w:val="20"/>
                <w:i w:val="1"/>
                <w:iCs w:val="1"/>
                <w:color w:val="auto"/>
              </w:rPr>
              <w:t>in</w:t>
            </w:r>
          </w:p>
        </w:tc>
        <w:tc>
          <w:tcPr>
            <w:tcW w:w="2060" w:type="dxa"/>
            <w:vAlign w:val="bottom"/>
            <w:gridSpan w:val="2"/>
          </w:tcPr>
          <w:p>
            <w:pPr>
              <w:spacing w:after="0" w:line="229" w:lineRule="exact"/>
              <w:rPr>
                <w:sz w:val="20"/>
                <w:szCs w:val="20"/>
                <w:color w:val="auto"/>
              </w:rPr>
            </w:pPr>
            <w:r>
              <w:rPr>
                <w:rFonts w:ascii="Calibri" w:cs="Calibri" w:eastAsia="Calibri" w:hAnsi="Calibri"/>
                <w:sz w:val="20"/>
                <w:szCs w:val="20"/>
                <w:i w:val="1"/>
                <w:iCs w:val="1"/>
                <w:color w:val="auto"/>
              </w:rPr>
              <w:t>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Cash and cash equivalents</w:t>
            </w:r>
          </w:p>
        </w:tc>
        <w:tc>
          <w:tcPr>
            <w:tcW w:w="280" w:type="dxa"/>
            <w:vAlign w:val="bottom"/>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18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135.7</w:t>
            </w:r>
          </w:p>
        </w:tc>
        <w:tc>
          <w:tcPr>
            <w:tcW w:w="640" w:type="dxa"/>
            <w:vAlign w:val="bottom"/>
            <w:gridSpan w:val="2"/>
            <w:shd w:val="clear" w:color="auto" w:fill="CFF0FC"/>
          </w:tcPr>
          <w:p>
            <w:pPr>
              <w:ind w:left="380"/>
              <w:spacing w:after="0" w:line="229" w:lineRule="exact"/>
              <w:rPr>
                <w:sz w:val="20"/>
                <w:szCs w:val="20"/>
                <w:color w:val="auto"/>
              </w:rPr>
            </w:pPr>
            <w:r>
              <w:rPr>
                <w:rFonts w:ascii="Calibri" w:cs="Calibri" w:eastAsia="Calibri" w:hAnsi="Calibri"/>
                <w:sz w:val="20"/>
                <w:szCs w:val="20"/>
                <w:color w:val="auto"/>
              </w:rPr>
              <w:t>$</w:t>
            </w:r>
          </w:p>
        </w:tc>
        <w:tc>
          <w:tcPr>
            <w:tcW w:w="17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line="229" w:lineRule="exact"/>
              <w:rPr>
                <w:sz w:val="20"/>
                <w:szCs w:val="20"/>
                <w:color w:val="auto"/>
              </w:rPr>
            </w:pPr>
            <w:r>
              <w:rPr>
                <w:rFonts w:ascii="Calibri" w:cs="Calibri" w:eastAsia="Calibri" w:hAnsi="Calibri"/>
                <w:sz w:val="20"/>
                <w:szCs w:val="20"/>
                <w:color w:val="auto"/>
              </w:rPr>
              <w:t>Restricted cash</w:t>
            </w: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640" w:type="dxa"/>
            <w:vAlign w:val="bottom"/>
            <w:shd w:val="clear" w:color="auto" w:fill="CFF0FC"/>
          </w:tcPr>
          <w:p>
            <w:pPr>
              <w:ind w:left="20"/>
              <w:spacing w:after="0" w:line="172" w:lineRule="exact"/>
              <w:rPr>
                <w:sz w:val="20"/>
                <w:szCs w:val="20"/>
                <w:color w:val="auto"/>
              </w:rPr>
            </w:pPr>
            <w:r>
              <w:rPr>
                <w:rFonts w:ascii="Calibri" w:cs="Calibri" w:eastAsia="Calibri" w:hAnsi="Calibri"/>
                <w:sz w:val="18"/>
                <w:szCs w:val="18"/>
                <w:color w:val="auto"/>
              </w:rPr>
              <w:t>Total cash, cash equivalents and restricted cash presented in</w:t>
            </w:r>
          </w:p>
        </w:tc>
        <w:tc>
          <w:tcPr>
            <w:tcW w:w="280" w:type="dxa"/>
            <w:vAlign w:val="bottom"/>
            <w:vMerge w:val="restart"/>
            <w:shd w:val="clear" w:color="auto" w:fill="CFF0FC"/>
          </w:tcPr>
          <w:p>
            <w:pPr>
              <w:jc w:val="right"/>
              <w:ind w:right="61"/>
              <w:spacing w:after="0"/>
              <w:rPr>
                <w:sz w:val="20"/>
                <w:szCs w:val="20"/>
                <w:color w:val="auto"/>
              </w:rPr>
            </w:pPr>
            <w:r>
              <w:rPr>
                <w:rFonts w:ascii="Calibri" w:cs="Calibri" w:eastAsia="Calibri" w:hAnsi="Calibri"/>
                <w:sz w:val="20"/>
                <w:szCs w:val="20"/>
                <w:color w:val="auto"/>
                <w:w w:val="98"/>
              </w:rPr>
              <w:t>$</w:t>
            </w:r>
          </w:p>
        </w:tc>
        <w:tc>
          <w:tcPr>
            <w:tcW w:w="18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135.7</w:t>
            </w:r>
          </w:p>
        </w:tc>
        <w:tc>
          <w:tcPr>
            <w:tcW w:w="360" w:type="dxa"/>
            <w:vAlign w:val="bottom"/>
            <w:vMerge w:val="restart"/>
            <w:shd w:val="clear" w:color="auto" w:fill="CFF0FC"/>
          </w:tcPr>
          <w:p>
            <w:pPr>
              <w:spacing w:after="0"/>
              <w:rPr>
                <w:sz w:val="14"/>
                <w:szCs w:val="14"/>
                <w:color w:val="auto"/>
              </w:rPr>
            </w:pPr>
          </w:p>
        </w:tc>
        <w:tc>
          <w:tcPr>
            <w:tcW w:w="280" w:type="dxa"/>
            <w:vAlign w:val="bottom"/>
            <w:vMerge w:val="restart"/>
            <w:shd w:val="clear" w:color="auto" w:fill="CFF0FC"/>
          </w:tcPr>
          <w:p>
            <w:pPr>
              <w:ind w:left="20"/>
              <w:spacing w:after="0"/>
              <w:rPr>
                <w:sz w:val="20"/>
                <w:szCs w:val="20"/>
                <w:color w:val="auto"/>
              </w:rPr>
            </w:pPr>
            <w:r>
              <w:rPr>
                <w:rFonts w:ascii="Calibri" w:cs="Calibri" w:eastAsia="Calibri" w:hAnsi="Calibri"/>
                <w:sz w:val="20"/>
                <w:szCs w:val="20"/>
                <w:color w:val="auto"/>
              </w:rPr>
              <w:t>$</w:t>
            </w:r>
          </w:p>
        </w:tc>
        <w:tc>
          <w:tcPr>
            <w:tcW w:w="17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258.9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6640" w:type="dxa"/>
            <w:vAlign w:val="bottom"/>
            <w:tcBorders>
              <w:bottom w:val="single" w:sz="8" w:color="CFF0FC"/>
            </w:tcBorders>
            <w:shd w:val="clear" w:color="auto" w:fill="CFF0FC"/>
          </w:tcPr>
          <w:p>
            <w:pPr>
              <w:ind w:left="160"/>
              <w:spacing w:after="0" w:line="227" w:lineRule="exact"/>
              <w:rPr>
                <w:sz w:val="20"/>
                <w:szCs w:val="20"/>
                <w:color w:val="auto"/>
              </w:rPr>
            </w:pPr>
            <w:r>
              <w:rPr>
                <w:rFonts w:ascii="Calibri" w:cs="Calibri" w:eastAsia="Calibri" w:hAnsi="Calibri"/>
                <w:sz w:val="20"/>
                <w:szCs w:val="20"/>
                <w:color w:val="auto"/>
              </w:rPr>
              <w:t>the consolidated statements of cash fows</w:t>
            </w:r>
          </w:p>
        </w:tc>
        <w:tc>
          <w:tcPr>
            <w:tcW w:w="280" w:type="dxa"/>
            <w:vAlign w:val="bottom"/>
            <w:tcBorders>
              <w:bottom w:val="single" w:sz="8" w:color="auto"/>
            </w:tcBorders>
            <w:vMerge w:val="continue"/>
            <w:shd w:val="clear" w:color="auto" w:fill="CFF0FC"/>
          </w:tcPr>
          <w:p>
            <w:pPr>
              <w:spacing w:after="0"/>
              <w:rPr>
                <w:sz w:val="23"/>
                <w:szCs w:val="23"/>
                <w:color w:val="auto"/>
              </w:rPr>
            </w:pPr>
          </w:p>
        </w:tc>
        <w:tc>
          <w:tcPr>
            <w:tcW w:w="1800" w:type="dxa"/>
            <w:vAlign w:val="bottom"/>
            <w:tcBorders>
              <w:bottom w:val="single" w:sz="8" w:color="auto"/>
            </w:tcBorders>
            <w:vMerge w:val="continue"/>
            <w:shd w:val="clear" w:color="auto" w:fill="CFF0FC"/>
          </w:tcPr>
          <w:p>
            <w:pPr>
              <w:spacing w:after="0"/>
              <w:rPr>
                <w:sz w:val="23"/>
                <w:szCs w:val="23"/>
                <w:color w:val="auto"/>
              </w:rPr>
            </w:pPr>
          </w:p>
        </w:tc>
        <w:tc>
          <w:tcPr>
            <w:tcW w:w="360" w:type="dxa"/>
            <w:vAlign w:val="bottom"/>
            <w:tcBorders>
              <w:bottom w:val="single" w:sz="8" w:color="CFF0FC"/>
            </w:tcBorders>
            <w:vMerge w:val="continue"/>
            <w:shd w:val="clear" w:color="auto" w:fill="CFF0FC"/>
          </w:tcPr>
          <w:p>
            <w:pPr>
              <w:spacing w:after="0"/>
              <w:rPr>
                <w:sz w:val="23"/>
                <w:szCs w:val="23"/>
                <w:color w:val="auto"/>
              </w:rPr>
            </w:pPr>
          </w:p>
        </w:tc>
        <w:tc>
          <w:tcPr>
            <w:tcW w:w="280" w:type="dxa"/>
            <w:vAlign w:val="bottom"/>
            <w:tcBorders>
              <w:bottom w:val="single" w:sz="8" w:color="auto"/>
            </w:tcBorders>
            <w:vMerge w:val="continue"/>
            <w:shd w:val="clear" w:color="auto" w:fill="CFF0FC"/>
          </w:tcPr>
          <w:p>
            <w:pPr>
              <w:spacing w:after="0"/>
              <w:rPr>
                <w:sz w:val="23"/>
                <w:szCs w:val="23"/>
                <w:color w:val="auto"/>
              </w:rPr>
            </w:pPr>
          </w:p>
        </w:tc>
        <w:tc>
          <w:tcPr>
            <w:tcW w:w="1780" w:type="dxa"/>
            <w:vAlign w:val="bottom"/>
            <w:tcBorders>
              <w:bottom w:val="single" w:sz="8" w:color="auto"/>
            </w:tcBorders>
            <w:vMerge w:val="continue"/>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1"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Restricted Investments</w:t>
      </w:r>
    </w:p>
    <w:p>
      <w:pPr>
        <w:spacing w:after="0" w:line="103" w:lineRule="exact"/>
        <w:rPr>
          <w:sz w:val="20"/>
          <w:szCs w:val="20"/>
          <w:color w:val="auto"/>
        </w:rPr>
      </w:pPr>
    </w:p>
    <w:p>
      <w:pPr>
        <w:jc w:val="both"/>
        <w:ind w:left="380"/>
        <w:spacing w:after="0" w:line="224" w:lineRule="auto"/>
        <w:rPr>
          <w:sz w:val="20"/>
          <w:szCs w:val="20"/>
          <w:color w:val="auto"/>
        </w:rPr>
      </w:pPr>
      <w:r>
        <w:rPr>
          <w:rFonts w:ascii="Calibri" w:cs="Calibri" w:eastAsia="Calibri" w:hAnsi="Calibri"/>
          <w:sz w:val="20"/>
          <w:szCs w:val="20"/>
          <w:color w:val="auto"/>
        </w:rPr>
        <w:t>At September 30, 2022, the Company had $704.6 million of restricted investments, representng assets irrevocably transferred to an escrow trust account to satsfy and discharge the Company’s $700 million of 0.650% Senior Notes due 2023 (the 2023 Notes) (see Note 6). The assets in the escrow trust account may not be used for any purpose other than to satsfy the remaining interest payments on the 2023 Notes and to repay the principal amount of the 2023 Notes on the maturity date of July 15, 2023. The assets transferred to the escrow trust account are invested in a U.S. Treasury securites fund (see Note 7) and investment returns on those trust assets are for the account of the Company (afer satsfacton of all amounts payable in connecton with the 2023 Notes). The Company has consolidated the trust account on its balance sheet at September 30, 2022.</w:t>
      </w:r>
    </w:p>
    <w:p>
      <w:pPr>
        <w:spacing w:after="0" w:line="19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type w:val="continuous"/>
        </w:sectPr>
      </w:pPr>
    </w:p>
    <w:bookmarkStart w:id="12" w:name="page13"/>
    <w:bookmarkEnd w:id="1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12" w:lineRule="exact"/>
        <w:rPr>
          <w:sz w:val="20"/>
          <w:szCs w:val="20"/>
          <w:color w:val="auto"/>
        </w:rPr>
      </w:pPr>
    </w:p>
    <w:p>
      <w:pPr>
        <w:ind w:left="380" w:hanging="372"/>
        <w:spacing w:after="0"/>
        <w:tabs>
          <w:tab w:leader="none" w:pos="38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 Recogniton</w:t>
      </w:r>
    </w:p>
    <w:p>
      <w:pPr>
        <w:spacing w:after="0" w:line="116" w:lineRule="exact"/>
        <w:rPr>
          <w:rFonts w:ascii="Calibri" w:cs="Calibri" w:eastAsia="Calibri" w:hAnsi="Calibri"/>
          <w:sz w:val="20"/>
          <w:szCs w:val="20"/>
          <w:b w:val="1"/>
          <w:bCs w:val="1"/>
          <w:color w:val="auto"/>
        </w:rPr>
      </w:pPr>
    </w:p>
    <w:p>
      <w:pPr>
        <w:jc w:val="both"/>
        <w:ind w:left="380"/>
        <w:spacing w:after="0" w:line="239" w:lineRule="auto"/>
        <w:rPr>
          <w:rFonts w:ascii="Calibri" w:cs="Calibri" w:eastAsia="Calibri" w:hAnsi="Calibri"/>
          <w:sz w:val="20"/>
          <w:szCs w:val="20"/>
          <w:b w:val="1"/>
          <w:bCs w:val="1"/>
          <w:color w:val="auto"/>
        </w:rPr>
      </w:pPr>
      <w:r>
        <w:rPr>
          <w:rFonts w:ascii="Calibri" w:cs="Calibri" w:eastAsia="Calibri" w:hAnsi="Calibri"/>
          <w:sz w:val="20"/>
          <w:szCs w:val="20"/>
          <w:color w:val="auto"/>
        </w:rPr>
        <w:t>Total revenues include sales of products and services to customers, net of any discounts or allowances, and freight revenues. Product revenues are recognized when control of the promised good is transferred to the customer, typically when fnished products are shipped. Intersegment and interproduct revenues are eliminated in consolidaton. Service revenues are derived from the paving business and are recognized using the percentage-of-completon method under the cost-to-cost approach. Freight revenues refect delivery arranged by the Company using a third party on behalf of the customer and are recognized consistently with the tming of the product revenues.</w:t>
      </w:r>
    </w:p>
    <w:p>
      <w:pPr>
        <w:spacing w:after="0" w:line="120" w:lineRule="exact"/>
        <w:rPr>
          <w:rFonts w:ascii="Calibri" w:cs="Calibri" w:eastAsia="Calibri" w:hAnsi="Calibri"/>
          <w:sz w:val="20"/>
          <w:szCs w:val="20"/>
          <w:b w:val="1"/>
          <w:bCs w:val="1"/>
          <w:color w:val="auto"/>
        </w:rPr>
      </w:pPr>
    </w:p>
    <w:p>
      <w:pPr>
        <w:jc w:val="both"/>
        <w:ind w:left="380"/>
        <w:spacing w:after="0" w:line="239" w:lineRule="auto"/>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Performance Obligatons. </w:t>
      </w:r>
      <w:r>
        <w:rPr>
          <w:rFonts w:ascii="Calibri" w:cs="Calibri" w:eastAsia="Calibri" w:hAnsi="Calibri"/>
          <w:sz w:val="20"/>
          <w:szCs w:val="20"/>
          <w:color w:val="auto"/>
        </w:rPr>
        <w:t>Performance obligatons are contractual promises to transfer or provide a distnct good or service for a</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stated price. The Company’s product sales agreements are single-performance obligatons that are satsfed at a point in tme. Performance obligatons within paving service agreements are satsfed over tme, primarily ranging from one day to two years. For product revenues and freight revenues, customer payment terms are generally 30 days from invoice date. Customer payments for the paving operatons are based on a contractual billing schedule and are due 30 days from invoice date.</w:t>
      </w:r>
    </w:p>
    <w:p>
      <w:pPr>
        <w:spacing w:after="0" w:line="120" w:lineRule="exact"/>
        <w:rPr>
          <w:rFonts w:ascii="Calibri" w:cs="Calibri" w:eastAsia="Calibri" w:hAnsi="Calibri"/>
          <w:sz w:val="20"/>
          <w:szCs w:val="20"/>
          <w:b w:val="1"/>
          <w:bCs w:val="1"/>
          <w:color w:val="auto"/>
        </w:rPr>
      </w:pPr>
    </w:p>
    <w:p>
      <w:pPr>
        <w:jc w:val="both"/>
        <w:ind w:left="3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Future revenues from unsatsfed performance obligatons at September 30, 2022 and 2021 were $304.3 million and $183.0 million, respectvely, where the remaining periods to complete these obligatons ranged from less than one month to 37 months and one month to 21 months, respectvely.</w:t>
      </w:r>
    </w:p>
    <w:p>
      <w:pPr>
        <w:spacing w:after="0" w:line="9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i w:val="1"/>
          <w:iCs w:val="1"/>
          <w:color w:val="auto"/>
        </w:rPr>
        <w:t xml:space="preserve">Revenue by Category. </w:t>
      </w:r>
      <w:r>
        <w:rPr>
          <w:rFonts w:ascii="Calibri" w:cs="Calibri" w:eastAsia="Calibri" w:hAnsi="Calibri"/>
          <w:sz w:val="20"/>
          <w:szCs w:val="20"/>
          <w:color w:val="auto"/>
        </w:rPr>
        <w:t>The following table presents the Company’s total revenues by category for each reportable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4"/>
          </w:tcPr>
          <w:p>
            <w:pPr>
              <w:jc w:val="center"/>
              <w:spacing w:after="0"/>
              <w:rPr>
                <w:sz w:val="20"/>
                <w:szCs w:val="20"/>
                <w:color w:val="auto"/>
              </w:rPr>
            </w:pPr>
            <w:r>
              <w:rPr>
                <w:rFonts w:ascii="Calibri" w:cs="Calibri" w:eastAsia="Calibri" w:hAnsi="Calibri"/>
                <w:sz w:val="20"/>
                <w:szCs w:val="20"/>
                <w:color w:val="auto"/>
              </w:rPr>
              <w:t>Three Months Ended</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7"/>
        </w:trPr>
        <w:tc>
          <w:tcPr>
            <w:tcW w:w="60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spacing w:after="0" w:line="234" w:lineRule="exact"/>
              <w:rPr>
                <w:sz w:val="20"/>
                <w:szCs w:val="20"/>
                <w:color w:val="auto"/>
              </w:rPr>
            </w:pPr>
            <w:r>
              <w:rPr>
                <w:rFonts w:ascii="Calibri" w:cs="Calibri" w:eastAsia="Calibri" w:hAnsi="Calibri"/>
                <w:sz w:val="20"/>
                <w:szCs w:val="20"/>
                <w:color w:val="auto"/>
              </w:rPr>
              <w:t>September 30, 2022</w:t>
            </w: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2"/>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01"/>
              <w:spacing w:after="0" w:line="192" w:lineRule="exact"/>
              <w:rPr>
                <w:sz w:val="20"/>
                <w:szCs w:val="20"/>
                <w:color w:val="auto"/>
              </w:rPr>
            </w:pPr>
            <w:r>
              <w:rPr>
                <w:rFonts w:ascii="Calibri" w:cs="Calibri" w:eastAsia="Calibri" w:hAnsi="Calibri"/>
                <w:sz w:val="20"/>
                <w:szCs w:val="20"/>
                <w:color w:val="auto"/>
              </w:rPr>
              <w:t>Products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61"/>
              <w:spacing w:after="0" w:line="234" w:lineRule="exact"/>
              <w:rPr>
                <w:sz w:val="20"/>
                <w:szCs w:val="20"/>
                <w:color w:val="auto"/>
              </w:rPr>
            </w:pPr>
            <w:r>
              <w:rPr>
                <w:rFonts w:ascii="Calibri" w:cs="Calibri" w:eastAsia="Calibri" w:hAnsi="Calibri"/>
                <w:sz w:val="20"/>
                <w:szCs w:val="20"/>
                <w:color w:val="auto"/>
              </w:rPr>
              <w:t>Services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center"/>
              <w:ind w:right="420"/>
              <w:spacing w:after="0" w:line="234" w:lineRule="exact"/>
              <w:rPr>
                <w:sz w:val="20"/>
                <w:szCs w:val="20"/>
                <w:color w:val="auto"/>
              </w:rPr>
            </w:pPr>
            <w:r>
              <w:rPr>
                <w:rFonts w:ascii="Calibri" w:cs="Calibri" w:eastAsia="Calibri" w:hAnsi="Calibri"/>
                <w:sz w:val="20"/>
                <w:szCs w:val="20"/>
                <w:color w:val="auto"/>
              </w:rPr>
              <w:t>Freight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461"/>
              <w:spacing w:after="0" w:line="234" w:lineRule="exact"/>
              <w:rPr>
                <w:sz w:val="20"/>
                <w:szCs w:val="20"/>
                <w:color w:val="auto"/>
              </w:rPr>
            </w:pPr>
            <w:r>
              <w:rPr>
                <w:rFonts w:ascii="Calibri" w:cs="Calibri" w:eastAsia="Calibri" w:hAnsi="Calibri"/>
                <w:sz w:val="20"/>
                <w:szCs w:val="20"/>
                <w:color w:val="auto"/>
              </w:rPr>
              <w:t>Total</w:t>
            </w:r>
          </w:p>
        </w:tc>
        <w:tc>
          <w:tcPr>
            <w:tcW w:w="100" w:type="dxa"/>
            <w:vAlign w:val="bottom"/>
          </w:tcPr>
          <w:p>
            <w:pPr>
              <w:spacing w:after="0"/>
              <w:rPr>
                <w:sz w:val="21"/>
                <w:szCs w:val="21"/>
                <w:color w:val="auto"/>
              </w:rPr>
            </w:pPr>
          </w:p>
        </w:tc>
      </w:tr>
      <w:tr>
        <w:trPr>
          <w:trHeight w:val="205"/>
        </w:trPr>
        <w:tc>
          <w:tcPr>
            <w:tcW w:w="6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gridSpan w:val="3"/>
          </w:tcPr>
          <w:p>
            <w:pPr>
              <w:jc w:val="center"/>
              <w:ind w:left="1"/>
              <w:spacing w:after="0" w:line="205" w:lineRule="exact"/>
              <w:rPr>
                <w:sz w:val="20"/>
                <w:szCs w:val="20"/>
                <w:color w:val="auto"/>
              </w:rPr>
            </w:pPr>
            <w:r>
              <w:rPr>
                <w:rFonts w:ascii="Calibri" w:cs="Calibri" w:eastAsia="Calibri" w:hAnsi="Calibri"/>
                <w:sz w:val="20"/>
                <w:szCs w:val="20"/>
                <w:i w:val="1"/>
                <w:iCs w:val="1"/>
                <w:color w:val="auto"/>
                <w:w w:val="98"/>
              </w:rPr>
              <w:t>(Dollars in Millions)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080" w:type="dxa"/>
            <w:vAlign w:val="bottom"/>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6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360" w:type="dxa"/>
            <w:vAlign w:val="bottom"/>
          </w:tcPr>
          <w:p>
            <w:pPr>
              <w:jc w:val="right"/>
              <w:spacing w:after="0" w:line="234" w:lineRule="exact"/>
              <w:rPr>
                <w:sz w:val="20"/>
                <w:szCs w:val="20"/>
                <w:color w:val="auto"/>
              </w:rPr>
            </w:pPr>
            <w:r>
              <w:rPr>
                <w:rFonts w:ascii="Calibri" w:cs="Calibri" w:eastAsia="Calibri" w:hAnsi="Calibri"/>
                <w:sz w:val="20"/>
                <w:szCs w:val="20"/>
                <w:color w:val="auto"/>
              </w:rPr>
              <w:t>728.5</w:t>
            </w:r>
          </w:p>
        </w:tc>
        <w:tc>
          <w:tcPr>
            <w:tcW w:w="560" w:type="dxa"/>
            <w:vAlign w:val="bottom"/>
            <w:gridSpan w:val="3"/>
          </w:tcPr>
          <w:p>
            <w:pPr>
              <w:jc w:val="right"/>
              <w:ind w:right="81"/>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45.1</w:t>
            </w:r>
          </w:p>
        </w:tc>
        <w:tc>
          <w:tcPr>
            <w:tcW w:w="120" w:type="dxa"/>
            <w:vAlign w:val="bottom"/>
          </w:tcPr>
          <w:p>
            <w:pPr>
              <w:spacing w:after="0"/>
              <w:rPr>
                <w:sz w:val="21"/>
                <w:szCs w:val="21"/>
                <w:color w:val="auto"/>
              </w:rPr>
            </w:pPr>
          </w:p>
        </w:tc>
        <w:tc>
          <w:tcPr>
            <w:tcW w:w="480" w:type="dxa"/>
            <w:vAlign w:val="bottom"/>
            <w:gridSpan w:val="2"/>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773.6</w:t>
            </w:r>
          </w:p>
        </w:tc>
        <w:tc>
          <w:tcPr>
            <w:tcW w:w="100" w:type="dxa"/>
            <w:vAlign w:val="bottom"/>
          </w:tcPr>
          <w:p>
            <w:pPr>
              <w:spacing w:after="0"/>
              <w:rPr>
                <w:sz w:val="21"/>
                <w:szCs w:val="21"/>
                <w:color w:val="auto"/>
              </w:rPr>
            </w:pPr>
          </w:p>
        </w:tc>
      </w:tr>
      <w:tr>
        <w:trPr>
          <w:trHeight w:val="239"/>
        </w:trPr>
        <w:tc>
          <w:tcPr>
            <w:tcW w:w="6080" w:type="dxa"/>
            <w:vAlign w:val="bottom"/>
            <w:tcBorders>
              <w:bottom w:val="single" w:sz="8" w:color="CFF0FC"/>
            </w:tcBorders>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West Group</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883.0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79.4</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962.4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08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160" w:type="dxa"/>
            <w:vAlign w:val="bottom"/>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Calibri" w:cs="Calibri" w:eastAsia="Calibri" w:hAnsi="Calibri"/>
                <w:sz w:val="20"/>
                <w:szCs w:val="20"/>
                <w:color w:val="auto"/>
              </w:rPr>
              <w:t>1,611.5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Calibri" w:cs="Calibri" w:eastAsia="Calibri" w:hAnsi="Calibri"/>
                <w:sz w:val="20"/>
                <w:szCs w:val="20"/>
                <w:color w:val="auto"/>
              </w:rPr>
              <w:t>124.5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1,736.0</w:t>
            </w:r>
          </w:p>
        </w:tc>
        <w:tc>
          <w:tcPr>
            <w:tcW w:w="100" w:type="dxa"/>
            <w:vAlign w:val="bottom"/>
          </w:tcPr>
          <w:p>
            <w:pPr>
              <w:spacing w:after="0"/>
              <w:rPr>
                <w:sz w:val="19"/>
                <w:szCs w:val="19"/>
                <w:color w:val="auto"/>
              </w:rPr>
            </w:pPr>
          </w:p>
        </w:tc>
      </w:tr>
      <w:tr>
        <w:trPr>
          <w:trHeight w:val="230"/>
        </w:trPr>
        <w:tc>
          <w:tcPr>
            <w:tcW w:w="608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69.0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080" w:type="dxa"/>
            <w:vAlign w:val="bottom"/>
          </w:tcPr>
          <w:p>
            <w:pPr>
              <w:ind w:left="20"/>
              <w:spacing w:after="0" w:line="223" w:lineRule="exact"/>
              <w:rPr>
                <w:sz w:val="20"/>
                <w:szCs w:val="20"/>
                <w:color w:val="auto"/>
              </w:rPr>
            </w:pPr>
            <w:r>
              <w:rPr>
                <w:rFonts w:ascii="Calibri" w:cs="Calibri" w:eastAsia="Calibri" w:hAnsi="Calibri"/>
                <w:sz w:val="20"/>
                <w:szCs w:val="20"/>
                <w:color w:val="auto"/>
              </w:rPr>
              <w:t>Total</w:t>
            </w:r>
          </w:p>
        </w:tc>
        <w:tc>
          <w:tcPr>
            <w:tcW w:w="1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3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1,680.5</w:t>
            </w:r>
          </w:p>
        </w:tc>
        <w:tc>
          <w:tcPr>
            <w:tcW w:w="26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81"/>
              <w:spacing w:after="0" w:line="223" w:lineRule="exact"/>
              <w:rPr>
                <w:sz w:val="20"/>
                <w:szCs w:val="20"/>
                <w:color w:val="auto"/>
              </w:rPr>
            </w:pPr>
            <w:r>
              <w:rPr>
                <w:rFonts w:ascii="Calibri" w:cs="Calibri" w:eastAsia="Calibri" w:hAnsi="Calibri"/>
                <w:sz w:val="20"/>
                <w:szCs w:val="20"/>
                <w:color w:val="auto"/>
                <w:w w:val="98"/>
              </w:rPr>
              <w:t>$</w:t>
            </w:r>
          </w:p>
        </w:tc>
        <w:tc>
          <w:tcPr>
            <w:tcW w:w="12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21"/>
              <w:spacing w:after="0" w:line="223"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1,811.7</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9"/>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Calibri" w:cs="Calibri" w:eastAsia="Calibri" w:hAnsi="Calibri"/>
                <w:sz w:val="20"/>
                <w:szCs w:val="20"/>
                <w:color w:val="auto"/>
              </w:rPr>
              <w:t>Three Months Ended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7"/>
        </w:trPr>
        <w:tc>
          <w:tcPr>
            <w:tcW w:w="60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spacing w:after="0" w:line="234" w:lineRule="exact"/>
              <w:rPr>
                <w:sz w:val="20"/>
                <w:szCs w:val="20"/>
                <w:color w:val="auto"/>
              </w:rPr>
            </w:pPr>
            <w:r>
              <w:rPr>
                <w:rFonts w:ascii="Calibri" w:cs="Calibri" w:eastAsia="Calibri" w:hAnsi="Calibri"/>
                <w:sz w:val="20"/>
                <w:szCs w:val="20"/>
                <w:color w:val="auto"/>
              </w:rPr>
              <w:t>September 30, 2021</w:t>
            </w: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2"/>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101"/>
              <w:spacing w:after="0" w:line="192" w:lineRule="exact"/>
              <w:rPr>
                <w:sz w:val="20"/>
                <w:szCs w:val="20"/>
                <w:color w:val="auto"/>
              </w:rPr>
            </w:pPr>
            <w:r>
              <w:rPr>
                <w:rFonts w:ascii="Calibri" w:cs="Calibri" w:eastAsia="Calibri" w:hAnsi="Calibri"/>
                <w:sz w:val="20"/>
                <w:szCs w:val="20"/>
                <w:color w:val="auto"/>
              </w:rPr>
              <w:t>Products and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center"/>
              <w:ind w:right="61"/>
              <w:spacing w:after="0" w:line="234" w:lineRule="exact"/>
              <w:rPr>
                <w:sz w:val="20"/>
                <w:szCs w:val="20"/>
                <w:color w:val="auto"/>
              </w:rPr>
            </w:pPr>
            <w:r>
              <w:rPr>
                <w:rFonts w:ascii="Calibri" w:cs="Calibri" w:eastAsia="Calibri" w:hAnsi="Calibri"/>
                <w:sz w:val="20"/>
                <w:szCs w:val="20"/>
                <w:color w:val="auto"/>
              </w:rPr>
              <w:t>Services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center"/>
              <w:ind w:right="420"/>
              <w:spacing w:after="0" w:line="234" w:lineRule="exact"/>
              <w:rPr>
                <w:sz w:val="20"/>
                <w:szCs w:val="20"/>
                <w:color w:val="auto"/>
              </w:rPr>
            </w:pPr>
            <w:r>
              <w:rPr>
                <w:rFonts w:ascii="Calibri" w:cs="Calibri" w:eastAsia="Calibri" w:hAnsi="Calibri"/>
                <w:sz w:val="20"/>
                <w:szCs w:val="20"/>
                <w:color w:val="auto"/>
              </w:rPr>
              <w:t>Freight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461"/>
              <w:spacing w:after="0" w:line="234" w:lineRule="exact"/>
              <w:rPr>
                <w:sz w:val="20"/>
                <w:szCs w:val="20"/>
                <w:color w:val="auto"/>
              </w:rPr>
            </w:pPr>
            <w:r>
              <w:rPr>
                <w:rFonts w:ascii="Calibri" w:cs="Calibri" w:eastAsia="Calibri" w:hAnsi="Calibri"/>
                <w:sz w:val="20"/>
                <w:szCs w:val="20"/>
                <w:color w:val="auto"/>
              </w:rPr>
              <w:t>Total</w:t>
            </w:r>
          </w:p>
        </w:tc>
        <w:tc>
          <w:tcPr>
            <w:tcW w:w="100" w:type="dxa"/>
            <w:vAlign w:val="bottom"/>
          </w:tcPr>
          <w:p>
            <w:pPr>
              <w:spacing w:after="0"/>
              <w:rPr>
                <w:sz w:val="21"/>
                <w:szCs w:val="21"/>
                <w:color w:val="auto"/>
              </w:rPr>
            </w:pPr>
          </w:p>
        </w:tc>
      </w:tr>
      <w:tr>
        <w:trPr>
          <w:trHeight w:val="205"/>
        </w:trPr>
        <w:tc>
          <w:tcPr>
            <w:tcW w:w="6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gridSpan w:val="3"/>
          </w:tcPr>
          <w:p>
            <w:pPr>
              <w:jc w:val="center"/>
              <w:ind w:left="1"/>
              <w:spacing w:after="0" w:line="205" w:lineRule="exact"/>
              <w:rPr>
                <w:sz w:val="20"/>
                <w:szCs w:val="20"/>
                <w:color w:val="auto"/>
              </w:rPr>
            </w:pPr>
            <w:r>
              <w:rPr>
                <w:rFonts w:ascii="Calibri" w:cs="Calibri" w:eastAsia="Calibri" w:hAnsi="Calibri"/>
                <w:sz w:val="20"/>
                <w:szCs w:val="20"/>
                <w:i w:val="1"/>
                <w:iCs w:val="1"/>
                <w:color w:val="auto"/>
                <w:w w:val="98"/>
              </w:rPr>
              <w:t>(Dollars in Millions)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080" w:type="dxa"/>
            <w:vAlign w:val="bottom"/>
          </w:tcPr>
          <w:p>
            <w:pPr>
              <w:ind w:left="20"/>
              <w:spacing w:after="0" w:line="234" w:lineRule="exact"/>
              <w:rPr>
                <w:sz w:val="20"/>
                <w:szCs w:val="20"/>
                <w:color w:val="auto"/>
              </w:rPr>
            </w:pPr>
            <w:r>
              <w:rPr>
                <w:rFonts w:ascii="Calibri" w:cs="Calibri" w:eastAsia="Calibri" w:hAnsi="Calibri"/>
                <w:sz w:val="20"/>
                <w:szCs w:val="20"/>
                <w:color w:val="auto"/>
              </w:rPr>
              <w:t>East Group</w:t>
            </w:r>
          </w:p>
        </w:tc>
        <w:tc>
          <w:tcPr>
            <w:tcW w:w="16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360" w:type="dxa"/>
            <w:vAlign w:val="bottom"/>
          </w:tcPr>
          <w:p>
            <w:pPr>
              <w:jc w:val="right"/>
              <w:spacing w:after="0" w:line="234" w:lineRule="exact"/>
              <w:rPr>
                <w:sz w:val="20"/>
                <w:szCs w:val="20"/>
                <w:color w:val="auto"/>
              </w:rPr>
            </w:pPr>
            <w:r>
              <w:rPr>
                <w:rFonts w:ascii="Calibri" w:cs="Calibri" w:eastAsia="Calibri" w:hAnsi="Calibri"/>
                <w:sz w:val="20"/>
                <w:szCs w:val="20"/>
                <w:color w:val="auto"/>
              </w:rPr>
              <w:t>641.8</w:t>
            </w:r>
          </w:p>
        </w:tc>
        <w:tc>
          <w:tcPr>
            <w:tcW w:w="560" w:type="dxa"/>
            <w:vAlign w:val="bottom"/>
            <w:gridSpan w:val="3"/>
          </w:tcPr>
          <w:p>
            <w:pPr>
              <w:jc w:val="right"/>
              <w:ind w:right="81"/>
              <w:spacing w:after="0" w:line="234" w:lineRule="exact"/>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line="234" w:lineRule="exact"/>
              <w:rPr>
                <w:sz w:val="20"/>
                <w:szCs w:val="20"/>
                <w:color w:val="auto"/>
              </w:rPr>
            </w:pPr>
            <w:r>
              <w:rPr>
                <w:rFonts w:ascii="Calibri" w:cs="Calibri" w:eastAsia="Calibri" w:hAnsi="Calibri"/>
                <w:sz w:val="20"/>
                <w:szCs w:val="20"/>
                <w:color w:val="auto"/>
              </w:rPr>
              <w:t>42.3</w:t>
            </w:r>
          </w:p>
        </w:tc>
        <w:tc>
          <w:tcPr>
            <w:tcW w:w="120" w:type="dxa"/>
            <w:vAlign w:val="bottom"/>
          </w:tcPr>
          <w:p>
            <w:pPr>
              <w:spacing w:after="0"/>
              <w:rPr>
                <w:sz w:val="21"/>
                <w:szCs w:val="21"/>
                <w:color w:val="auto"/>
              </w:rPr>
            </w:pPr>
          </w:p>
        </w:tc>
        <w:tc>
          <w:tcPr>
            <w:tcW w:w="480" w:type="dxa"/>
            <w:vAlign w:val="bottom"/>
            <w:gridSpan w:val="2"/>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684.1</w:t>
            </w:r>
          </w:p>
        </w:tc>
        <w:tc>
          <w:tcPr>
            <w:tcW w:w="100" w:type="dxa"/>
            <w:vAlign w:val="bottom"/>
          </w:tcPr>
          <w:p>
            <w:pPr>
              <w:spacing w:after="0"/>
              <w:rPr>
                <w:sz w:val="21"/>
                <w:szCs w:val="21"/>
                <w:color w:val="auto"/>
              </w:rPr>
            </w:pPr>
          </w:p>
        </w:tc>
      </w:tr>
      <w:tr>
        <w:trPr>
          <w:trHeight w:val="239"/>
        </w:trPr>
        <w:tc>
          <w:tcPr>
            <w:tcW w:w="6080" w:type="dxa"/>
            <w:vAlign w:val="bottom"/>
            <w:tcBorders>
              <w:bottom w:val="single" w:sz="8" w:color="CFF0FC"/>
            </w:tcBorders>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West Group</w:t>
            </w: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749.0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45.8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794.8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08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160" w:type="dxa"/>
            <w:vAlign w:val="bottom"/>
          </w:tcPr>
          <w:p>
            <w:pPr>
              <w:spacing w:after="0"/>
              <w:rPr>
                <w:sz w:val="19"/>
                <w:szCs w:val="19"/>
                <w:color w:val="auto"/>
              </w:rPr>
            </w:pPr>
          </w:p>
        </w:tc>
        <w:tc>
          <w:tcPr>
            <w:tcW w:w="1360" w:type="dxa"/>
            <w:vAlign w:val="bottom"/>
          </w:tcPr>
          <w:p>
            <w:pPr>
              <w:jc w:val="right"/>
              <w:spacing w:after="0" w:line="223" w:lineRule="exact"/>
              <w:rPr>
                <w:sz w:val="20"/>
                <w:szCs w:val="20"/>
                <w:color w:val="auto"/>
              </w:rPr>
            </w:pPr>
            <w:r>
              <w:rPr>
                <w:rFonts w:ascii="Calibri" w:cs="Calibri" w:eastAsia="Calibri" w:hAnsi="Calibri"/>
                <w:sz w:val="20"/>
                <w:szCs w:val="20"/>
                <w:color w:val="auto"/>
              </w:rPr>
              <w:t>1,390.8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Calibri" w:cs="Calibri" w:eastAsia="Calibri" w:hAnsi="Calibri"/>
                <w:sz w:val="20"/>
                <w:szCs w:val="20"/>
                <w:color w:val="auto"/>
              </w:rPr>
              <w:t>88.1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1,478.9</w:t>
            </w:r>
          </w:p>
        </w:tc>
        <w:tc>
          <w:tcPr>
            <w:tcW w:w="100" w:type="dxa"/>
            <w:vAlign w:val="bottom"/>
          </w:tcPr>
          <w:p>
            <w:pPr>
              <w:spacing w:after="0"/>
              <w:rPr>
                <w:sz w:val="19"/>
                <w:szCs w:val="19"/>
                <w:color w:val="auto"/>
              </w:rPr>
            </w:pPr>
          </w:p>
        </w:tc>
      </w:tr>
      <w:tr>
        <w:trPr>
          <w:trHeight w:val="230"/>
        </w:trPr>
        <w:tc>
          <w:tcPr>
            <w:tcW w:w="608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71.9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080" w:type="dxa"/>
            <w:vAlign w:val="bottom"/>
          </w:tcPr>
          <w:p>
            <w:pPr>
              <w:ind w:left="20"/>
              <w:spacing w:after="0" w:line="223" w:lineRule="exact"/>
              <w:rPr>
                <w:sz w:val="20"/>
                <w:szCs w:val="20"/>
                <w:color w:val="auto"/>
              </w:rPr>
            </w:pPr>
            <w:r>
              <w:rPr>
                <w:rFonts w:ascii="Calibri" w:cs="Calibri" w:eastAsia="Calibri" w:hAnsi="Calibri"/>
                <w:sz w:val="20"/>
                <w:szCs w:val="20"/>
                <w:color w:val="auto"/>
              </w:rPr>
              <w:t>Total</w:t>
            </w:r>
          </w:p>
        </w:tc>
        <w:tc>
          <w:tcPr>
            <w:tcW w:w="160" w:type="dxa"/>
            <w:vAlign w:val="bottom"/>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360" w:type="dxa"/>
            <w:vAlign w:val="bottom"/>
          </w:tcPr>
          <w:p>
            <w:pPr>
              <w:jc w:val="right"/>
              <w:spacing w:after="0" w:line="223" w:lineRule="exact"/>
              <w:rPr>
                <w:sz w:val="20"/>
                <w:szCs w:val="20"/>
                <w:color w:val="auto"/>
              </w:rPr>
            </w:pPr>
            <w:r>
              <w:rPr>
                <w:rFonts w:ascii="Calibri" w:cs="Calibri" w:eastAsia="Calibri" w:hAnsi="Calibri"/>
                <w:sz w:val="20"/>
                <w:szCs w:val="20"/>
                <w:color w:val="auto"/>
              </w:rPr>
              <w:t>1,462.7</w:t>
            </w:r>
          </w:p>
        </w:tc>
        <w:tc>
          <w:tcPr>
            <w:tcW w:w="560" w:type="dxa"/>
            <w:vAlign w:val="bottom"/>
            <w:gridSpan w:val="3"/>
          </w:tcPr>
          <w:p>
            <w:pPr>
              <w:jc w:val="right"/>
              <w:ind w:right="81"/>
              <w:spacing w:after="0" w:line="223" w:lineRule="exact"/>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line="223" w:lineRule="exact"/>
              <w:rPr>
                <w:sz w:val="20"/>
                <w:szCs w:val="20"/>
                <w:color w:val="auto"/>
              </w:rPr>
            </w:pPr>
            <w:r>
              <w:rPr>
                <w:rFonts w:ascii="Calibri" w:cs="Calibri" w:eastAsia="Calibri" w:hAnsi="Calibri"/>
                <w:sz w:val="20"/>
                <w:szCs w:val="20"/>
                <w:color w:val="auto"/>
              </w:rPr>
              <w:t>94.6</w:t>
            </w:r>
          </w:p>
        </w:tc>
        <w:tc>
          <w:tcPr>
            <w:tcW w:w="120" w:type="dxa"/>
            <w:vAlign w:val="bottom"/>
          </w:tcPr>
          <w:p>
            <w:pPr>
              <w:spacing w:after="0"/>
              <w:rPr>
                <w:sz w:val="19"/>
                <w:szCs w:val="19"/>
                <w:color w:val="auto"/>
              </w:rPr>
            </w:pPr>
          </w:p>
        </w:tc>
        <w:tc>
          <w:tcPr>
            <w:tcW w:w="480" w:type="dxa"/>
            <w:vAlign w:val="bottom"/>
            <w:gridSpan w:val="2"/>
          </w:tcPr>
          <w:p>
            <w:pPr>
              <w:jc w:val="right"/>
              <w:ind w:right="121"/>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1,557.3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-2142490</wp:posOffset>
            </wp:positionV>
            <wp:extent cx="7683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-2142490</wp:posOffset>
            </wp:positionV>
            <wp:extent cx="6858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-1842135</wp:posOffset>
            </wp:positionV>
            <wp:extent cx="76835" cy="3340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-1842135</wp:posOffset>
            </wp:positionV>
            <wp:extent cx="68580" cy="3340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3340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12172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2172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-479425</wp:posOffset>
            </wp:positionV>
            <wp:extent cx="7683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-479425</wp:posOffset>
            </wp:positionV>
            <wp:extent cx="685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-179070</wp:posOffset>
            </wp:positionV>
            <wp:extent cx="7683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-179070</wp:posOffset>
            </wp:positionV>
            <wp:extent cx="6858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5" w:lineRule="exact"/>
        <w:rPr>
          <w:sz w:val="20"/>
          <w:szCs w:val="20"/>
          <w:color w:val="auto"/>
        </w:rPr>
      </w:pPr>
    </w:p>
    <w:p>
      <w:pPr>
        <w:ind w:left="380"/>
        <w:spacing w:after="0" w:line="234" w:lineRule="auto"/>
        <w:rPr>
          <w:sz w:val="20"/>
          <w:szCs w:val="20"/>
          <w:color w:val="auto"/>
        </w:rPr>
      </w:pPr>
      <w:r>
        <w:rPr>
          <w:rFonts w:ascii="Calibri" w:cs="Calibri" w:eastAsia="Calibri" w:hAnsi="Calibri"/>
          <w:sz w:val="20"/>
          <w:szCs w:val="20"/>
          <w:color w:val="auto"/>
        </w:rPr>
        <w:t>Service revenues, which include paving services located in California and Colorado, were $138.7 million and $100.5 million for the three months ended September 30, 2022 and 2021, respectvely, and are reported in the West Group.</w:t>
      </w:r>
    </w:p>
    <w:p>
      <w:pPr>
        <w:jc w:val="center"/>
        <w:spacing w:after="0" w:line="226" w:lineRule="auto"/>
        <w:rPr>
          <w:sz w:val="20"/>
          <w:szCs w:val="20"/>
          <w:color w:val="auto"/>
        </w:rPr>
      </w:pPr>
      <w:r>
        <w:rPr>
          <w:rFonts w:ascii="Calibri" w:cs="Calibri" w:eastAsia="Calibri" w:hAnsi="Calibri"/>
          <w:sz w:val="20"/>
          <w:szCs w:val="20"/>
          <w:color w:val="auto"/>
        </w:rPr>
        <w:t>Page 13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13" w:name="page14"/>
    <w:bookmarkEnd w:id="1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3"/>
          </w:tcPr>
          <w:p>
            <w:pPr>
              <w:jc w:val="center"/>
              <w:spacing w:after="0"/>
              <w:rPr>
                <w:sz w:val="20"/>
                <w:szCs w:val="20"/>
                <w:color w:val="auto"/>
              </w:rPr>
            </w:pPr>
            <w:r>
              <w:rPr>
                <w:rFonts w:ascii="Calibri" w:cs="Calibri" w:eastAsia="Calibri" w:hAnsi="Calibri"/>
                <w:sz w:val="20"/>
                <w:szCs w:val="20"/>
                <w:color w:val="auto"/>
              </w:rPr>
              <w:t>Nine Months Ended</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7"/>
        </w:trPr>
        <w:tc>
          <w:tcPr>
            <w:tcW w:w="6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spacing w:after="0" w:line="234" w:lineRule="exact"/>
              <w:rPr>
                <w:sz w:val="20"/>
                <w:szCs w:val="20"/>
                <w:color w:val="auto"/>
              </w:rPr>
            </w:pPr>
            <w:r>
              <w:rPr>
                <w:rFonts w:ascii="Calibri" w:cs="Calibri" w:eastAsia="Calibri" w:hAnsi="Calibri"/>
                <w:sz w:val="20"/>
                <w:szCs w:val="20"/>
                <w:color w:val="auto"/>
              </w:rPr>
              <w:t>September 30, 2022</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101"/>
              <w:spacing w:after="0" w:line="192" w:lineRule="exact"/>
              <w:rPr>
                <w:sz w:val="20"/>
                <w:szCs w:val="20"/>
                <w:color w:val="auto"/>
              </w:rPr>
            </w:pPr>
            <w:r>
              <w:rPr>
                <w:rFonts w:ascii="Calibri" w:cs="Calibri" w:eastAsia="Calibri" w:hAnsi="Calibri"/>
                <w:sz w:val="20"/>
                <w:szCs w:val="20"/>
                <w:color w:val="auto"/>
              </w:rPr>
              <w:t>Products and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6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9"/>
              </w:rPr>
              <w:t>Services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2"/>
          </w:tcPr>
          <w:p>
            <w:pPr>
              <w:jc w:val="center"/>
              <w:ind w:right="400"/>
              <w:spacing w:after="0" w:line="234" w:lineRule="exact"/>
              <w:rPr>
                <w:sz w:val="20"/>
                <w:szCs w:val="20"/>
                <w:color w:val="auto"/>
              </w:rPr>
            </w:pPr>
            <w:r>
              <w:rPr>
                <w:rFonts w:ascii="Calibri" w:cs="Calibri" w:eastAsia="Calibri" w:hAnsi="Calibri"/>
                <w:sz w:val="20"/>
                <w:szCs w:val="20"/>
                <w:color w:val="auto"/>
              </w:rPr>
              <w:t>Freight</w:t>
            </w:r>
          </w:p>
        </w:tc>
        <w:tc>
          <w:tcPr>
            <w:tcW w:w="480" w:type="dxa"/>
            <w:vAlign w:val="bottom"/>
          </w:tcPr>
          <w:p>
            <w:pPr>
              <w:spacing w:after="0"/>
              <w:rPr>
                <w:sz w:val="21"/>
                <w:szCs w:val="21"/>
                <w:color w:val="auto"/>
              </w:rPr>
            </w:pPr>
          </w:p>
        </w:tc>
        <w:tc>
          <w:tcPr>
            <w:tcW w:w="1140" w:type="dxa"/>
            <w:vAlign w:val="bottom"/>
          </w:tcPr>
          <w:p>
            <w:pPr>
              <w:jc w:val="right"/>
              <w:ind w:right="441"/>
              <w:spacing w:after="0" w:line="234" w:lineRule="exact"/>
              <w:rPr>
                <w:sz w:val="20"/>
                <w:szCs w:val="20"/>
                <w:color w:val="auto"/>
              </w:rPr>
            </w:pPr>
            <w:r>
              <w:rPr>
                <w:rFonts w:ascii="Calibri" w:cs="Calibri" w:eastAsia="Calibri" w:hAnsi="Calibri"/>
                <w:sz w:val="20"/>
                <w:szCs w:val="20"/>
                <w:color w:val="auto"/>
              </w:rPr>
              <w:t>Total</w:t>
            </w:r>
          </w:p>
        </w:tc>
        <w:tc>
          <w:tcPr>
            <w:tcW w:w="100" w:type="dxa"/>
            <w:vAlign w:val="bottom"/>
          </w:tcPr>
          <w:p>
            <w:pPr>
              <w:spacing w:after="0"/>
              <w:rPr>
                <w:sz w:val="21"/>
                <w:szCs w:val="21"/>
                <w:color w:val="auto"/>
              </w:rPr>
            </w:pPr>
          </w:p>
        </w:tc>
      </w:tr>
      <w:tr>
        <w:trPr>
          <w:trHeight w:val="230"/>
        </w:trPr>
        <w:tc>
          <w:tcPr>
            <w:tcW w:w="6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top w:val="single" w:sz="8" w:color="auto"/>
            </w:tcBorders>
            <w:gridSpan w:val="2"/>
          </w:tcPr>
          <w:p>
            <w:pPr>
              <w:jc w:val="center"/>
              <w:spacing w:after="0" w:line="229" w:lineRule="exact"/>
              <w:rPr>
                <w:sz w:val="20"/>
                <w:szCs w:val="20"/>
                <w:color w:val="auto"/>
              </w:rPr>
            </w:pPr>
            <w:r>
              <w:rPr>
                <w:rFonts w:ascii="Calibri" w:cs="Calibri" w:eastAsia="Calibri" w:hAnsi="Calibri"/>
                <w:sz w:val="20"/>
                <w:szCs w:val="20"/>
                <w:i w:val="1"/>
                <w:iCs w:val="1"/>
                <w:color w:val="auto"/>
                <w:w w:val="98"/>
              </w:rPr>
              <w:t>(Dollars in Millions)</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East Group</w:t>
            </w:r>
          </w:p>
        </w:tc>
        <w:tc>
          <w:tcPr>
            <w:tcW w:w="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13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1,755.5</w:t>
            </w:r>
          </w:p>
        </w:tc>
        <w:tc>
          <w:tcPr>
            <w:tcW w:w="560" w:type="dxa"/>
            <w:vAlign w:val="bottom"/>
            <w:gridSpan w:val="2"/>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111.4</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21"/>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1,866.9</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0"/>
              <w:spacing w:after="0" w:line="229" w:lineRule="exact"/>
              <w:rPr>
                <w:sz w:val="20"/>
                <w:szCs w:val="20"/>
                <w:color w:val="auto"/>
              </w:rPr>
            </w:pPr>
            <w:r>
              <w:rPr>
                <w:rFonts w:ascii="Calibri" w:cs="Calibri" w:eastAsia="Calibri" w:hAnsi="Calibri"/>
                <w:sz w:val="20"/>
                <w:szCs w:val="20"/>
                <w:color w:val="auto"/>
              </w:rPr>
              <w:t>West Group</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2,382.2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200.7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2,582.9</w:t>
            </w:r>
          </w:p>
        </w:tc>
        <w:tc>
          <w:tcPr>
            <w:tcW w:w="100" w:type="dxa"/>
            <w:vAlign w:val="bottom"/>
          </w:tcPr>
          <w:p>
            <w:pPr>
              <w:spacing w:after="0"/>
              <w:rPr>
                <w:sz w:val="19"/>
                <w:szCs w:val="19"/>
                <w:color w:val="auto"/>
              </w:rPr>
            </w:pPr>
          </w:p>
        </w:tc>
      </w:tr>
      <w:tr>
        <w:trPr>
          <w:trHeight w:val="223"/>
        </w:trPr>
        <w:tc>
          <w:tcPr>
            <w:tcW w:w="620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4,137.7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312.1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4,449.8</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214.4</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234.4</w:t>
            </w:r>
          </w:p>
        </w:tc>
        <w:tc>
          <w:tcPr>
            <w:tcW w:w="100" w:type="dxa"/>
            <w:vAlign w:val="bottom"/>
          </w:tcPr>
          <w:p>
            <w:pPr>
              <w:spacing w:after="0"/>
              <w:rPr>
                <w:sz w:val="19"/>
                <w:szCs w:val="19"/>
                <w:color w:val="auto"/>
              </w:rPr>
            </w:pPr>
          </w:p>
        </w:tc>
      </w:tr>
      <w:tr>
        <w:trPr>
          <w:trHeight w:val="263"/>
        </w:trPr>
        <w:tc>
          <w:tcPr>
            <w:tcW w:w="620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132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4,352.1</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61"/>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332.1</w:t>
            </w:r>
          </w:p>
        </w:tc>
        <w:tc>
          <w:tcPr>
            <w:tcW w:w="1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121"/>
              <w:spacing w:after="0" w:line="223"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4,684.2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9"/>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Calibri" w:cs="Calibri" w:eastAsia="Calibri" w:hAnsi="Calibri"/>
                <w:sz w:val="20"/>
                <w:szCs w:val="20"/>
                <w:color w:val="auto"/>
              </w:rPr>
              <w:t>Nine Months Ended</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7"/>
        </w:trPr>
        <w:tc>
          <w:tcPr>
            <w:tcW w:w="6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spacing w:after="0" w:line="234" w:lineRule="exact"/>
              <w:rPr>
                <w:sz w:val="20"/>
                <w:szCs w:val="20"/>
                <w:color w:val="auto"/>
              </w:rPr>
            </w:pPr>
            <w:r>
              <w:rPr>
                <w:rFonts w:ascii="Calibri" w:cs="Calibri" w:eastAsia="Calibri" w:hAnsi="Calibri"/>
                <w:sz w:val="20"/>
                <w:szCs w:val="20"/>
                <w:color w:val="auto"/>
              </w:rPr>
              <w:t>September 30, 2021</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101"/>
              <w:spacing w:after="0" w:line="192" w:lineRule="exact"/>
              <w:rPr>
                <w:sz w:val="20"/>
                <w:szCs w:val="20"/>
                <w:color w:val="auto"/>
              </w:rPr>
            </w:pPr>
            <w:r>
              <w:rPr>
                <w:rFonts w:ascii="Calibri" w:cs="Calibri" w:eastAsia="Calibri" w:hAnsi="Calibri"/>
                <w:sz w:val="20"/>
                <w:szCs w:val="20"/>
                <w:color w:val="auto"/>
              </w:rPr>
              <w:t>Products and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6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41"/>
              <w:spacing w:after="0" w:line="234" w:lineRule="exact"/>
              <w:rPr>
                <w:sz w:val="20"/>
                <w:szCs w:val="20"/>
                <w:color w:val="auto"/>
              </w:rPr>
            </w:pPr>
            <w:r>
              <w:rPr>
                <w:rFonts w:ascii="Calibri" w:cs="Calibri" w:eastAsia="Calibri" w:hAnsi="Calibri"/>
                <w:sz w:val="20"/>
                <w:szCs w:val="20"/>
                <w:color w:val="auto"/>
                <w:w w:val="99"/>
              </w:rPr>
              <w:t>Services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2"/>
          </w:tcPr>
          <w:p>
            <w:pPr>
              <w:jc w:val="center"/>
              <w:ind w:right="400"/>
              <w:spacing w:after="0" w:line="234" w:lineRule="exact"/>
              <w:rPr>
                <w:sz w:val="20"/>
                <w:szCs w:val="20"/>
                <w:color w:val="auto"/>
              </w:rPr>
            </w:pPr>
            <w:r>
              <w:rPr>
                <w:rFonts w:ascii="Calibri" w:cs="Calibri" w:eastAsia="Calibri" w:hAnsi="Calibri"/>
                <w:sz w:val="20"/>
                <w:szCs w:val="20"/>
                <w:color w:val="auto"/>
              </w:rPr>
              <w:t>Freight</w:t>
            </w:r>
          </w:p>
        </w:tc>
        <w:tc>
          <w:tcPr>
            <w:tcW w:w="480" w:type="dxa"/>
            <w:vAlign w:val="bottom"/>
          </w:tcPr>
          <w:p>
            <w:pPr>
              <w:spacing w:after="0"/>
              <w:rPr>
                <w:sz w:val="21"/>
                <w:szCs w:val="21"/>
                <w:color w:val="auto"/>
              </w:rPr>
            </w:pPr>
          </w:p>
        </w:tc>
        <w:tc>
          <w:tcPr>
            <w:tcW w:w="1140" w:type="dxa"/>
            <w:vAlign w:val="bottom"/>
          </w:tcPr>
          <w:p>
            <w:pPr>
              <w:jc w:val="right"/>
              <w:ind w:right="441"/>
              <w:spacing w:after="0" w:line="234" w:lineRule="exact"/>
              <w:rPr>
                <w:sz w:val="20"/>
                <w:szCs w:val="20"/>
                <w:color w:val="auto"/>
              </w:rPr>
            </w:pPr>
            <w:r>
              <w:rPr>
                <w:rFonts w:ascii="Calibri" w:cs="Calibri" w:eastAsia="Calibri" w:hAnsi="Calibri"/>
                <w:sz w:val="20"/>
                <w:szCs w:val="20"/>
                <w:color w:val="auto"/>
              </w:rPr>
              <w:t>Total</w:t>
            </w:r>
          </w:p>
        </w:tc>
        <w:tc>
          <w:tcPr>
            <w:tcW w:w="100" w:type="dxa"/>
            <w:vAlign w:val="bottom"/>
          </w:tcPr>
          <w:p>
            <w:pPr>
              <w:spacing w:after="0"/>
              <w:rPr>
                <w:sz w:val="21"/>
                <w:szCs w:val="21"/>
                <w:color w:val="auto"/>
              </w:rPr>
            </w:pPr>
          </w:p>
        </w:tc>
      </w:tr>
      <w:tr>
        <w:trPr>
          <w:trHeight w:val="229"/>
        </w:trPr>
        <w:tc>
          <w:tcPr>
            <w:tcW w:w="6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top w:val="single" w:sz="8" w:color="auto"/>
            </w:tcBorders>
            <w:gridSpan w:val="2"/>
          </w:tcPr>
          <w:p>
            <w:pPr>
              <w:jc w:val="center"/>
              <w:spacing w:after="0" w:line="229" w:lineRule="exact"/>
              <w:rPr>
                <w:sz w:val="20"/>
                <w:szCs w:val="20"/>
                <w:color w:val="auto"/>
              </w:rPr>
            </w:pPr>
            <w:r>
              <w:rPr>
                <w:rFonts w:ascii="Calibri" w:cs="Calibri" w:eastAsia="Calibri" w:hAnsi="Calibri"/>
                <w:sz w:val="20"/>
                <w:szCs w:val="20"/>
                <w:i w:val="1"/>
                <w:iCs w:val="1"/>
                <w:color w:val="auto"/>
                <w:w w:val="98"/>
              </w:rPr>
              <w:t>(Dollars in Millions)</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East Group</w:t>
            </w:r>
          </w:p>
        </w:tc>
        <w:tc>
          <w:tcPr>
            <w:tcW w:w="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13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1,610.9</w:t>
            </w:r>
          </w:p>
        </w:tc>
        <w:tc>
          <w:tcPr>
            <w:tcW w:w="560" w:type="dxa"/>
            <w:vAlign w:val="bottom"/>
            <w:gridSpan w:val="2"/>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103.5</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21"/>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1,714.4</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ind w:left="20"/>
              <w:spacing w:after="0" w:line="229" w:lineRule="exact"/>
              <w:rPr>
                <w:sz w:val="20"/>
                <w:szCs w:val="20"/>
                <w:color w:val="auto"/>
              </w:rPr>
            </w:pPr>
            <w:r>
              <w:rPr>
                <w:rFonts w:ascii="Calibri" w:cs="Calibri" w:eastAsia="Calibri" w:hAnsi="Calibri"/>
                <w:sz w:val="20"/>
                <w:szCs w:val="20"/>
                <w:color w:val="auto"/>
              </w:rPr>
              <w:t>West Group</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1,861.9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116.3</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1,978.2</w:t>
            </w:r>
          </w:p>
        </w:tc>
        <w:tc>
          <w:tcPr>
            <w:tcW w:w="100" w:type="dxa"/>
            <w:vAlign w:val="bottom"/>
          </w:tcPr>
          <w:p>
            <w:pPr>
              <w:spacing w:after="0"/>
              <w:rPr>
                <w:sz w:val="19"/>
                <w:szCs w:val="19"/>
                <w:color w:val="auto"/>
              </w:rPr>
            </w:pPr>
          </w:p>
        </w:tc>
      </w:tr>
      <w:tr>
        <w:trPr>
          <w:trHeight w:val="223"/>
        </w:trPr>
        <w:tc>
          <w:tcPr>
            <w:tcW w:w="620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3,472.8</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219.8</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3,692.6</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207.1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17.9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225.0</w:t>
            </w:r>
          </w:p>
        </w:tc>
        <w:tc>
          <w:tcPr>
            <w:tcW w:w="100" w:type="dxa"/>
            <w:vAlign w:val="bottom"/>
          </w:tcPr>
          <w:p>
            <w:pPr>
              <w:spacing w:after="0"/>
              <w:rPr>
                <w:sz w:val="19"/>
                <w:szCs w:val="19"/>
                <w:color w:val="auto"/>
              </w:rPr>
            </w:pPr>
          </w:p>
        </w:tc>
      </w:tr>
      <w:tr>
        <w:trPr>
          <w:trHeight w:val="263"/>
        </w:trPr>
        <w:tc>
          <w:tcPr>
            <w:tcW w:w="620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132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3,679.9</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61"/>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237.7</w:t>
            </w:r>
          </w:p>
        </w:tc>
        <w:tc>
          <w:tcPr>
            <w:tcW w:w="1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121"/>
              <w:spacing w:after="0" w:line="223"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3,917.6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-1687830</wp:posOffset>
            </wp:positionV>
            <wp:extent cx="2271395" cy="916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71395" cy="91694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Service revenues for the nine months ended September 30, 2022 and 2021 were $252.1 million and $182.7 million, respectvely.</w:t>
      </w:r>
    </w:p>
    <w:p>
      <w:pPr>
        <w:spacing w:after="0" w:line="117" w:lineRule="exact"/>
        <w:rPr>
          <w:sz w:val="20"/>
          <w:szCs w:val="20"/>
          <w:color w:val="auto"/>
        </w:rPr>
      </w:pPr>
    </w:p>
    <w:p>
      <w:pPr>
        <w:jc w:val="both"/>
        <w:ind w:left="380"/>
        <w:spacing w:after="0" w:line="239" w:lineRule="auto"/>
        <w:rPr>
          <w:sz w:val="20"/>
          <w:szCs w:val="20"/>
          <w:color w:val="auto"/>
        </w:rPr>
      </w:pPr>
      <w:r>
        <w:rPr>
          <w:rFonts w:ascii="Calibri" w:cs="Calibri" w:eastAsia="Calibri" w:hAnsi="Calibri"/>
          <w:sz w:val="20"/>
          <w:szCs w:val="20"/>
          <w:b w:val="1"/>
          <w:bCs w:val="1"/>
          <w:i w:val="1"/>
          <w:iCs w:val="1"/>
          <w:color w:val="auto"/>
        </w:rPr>
        <w:t xml:space="preserve">Contract Balances. </w:t>
      </w:r>
      <w:r>
        <w:rPr>
          <w:rFonts w:ascii="Calibri" w:cs="Calibri" w:eastAsia="Calibri" w:hAnsi="Calibri"/>
          <w:sz w:val="20"/>
          <w:szCs w:val="20"/>
          <w:color w:val="auto"/>
        </w:rPr>
        <w:t>Costs in excess of billings relate to the conditonal right to consideraton for completed contractual performance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and are contract assets 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20" w:type="dxa"/>
            <w:vAlign w:val="bottom"/>
            <w:tcBorders>
              <w:bottom w:val="single" w:sz="8" w:color="auto"/>
            </w:tcBorders>
          </w:tcPr>
          <w:p>
            <w:pPr>
              <w:ind w:left="20"/>
              <w:spacing w:after="0"/>
              <w:rPr>
                <w:sz w:val="20"/>
                <w:szCs w:val="20"/>
                <w:color w:val="auto"/>
              </w:rPr>
            </w:pPr>
            <w:r>
              <w:rPr>
                <w:rFonts w:ascii="Calibri" w:cs="Calibri" w:eastAsia="Calibri" w:hAnsi="Calibri"/>
                <w:sz w:val="20"/>
                <w:szCs w:val="20"/>
                <w:i w:val="1"/>
                <w:iCs w:val="1"/>
                <w:color w:val="auto"/>
              </w:rPr>
              <w:t>(Dollars in Millions)</w:t>
            </w:r>
          </w:p>
        </w:tc>
        <w:tc>
          <w:tcPr>
            <w:tcW w:w="25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1"/>
              <w:spacing w:after="0"/>
              <w:rPr>
                <w:sz w:val="20"/>
                <w:szCs w:val="20"/>
                <w:color w:val="auto"/>
              </w:rPr>
            </w:pPr>
            <w:r>
              <w:rPr>
                <w:rFonts w:ascii="Calibri" w:cs="Calibri" w:eastAsia="Calibri" w:hAnsi="Calibri"/>
                <w:sz w:val="20"/>
                <w:szCs w:val="20"/>
                <w:color w:val="auto"/>
                <w:w w:val="99"/>
              </w:rPr>
              <w:t>September 30, 2022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81"/>
              <w:spacing w:after="0"/>
              <w:rPr>
                <w:sz w:val="20"/>
                <w:szCs w:val="20"/>
                <w:color w:val="auto"/>
              </w:rPr>
            </w:pPr>
            <w:r>
              <w:rPr>
                <w:rFonts w:ascii="Calibri" w:cs="Calibri" w:eastAsia="Calibri" w:hAnsi="Calibri"/>
                <w:sz w:val="20"/>
                <w:szCs w:val="20"/>
                <w:color w:val="auto"/>
              </w:rPr>
              <w:t>December 31, 2021</w:t>
            </w:r>
          </w:p>
        </w:tc>
        <w:tc>
          <w:tcPr>
            <w:tcW w:w="100" w:type="dxa"/>
            <w:vAlign w:val="bottom"/>
          </w:tcPr>
          <w:p>
            <w:pPr>
              <w:spacing w:after="0"/>
              <w:rPr>
                <w:sz w:val="22"/>
                <w:szCs w:val="22"/>
                <w:color w:val="auto"/>
              </w:rPr>
            </w:pPr>
          </w:p>
        </w:tc>
      </w:tr>
      <w:tr>
        <w:trPr>
          <w:trHeight w:val="229"/>
        </w:trPr>
        <w:tc>
          <w:tcPr>
            <w:tcW w:w="45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Costs in excess of billings</w:t>
            </w:r>
          </w:p>
        </w:tc>
        <w:tc>
          <w:tcPr>
            <w:tcW w:w="25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8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19.9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8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4.3</w:t>
            </w:r>
          </w:p>
        </w:tc>
        <w:tc>
          <w:tcPr>
            <w:tcW w:w="100" w:type="dxa"/>
            <w:vAlign w:val="bottom"/>
            <w:shd w:val="clear" w:color="auto" w:fill="CFF0FC"/>
          </w:tcPr>
          <w:p>
            <w:pPr>
              <w:spacing w:after="0"/>
              <w:rPr>
                <w:sz w:val="19"/>
                <w:szCs w:val="19"/>
                <w:color w:val="auto"/>
              </w:rPr>
            </w:pPr>
          </w:p>
        </w:tc>
      </w:tr>
      <w:tr>
        <w:trPr>
          <w:trHeight w:val="234"/>
        </w:trPr>
        <w:tc>
          <w:tcPr>
            <w:tcW w:w="4520" w:type="dxa"/>
            <w:vAlign w:val="bottom"/>
          </w:tcPr>
          <w:p>
            <w:pPr>
              <w:ind w:left="20"/>
              <w:spacing w:after="0" w:line="234" w:lineRule="exact"/>
              <w:rPr>
                <w:sz w:val="20"/>
                <w:szCs w:val="20"/>
                <w:color w:val="auto"/>
              </w:rPr>
            </w:pPr>
            <w:r>
              <w:rPr>
                <w:rFonts w:ascii="Calibri" w:cs="Calibri" w:eastAsia="Calibri" w:hAnsi="Calibri"/>
                <w:sz w:val="20"/>
                <w:szCs w:val="20"/>
                <w:color w:val="auto"/>
              </w:rPr>
              <w:t>Billings in excess of costs</w:t>
            </w:r>
          </w:p>
        </w:tc>
        <w:tc>
          <w:tcPr>
            <w:tcW w:w="25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1800" w:type="dxa"/>
            <w:vAlign w:val="bottom"/>
          </w:tcPr>
          <w:p>
            <w:pPr>
              <w:jc w:val="right"/>
              <w:spacing w:after="0" w:line="234" w:lineRule="exact"/>
              <w:rPr>
                <w:sz w:val="20"/>
                <w:szCs w:val="20"/>
                <w:color w:val="auto"/>
              </w:rPr>
            </w:pPr>
            <w:r>
              <w:rPr>
                <w:rFonts w:ascii="Calibri" w:cs="Calibri" w:eastAsia="Calibri" w:hAnsi="Calibri"/>
                <w:sz w:val="20"/>
                <w:szCs w:val="20"/>
                <w:color w:val="auto"/>
              </w:rPr>
              <w:t>9.9</w:t>
            </w:r>
          </w:p>
        </w:tc>
        <w:tc>
          <w:tcPr>
            <w:tcW w:w="4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820" w:type="dxa"/>
            <w:vAlign w:val="bottom"/>
          </w:tcPr>
          <w:p>
            <w:pPr>
              <w:jc w:val="right"/>
              <w:spacing w:after="0" w:line="234" w:lineRule="exact"/>
              <w:rPr>
                <w:sz w:val="20"/>
                <w:szCs w:val="20"/>
                <w:color w:val="auto"/>
              </w:rPr>
            </w:pPr>
            <w:r>
              <w:rPr>
                <w:rFonts w:ascii="Calibri" w:cs="Calibri" w:eastAsia="Calibri" w:hAnsi="Calibri"/>
                <w:sz w:val="20"/>
                <w:szCs w:val="20"/>
                <w:color w:val="auto"/>
              </w:rPr>
              <w:t>7.8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Revenues recognized from the beginning balance of contract liabilites for the three months ended September 30, 2022 and 2021 were $4.1 million and $7.1 million, respectvely, and for the nine months ended September 30, 2022 and 2021 were $7.4 million and $11.9 million, respectvely.</w:t>
      </w:r>
    </w:p>
    <w:p>
      <w:pPr>
        <w:spacing w:after="0" w:line="117" w:lineRule="exact"/>
        <w:rPr>
          <w:sz w:val="20"/>
          <w:szCs w:val="20"/>
          <w:color w:val="auto"/>
        </w:rPr>
      </w:pPr>
    </w:p>
    <w:p>
      <w:pPr>
        <w:jc w:val="both"/>
        <w:ind w:left="380"/>
        <w:spacing w:after="0" w:line="236" w:lineRule="auto"/>
        <w:rPr>
          <w:sz w:val="20"/>
          <w:szCs w:val="20"/>
          <w:color w:val="auto"/>
        </w:rPr>
      </w:pPr>
      <w:r>
        <w:rPr>
          <w:rFonts w:ascii="Calibri" w:cs="Calibri" w:eastAsia="Calibri" w:hAnsi="Calibri"/>
          <w:sz w:val="20"/>
          <w:szCs w:val="20"/>
          <w:color w:val="auto"/>
        </w:rPr>
        <w:t xml:space="preserve">Retainage, which primarily relates to the paving services, represents amounts that have been billed to customers but payment withheld untl fnal acceptance by the customer of the performance obligaton. Retainage, which is included in </w:t>
      </w:r>
      <w:r>
        <w:rPr>
          <w:rFonts w:ascii="Calibri" w:cs="Calibri" w:eastAsia="Calibri" w:hAnsi="Calibri"/>
          <w:sz w:val="20"/>
          <w:szCs w:val="20"/>
          <w:i w:val="1"/>
          <w:iCs w:val="1"/>
          <w:color w:val="auto"/>
        </w:rPr>
        <w:t>Other current assets</w:t>
      </w:r>
      <w:r>
        <w:rPr>
          <w:rFonts w:ascii="Calibri" w:cs="Calibri" w:eastAsia="Calibri" w:hAnsi="Calibri"/>
          <w:sz w:val="20"/>
          <w:szCs w:val="20"/>
          <w:color w:val="auto"/>
        </w:rPr>
        <w:t xml:space="preserve"> on the Company’s consolidated balance sheets, was $13.9 million and $10.5 million at September 30, 2022 and December 31, 2021, respectvely.</w:t>
      </w:r>
    </w:p>
    <w:p>
      <w:pPr>
        <w:spacing w:after="0" w:line="106" w:lineRule="exact"/>
        <w:rPr>
          <w:sz w:val="20"/>
          <w:szCs w:val="20"/>
          <w:color w:val="auto"/>
        </w:rPr>
      </w:pPr>
    </w:p>
    <w:p>
      <w:pPr>
        <w:jc w:val="both"/>
        <w:ind w:left="380"/>
        <w:spacing w:after="0" w:line="228" w:lineRule="auto"/>
        <w:rPr>
          <w:sz w:val="20"/>
          <w:szCs w:val="20"/>
          <w:color w:val="auto"/>
        </w:rPr>
      </w:pPr>
      <w:r>
        <w:rPr>
          <w:rFonts w:ascii="Calibri" w:cs="Calibri" w:eastAsia="Calibri" w:hAnsi="Calibri"/>
          <w:sz w:val="20"/>
          <w:szCs w:val="20"/>
          <w:b w:val="1"/>
          <w:bCs w:val="1"/>
          <w:i w:val="1"/>
          <w:iCs w:val="1"/>
          <w:color w:val="auto"/>
        </w:rPr>
        <w:t xml:space="preserve">Policy Electons. </w:t>
      </w:r>
      <w:r>
        <w:rPr>
          <w:rFonts w:ascii="Calibri" w:cs="Calibri" w:eastAsia="Calibri" w:hAnsi="Calibri"/>
          <w:sz w:val="20"/>
          <w:szCs w:val="20"/>
          <w:color w:val="auto"/>
        </w:rPr>
        <w:t>When the Company arranges third-party freight to deliver products to customers, the Company has elected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delivery to be a fulfllment actvity rather than a separate performance obligaton. Further, the Company</w:t>
      </w:r>
    </w:p>
    <w:p>
      <w:pPr>
        <w:spacing w:after="0" w:line="30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14" w:name="page15"/>
    <w:bookmarkEnd w:id="1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ind w:left="380" w:right="20"/>
        <w:spacing w:after="0" w:line="228" w:lineRule="auto"/>
        <w:rPr>
          <w:sz w:val="20"/>
          <w:szCs w:val="20"/>
          <w:color w:val="auto"/>
        </w:rPr>
      </w:pPr>
      <w:r>
        <w:rPr>
          <w:rFonts w:ascii="Calibri" w:cs="Calibri" w:eastAsia="Calibri" w:hAnsi="Calibri"/>
          <w:sz w:val="20"/>
          <w:szCs w:val="20"/>
          <w:color w:val="auto"/>
        </w:rPr>
        <w:t>acts as a principal in the delivery arrangements and, as required by the accountng standard, the related revenues and costs are presented gross and are included in the consolidated statements of earnings.</w:t>
      </w:r>
    </w:p>
    <w:p>
      <w:pPr>
        <w:spacing w:after="0" w:line="319" w:lineRule="exact"/>
        <w:rPr>
          <w:sz w:val="20"/>
          <w:szCs w:val="20"/>
          <w:color w:val="auto"/>
        </w:rPr>
      </w:pPr>
    </w:p>
    <w:p>
      <w:pPr>
        <w:ind w:left="380" w:right="2380" w:hanging="372"/>
        <w:spacing w:after="0" w:line="308" w:lineRule="auto"/>
        <w:tabs>
          <w:tab w:leader="none" w:pos="38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Combinatons, Discontnued Operatons, Divesttures and Assets and Liabilites Held for Sale Business Combinatons</w:t>
      </w:r>
    </w:p>
    <w:p>
      <w:pPr>
        <w:spacing w:after="0" w:line="34" w:lineRule="exact"/>
        <w:rPr>
          <w:rFonts w:ascii="Calibri" w:cs="Calibri" w:eastAsia="Calibri" w:hAnsi="Calibri"/>
          <w:sz w:val="20"/>
          <w:szCs w:val="20"/>
          <w:b w:val="1"/>
          <w:bCs w:val="1"/>
          <w:color w:val="auto"/>
        </w:rPr>
      </w:pPr>
    </w:p>
    <w:p>
      <w:pPr>
        <w:jc w:val="both"/>
        <w:ind w:left="380" w:right="20"/>
        <w:spacing w:after="0" w:line="226" w:lineRule="auto"/>
        <w:rPr>
          <w:rFonts w:ascii="Calibri" w:cs="Calibri" w:eastAsia="Calibri" w:hAnsi="Calibri"/>
          <w:sz w:val="20"/>
          <w:szCs w:val="20"/>
          <w:b w:val="1"/>
          <w:bCs w:val="1"/>
          <w:color w:val="auto"/>
        </w:rPr>
      </w:pPr>
      <w:r>
        <w:rPr>
          <w:rFonts w:ascii="Calibri" w:cs="Calibri" w:eastAsia="Calibri" w:hAnsi="Calibri"/>
          <w:sz w:val="20"/>
          <w:szCs w:val="20"/>
          <w:color w:val="auto"/>
        </w:rPr>
        <w:t>In October 2021, the Company completed the acquisiton of Lehigh Hanson, Inc.’s West Region business (Lehigh West Region) for $2.26 billion. The acquisiton was primarily fnanced using proceeds from the issuance of publicly traded debt. These operatons provided a new upstream, materials-led growth platorm across several of the naton’s largest and fastest-growing megaregions in California and Arizona. The results from the acquired business are included in the Company’s West Group.</w:t>
      </w:r>
    </w:p>
    <w:p>
      <w:pPr>
        <w:spacing w:after="0" w:line="106" w:lineRule="exact"/>
        <w:rPr>
          <w:rFonts w:ascii="Calibri" w:cs="Calibri" w:eastAsia="Calibri" w:hAnsi="Calibri"/>
          <w:sz w:val="20"/>
          <w:szCs w:val="20"/>
          <w:b w:val="1"/>
          <w:bCs w:val="1"/>
          <w:color w:val="auto"/>
        </w:rPr>
      </w:pPr>
    </w:p>
    <w:p>
      <w:pPr>
        <w:jc w:val="both"/>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Company determined the acquisiton-date fair values of assets acquired and liabilites assumed. Although the inital accountng for the business combinaton has been recorded, these amounts are subject to change during the measurement period, which extends no longer than one year from the consummaton date, based on additonal reviews. Notably, during the quarter ended September 30, 2022, the Company reduced the acquisiton-date fair value of intangible assets, other than goodwill, by $119.5 million; increased the acquisiton-date fair value of asset retrement obligatons and other liabilites assumed by $50.9 million; and increased goodwill by $171.4 million. While the determinaton of the acquisiton-date fair values of assets acquired and liabilites assumed is substantally complete as of September 30, 2022, the measurement period remains open for asset retrement obligatons and other liabilites. The Company does not expect any material measurement period adjustments to be recorded during the quarter ending December 31, 2022. Amortzaton of the goodwill generated by the transacton is deductble for income tax purposes.</w:t>
      </w:r>
    </w:p>
    <w:p>
      <w:pPr>
        <w:spacing w:after="0" w:line="169"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is a summary of the preliminary estmated fair values of the assets acquired and liabilites assumed as of October 1,</w:t>
      </w:r>
    </w:p>
    <w:p>
      <w:pPr>
        <w:ind w:left="380"/>
        <w:spacing w:after="0" w:line="225" w:lineRule="auto"/>
        <w:rPr>
          <w:rFonts w:ascii="Calibri" w:cs="Calibri" w:eastAsia="Calibri" w:hAnsi="Calibri"/>
          <w:sz w:val="20"/>
          <w:szCs w:val="20"/>
          <w:b w:val="1"/>
          <w:bCs w:val="1"/>
          <w:color w:val="auto"/>
        </w:rPr>
      </w:pPr>
      <w:r>
        <w:rPr>
          <w:rFonts w:ascii="Calibri" w:cs="Calibri" w:eastAsia="Calibri" w:hAnsi="Calibri"/>
          <w:sz w:val="20"/>
          <w:szCs w:val="20"/>
          <w:color w:val="auto"/>
        </w:rPr>
        <w:t>2021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700" w:type="dxa"/>
            <w:vAlign w:val="bottom"/>
          </w:tcPr>
          <w:p>
            <w:pPr>
              <w:ind w:left="20"/>
              <w:spacing w:after="0"/>
              <w:rPr>
                <w:sz w:val="20"/>
                <w:szCs w:val="20"/>
                <w:color w:val="auto"/>
              </w:rPr>
            </w:pPr>
            <w:r>
              <w:rPr>
                <w:rFonts w:ascii="Calibri" w:cs="Calibri" w:eastAsia="Calibri" w:hAnsi="Calibri"/>
                <w:sz w:val="20"/>
                <w:szCs w:val="20"/>
                <w:color w:val="auto"/>
              </w:rPr>
              <w:t>Assets:</w:t>
            </w:r>
          </w:p>
        </w:tc>
        <w:tc>
          <w:tcPr>
            <w:tcW w:w="9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9"/>
        </w:trPr>
        <w:tc>
          <w:tcPr>
            <w:tcW w:w="8700" w:type="dxa"/>
            <w:vAlign w:val="bottom"/>
            <w:shd w:val="clear" w:color="auto" w:fill="CFF0FC"/>
          </w:tcPr>
          <w:p>
            <w:pPr>
              <w:ind w:left="200"/>
              <w:spacing w:after="0" w:line="240" w:lineRule="exact"/>
              <w:rPr>
                <w:sz w:val="20"/>
                <w:szCs w:val="20"/>
                <w:color w:val="auto"/>
              </w:rPr>
            </w:pPr>
            <w:r>
              <w:rPr>
                <w:rFonts w:ascii="Calibri" w:cs="Calibri" w:eastAsia="Calibri" w:hAnsi="Calibri"/>
                <w:sz w:val="20"/>
                <w:szCs w:val="20"/>
                <w:color w:val="auto"/>
              </w:rPr>
              <w:t>Inventories</w:t>
            </w:r>
          </w:p>
        </w:tc>
        <w:tc>
          <w:tcPr>
            <w:tcW w:w="960" w:type="dxa"/>
            <w:vAlign w:val="bottom"/>
            <w:shd w:val="clear" w:color="auto" w:fill="CFF0FC"/>
          </w:tcPr>
          <w:p>
            <w:pPr>
              <w:jc w:val="right"/>
              <w:ind w:right="741"/>
              <w:spacing w:after="0" w:line="240" w:lineRule="exact"/>
              <w:rPr>
                <w:sz w:val="20"/>
                <w:szCs w:val="20"/>
                <w:color w:val="auto"/>
              </w:rPr>
            </w:pPr>
            <w:r>
              <w:rPr>
                <w:rFonts w:ascii="Calibri" w:cs="Calibri" w:eastAsia="Calibri" w:hAnsi="Calibri"/>
                <w:sz w:val="20"/>
                <w:szCs w:val="20"/>
                <w:color w:val="auto"/>
                <w:w w:val="98"/>
              </w:rPr>
              <w:t>$</w:t>
            </w:r>
          </w:p>
        </w:tc>
        <w:tc>
          <w:tcPr>
            <w:tcW w:w="14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91.2</w:t>
            </w:r>
          </w:p>
        </w:tc>
        <w:tc>
          <w:tcPr>
            <w:tcW w:w="100" w:type="dxa"/>
            <w:vAlign w:val="bottom"/>
            <w:shd w:val="clear" w:color="auto" w:fill="CFF0FC"/>
          </w:tcPr>
          <w:p>
            <w:pPr>
              <w:spacing w:after="0"/>
              <w:rPr>
                <w:sz w:val="20"/>
                <w:szCs w:val="20"/>
                <w:color w:val="auto"/>
              </w:rPr>
            </w:pPr>
          </w:p>
        </w:tc>
      </w:tr>
      <w:tr>
        <w:trPr>
          <w:trHeight w:val="229"/>
        </w:trPr>
        <w:tc>
          <w:tcPr>
            <w:tcW w:w="8700" w:type="dxa"/>
            <w:vAlign w:val="bottom"/>
          </w:tcPr>
          <w:p>
            <w:pPr>
              <w:ind w:left="200"/>
              <w:spacing w:after="0" w:line="229" w:lineRule="exact"/>
              <w:rPr>
                <w:sz w:val="20"/>
                <w:szCs w:val="20"/>
                <w:color w:val="auto"/>
              </w:rPr>
            </w:pPr>
            <w:r>
              <w:rPr>
                <w:rFonts w:ascii="Calibri" w:cs="Calibri" w:eastAsia="Calibri" w:hAnsi="Calibri"/>
                <w:sz w:val="20"/>
                <w:szCs w:val="20"/>
                <w:color w:val="auto"/>
              </w:rPr>
              <w:t>Property, plant and equipment</w:t>
            </w:r>
          </w:p>
        </w:tc>
        <w:tc>
          <w:tcPr>
            <w:tcW w:w="960" w:type="dxa"/>
            <w:vAlign w:val="bottom"/>
          </w:tcPr>
          <w:p>
            <w:pPr>
              <w:spacing w:after="0"/>
              <w:rPr>
                <w:sz w:val="19"/>
                <w:szCs w:val="19"/>
                <w:color w:val="auto"/>
              </w:rPr>
            </w:pPr>
          </w:p>
        </w:tc>
        <w:tc>
          <w:tcPr>
            <w:tcW w:w="1480" w:type="dxa"/>
            <w:vAlign w:val="bottom"/>
          </w:tcPr>
          <w:p>
            <w:pPr>
              <w:jc w:val="right"/>
              <w:spacing w:after="0" w:line="229" w:lineRule="exact"/>
              <w:rPr>
                <w:sz w:val="20"/>
                <w:szCs w:val="20"/>
                <w:color w:val="auto"/>
              </w:rPr>
            </w:pPr>
            <w:r>
              <w:rPr>
                <w:rFonts w:ascii="Calibri" w:cs="Calibri" w:eastAsia="Calibri" w:hAnsi="Calibri"/>
                <w:sz w:val="20"/>
                <w:szCs w:val="20"/>
                <w:color w:val="auto"/>
              </w:rPr>
              <w:t>849.9</w:t>
            </w:r>
          </w:p>
        </w:tc>
        <w:tc>
          <w:tcPr>
            <w:tcW w:w="100" w:type="dxa"/>
            <w:vAlign w:val="bottom"/>
          </w:tcPr>
          <w:p>
            <w:pPr>
              <w:spacing w:after="0"/>
              <w:rPr>
                <w:sz w:val="19"/>
                <w:szCs w:val="19"/>
                <w:color w:val="auto"/>
              </w:rPr>
            </w:pPr>
          </w:p>
        </w:tc>
      </w:tr>
      <w:tr>
        <w:trPr>
          <w:trHeight w:val="230"/>
        </w:trPr>
        <w:tc>
          <w:tcPr>
            <w:tcW w:w="870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Intangible assets, other than goodwill</w:t>
            </w:r>
          </w:p>
        </w:tc>
        <w:tc>
          <w:tcPr>
            <w:tcW w:w="9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431.5</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ind w:left="200"/>
              <w:spacing w:after="0" w:line="229" w:lineRule="exact"/>
              <w:rPr>
                <w:sz w:val="20"/>
                <w:szCs w:val="20"/>
                <w:color w:val="auto"/>
              </w:rPr>
            </w:pPr>
            <w:r>
              <w:rPr>
                <w:rFonts w:ascii="Calibri" w:cs="Calibri" w:eastAsia="Calibri" w:hAnsi="Calibri"/>
                <w:sz w:val="20"/>
                <w:szCs w:val="20"/>
                <w:color w:val="auto"/>
              </w:rPr>
              <w:t>Goodwill</w:t>
            </w:r>
          </w:p>
        </w:tc>
        <w:tc>
          <w:tcPr>
            <w:tcW w:w="960" w:type="dxa"/>
            <w:vAlign w:val="bottom"/>
          </w:tcPr>
          <w:p>
            <w:pPr>
              <w:spacing w:after="0"/>
              <w:rPr>
                <w:sz w:val="19"/>
                <w:szCs w:val="19"/>
                <w:color w:val="auto"/>
              </w:rPr>
            </w:pPr>
          </w:p>
        </w:tc>
        <w:tc>
          <w:tcPr>
            <w:tcW w:w="1480" w:type="dxa"/>
            <w:vAlign w:val="bottom"/>
          </w:tcPr>
          <w:p>
            <w:pPr>
              <w:jc w:val="right"/>
              <w:spacing w:after="0" w:line="229" w:lineRule="exact"/>
              <w:rPr>
                <w:sz w:val="20"/>
                <w:szCs w:val="20"/>
                <w:color w:val="auto"/>
              </w:rPr>
            </w:pPr>
            <w:r>
              <w:rPr>
                <w:rFonts w:ascii="Calibri" w:cs="Calibri" w:eastAsia="Calibri" w:hAnsi="Calibri"/>
                <w:sz w:val="20"/>
                <w:szCs w:val="20"/>
                <w:color w:val="auto"/>
              </w:rPr>
              <w:t>1,213.2</w:t>
            </w:r>
          </w:p>
        </w:tc>
        <w:tc>
          <w:tcPr>
            <w:tcW w:w="100" w:type="dxa"/>
            <w:vAlign w:val="bottom"/>
          </w:tcPr>
          <w:p>
            <w:pPr>
              <w:spacing w:after="0"/>
              <w:rPr>
                <w:sz w:val="19"/>
                <w:szCs w:val="19"/>
                <w:color w:val="auto"/>
              </w:rPr>
            </w:pPr>
          </w:p>
        </w:tc>
      </w:tr>
      <w:tr>
        <w:trPr>
          <w:trHeight w:val="230"/>
        </w:trPr>
        <w:tc>
          <w:tcPr>
            <w:tcW w:w="8700" w:type="dxa"/>
            <w:vAlign w:val="bottom"/>
            <w:tcBorders>
              <w:bottom w:val="single" w:sz="8" w:color="CFF0FC"/>
            </w:tcBorders>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Other assets</w:t>
            </w:r>
          </w:p>
        </w:tc>
        <w:tc>
          <w:tcPr>
            <w:tcW w:w="9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700" w:type="dxa"/>
            <w:vAlign w:val="bottom"/>
          </w:tcPr>
          <w:p>
            <w:pPr>
              <w:ind w:left="20"/>
              <w:spacing w:after="0" w:line="223" w:lineRule="exact"/>
              <w:rPr>
                <w:sz w:val="20"/>
                <w:szCs w:val="20"/>
                <w:color w:val="auto"/>
              </w:rPr>
            </w:pPr>
            <w:r>
              <w:rPr>
                <w:rFonts w:ascii="Calibri" w:cs="Calibri" w:eastAsia="Calibri" w:hAnsi="Calibri"/>
                <w:sz w:val="20"/>
                <w:szCs w:val="20"/>
                <w:color w:val="auto"/>
              </w:rPr>
              <w:t>Total assets</w:t>
            </w: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2,640.2</w:t>
            </w:r>
          </w:p>
        </w:tc>
        <w:tc>
          <w:tcPr>
            <w:tcW w:w="100" w:type="dxa"/>
            <w:vAlign w:val="bottom"/>
          </w:tcPr>
          <w:p>
            <w:pPr>
              <w:spacing w:after="0"/>
              <w:rPr>
                <w:sz w:val="19"/>
                <w:szCs w:val="19"/>
                <w:color w:val="auto"/>
              </w:rPr>
            </w:pPr>
          </w:p>
        </w:tc>
      </w:tr>
      <w:tr>
        <w:trPr>
          <w:trHeight w:val="223"/>
        </w:trPr>
        <w:tc>
          <w:tcPr>
            <w:tcW w:w="870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Liabilites:</w:t>
            </w:r>
          </w:p>
        </w:tc>
        <w:tc>
          <w:tcPr>
            <w:tcW w:w="9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ind w:left="200"/>
              <w:spacing w:after="0" w:line="229" w:lineRule="exact"/>
              <w:rPr>
                <w:sz w:val="20"/>
                <w:szCs w:val="20"/>
                <w:color w:val="auto"/>
              </w:rPr>
            </w:pPr>
            <w:r>
              <w:rPr>
                <w:rFonts w:ascii="Calibri" w:cs="Calibri" w:eastAsia="Calibri" w:hAnsi="Calibri"/>
                <w:sz w:val="20"/>
                <w:szCs w:val="20"/>
                <w:color w:val="auto"/>
              </w:rPr>
              <w:t>Asset retrement obligatons</w:t>
            </w:r>
          </w:p>
        </w:tc>
        <w:tc>
          <w:tcPr>
            <w:tcW w:w="960" w:type="dxa"/>
            <w:vAlign w:val="bottom"/>
          </w:tcPr>
          <w:p>
            <w:pPr>
              <w:spacing w:after="0"/>
              <w:rPr>
                <w:sz w:val="19"/>
                <w:szCs w:val="19"/>
                <w:color w:val="auto"/>
              </w:rPr>
            </w:pPr>
          </w:p>
        </w:tc>
        <w:tc>
          <w:tcPr>
            <w:tcW w:w="1480" w:type="dxa"/>
            <w:vAlign w:val="bottom"/>
          </w:tcPr>
          <w:p>
            <w:pPr>
              <w:jc w:val="right"/>
              <w:spacing w:after="0" w:line="229" w:lineRule="exact"/>
              <w:rPr>
                <w:sz w:val="20"/>
                <w:szCs w:val="20"/>
                <w:color w:val="auto"/>
              </w:rPr>
            </w:pPr>
            <w:r>
              <w:rPr>
                <w:rFonts w:ascii="Calibri" w:cs="Calibri" w:eastAsia="Calibri" w:hAnsi="Calibri"/>
                <w:sz w:val="20"/>
                <w:szCs w:val="20"/>
                <w:color w:val="auto"/>
              </w:rPr>
              <w:t>234.7</w:t>
            </w:r>
          </w:p>
        </w:tc>
        <w:tc>
          <w:tcPr>
            <w:tcW w:w="100" w:type="dxa"/>
            <w:vAlign w:val="bottom"/>
          </w:tcPr>
          <w:p>
            <w:pPr>
              <w:spacing w:after="0"/>
              <w:rPr>
                <w:sz w:val="19"/>
                <w:szCs w:val="19"/>
                <w:color w:val="auto"/>
              </w:rPr>
            </w:pPr>
          </w:p>
        </w:tc>
      </w:tr>
      <w:tr>
        <w:trPr>
          <w:trHeight w:val="229"/>
        </w:trPr>
        <w:tc>
          <w:tcPr>
            <w:tcW w:w="870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Operatng and fnance lease liabilites</w:t>
            </w:r>
          </w:p>
        </w:tc>
        <w:tc>
          <w:tcPr>
            <w:tcW w:w="9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57.5</w:t>
            </w:r>
          </w:p>
        </w:tc>
        <w:tc>
          <w:tcPr>
            <w:tcW w:w="100" w:type="dxa"/>
            <w:vAlign w:val="bottom"/>
            <w:shd w:val="clear" w:color="auto" w:fill="CFF0FC"/>
          </w:tcPr>
          <w:p>
            <w:pPr>
              <w:spacing w:after="0"/>
              <w:rPr>
                <w:sz w:val="19"/>
                <w:szCs w:val="19"/>
                <w:color w:val="auto"/>
              </w:rPr>
            </w:pPr>
          </w:p>
        </w:tc>
      </w:tr>
      <w:tr>
        <w:trPr>
          <w:trHeight w:val="230"/>
        </w:trPr>
        <w:tc>
          <w:tcPr>
            <w:tcW w:w="8700" w:type="dxa"/>
            <w:vAlign w:val="bottom"/>
          </w:tcPr>
          <w:p>
            <w:pPr>
              <w:ind w:left="200"/>
              <w:spacing w:after="0" w:line="229" w:lineRule="exact"/>
              <w:rPr>
                <w:sz w:val="20"/>
                <w:szCs w:val="20"/>
                <w:color w:val="auto"/>
              </w:rPr>
            </w:pPr>
            <w:r>
              <w:rPr>
                <w:rFonts w:ascii="Calibri" w:cs="Calibri" w:eastAsia="Calibri" w:hAnsi="Calibri"/>
                <w:sz w:val="20"/>
                <w:szCs w:val="20"/>
                <w:color w:val="auto"/>
              </w:rPr>
              <w:t>Other liabilites</w:t>
            </w: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83.4</w:t>
            </w:r>
          </w:p>
        </w:tc>
        <w:tc>
          <w:tcPr>
            <w:tcW w:w="100" w:type="dxa"/>
            <w:vAlign w:val="bottom"/>
          </w:tcPr>
          <w:p>
            <w:pPr>
              <w:spacing w:after="0"/>
              <w:rPr>
                <w:sz w:val="19"/>
                <w:szCs w:val="19"/>
                <w:color w:val="auto"/>
              </w:rPr>
            </w:pPr>
          </w:p>
        </w:tc>
      </w:tr>
      <w:tr>
        <w:trPr>
          <w:trHeight w:val="223"/>
        </w:trPr>
        <w:tc>
          <w:tcPr>
            <w:tcW w:w="870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liabilites</w:t>
            </w:r>
          </w:p>
        </w:tc>
        <w:tc>
          <w:tcPr>
            <w:tcW w:w="9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375.6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700" w:type="dxa"/>
            <w:vAlign w:val="bottom"/>
          </w:tcPr>
          <w:p>
            <w:pPr>
              <w:ind w:left="20"/>
              <w:spacing w:after="0" w:line="223" w:lineRule="exact"/>
              <w:rPr>
                <w:sz w:val="20"/>
                <w:szCs w:val="20"/>
                <w:color w:val="auto"/>
              </w:rPr>
            </w:pPr>
            <w:r>
              <w:rPr>
                <w:rFonts w:ascii="Calibri" w:cs="Calibri" w:eastAsia="Calibri" w:hAnsi="Calibri"/>
                <w:sz w:val="20"/>
                <w:szCs w:val="20"/>
                <w:color w:val="auto"/>
              </w:rPr>
              <w:t>Total consideraton</w:t>
            </w:r>
          </w:p>
        </w:tc>
        <w:tc>
          <w:tcPr>
            <w:tcW w:w="960" w:type="dxa"/>
            <w:vAlign w:val="bottom"/>
            <w:tcBorders>
              <w:bottom w:val="single" w:sz="8" w:color="auto"/>
            </w:tcBorders>
          </w:tcPr>
          <w:p>
            <w:pPr>
              <w:jc w:val="right"/>
              <w:ind w:right="741"/>
              <w:spacing w:after="0" w:line="223" w:lineRule="exact"/>
              <w:rPr>
                <w:sz w:val="20"/>
                <w:szCs w:val="20"/>
                <w:color w:val="auto"/>
              </w:rPr>
            </w:pPr>
            <w:r>
              <w:rPr>
                <w:rFonts w:ascii="Calibri" w:cs="Calibri" w:eastAsia="Calibri" w:hAnsi="Calibri"/>
                <w:sz w:val="20"/>
                <w:szCs w:val="20"/>
                <w:color w:val="auto"/>
                <w:w w:val="98"/>
              </w:rPr>
              <w:t>$</w:t>
            </w:r>
          </w:p>
        </w:tc>
        <w:tc>
          <w:tcPr>
            <w:tcW w:w="148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2,264.6</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18" w:lineRule="exact"/>
        <w:rPr>
          <w:sz w:val="20"/>
          <w:szCs w:val="20"/>
          <w:color w:val="auto"/>
        </w:rPr>
      </w:pPr>
    </w:p>
    <w:p>
      <w:pPr>
        <w:jc w:val="both"/>
        <w:ind w:left="380"/>
        <w:spacing w:after="0" w:line="226" w:lineRule="auto"/>
        <w:rPr>
          <w:sz w:val="20"/>
          <w:szCs w:val="20"/>
          <w:color w:val="auto"/>
        </w:rPr>
      </w:pPr>
      <w:r>
        <w:rPr>
          <w:rFonts w:ascii="Calibri" w:cs="Calibri" w:eastAsia="Calibri" w:hAnsi="Calibri"/>
          <w:sz w:val="20"/>
          <w:szCs w:val="20"/>
          <w:color w:val="auto"/>
        </w:rPr>
        <w:t>In July 2021, the Company acquired the assets of Southern Crushed Concrete (SCC) in the Houston area. SCC was a leading producer of recycled concrete, which is principally used as a base aggregates product in infrastructure, commercial and residental constructon applicatons. The Company determined the acquisiton-date fair values of the assets acquired and liabilites assumed. During the quarter ended September 30, 2022, the Company reduced the acquisiton-date fair value of intangible assets, other than goodwill, by $64.0 million and increased goodwill by $64.5 million. The measurement period is closed as of September 30, 2022. Amortzaton of the goodwill generated by the</w:t>
      </w:r>
    </w:p>
    <w:p>
      <w:pPr>
        <w:spacing w:after="0" w:line="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15" w:name="page16"/>
    <w:bookmarkEnd w:id="1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374" w:lineRule="exact"/>
        <w:rPr>
          <w:sz w:val="20"/>
          <w:szCs w:val="20"/>
          <w:color w:val="auto"/>
        </w:rPr>
      </w:pPr>
    </w:p>
    <w:p>
      <w:pPr>
        <w:jc w:val="both"/>
        <w:ind w:left="380" w:right="20"/>
        <w:spacing w:after="0" w:line="228" w:lineRule="auto"/>
        <w:rPr>
          <w:sz w:val="20"/>
          <w:szCs w:val="20"/>
          <w:color w:val="auto"/>
        </w:rPr>
      </w:pPr>
      <w:r>
        <w:rPr>
          <w:rFonts w:ascii="Calibri" w:cs="Calibri" w:eastAsia="Calibri" w:hAnsi="Calibri"/>
          <w:sz w:val="20"/>
          <w:szCs w:val="20"/>
          <w:color w:val="auto"/>
        </w:rPr>
        <w:t>transacton is deductble for income tax purposes. The results from the acquired business are included in the Company’s West Group, but are immaterial for pro-forma fnancial statement disclosures.</w:t>
      </w:r>
    </w:p>
    <w:p>
      <w:pPr>
        <w:spacing w:after="0" w:line="103" w:lineRule="exact"/>
        <w:rPr>
          <w:sz w:val="20"/>
          <w:szCs w:val="20"/>
          <w:color w:val="auto"/>
        </w:rPr>
      </w:pPr>
    </w:p>
    <w:p>
      <w:pPr>
        <w:jc w:val="both"/>
        <w:ind w:left="380"/>
        <w:spacing w:after="0" w:line="223" w:lineRule="auto"/>
        <w:rPr>
          <w:sz w:val="20"/>
          <w:szCs w:val="20"/>
          <w:color w:val="auto"/>
        </w:rPr>
      </w:pPr>
      <w:r>
        <w:rPr>
          <w:rFonts w:ascii="Calibri" w:cs="Calibri" w:eastAsia="Calibri" w:hAnsi="Calibri"/>
          <w:sz w:val="20"/>
          <w:szCs w:val="20"/>
          <w:color w:val="auto"/>
        </w:rPr>
        <w:t>In April 2021, the Company completed the acquisiton of Tiller Corporaton (Tiller), a leading aggregates and hot mix asphalt supplier in the Minneapolis/St. Paul area, which is one of the largest and fastest-growing midwestern metropolitan areas. The Tiller acquisiton complemented the Company’s existng product oferings in the surrounding areas. Amortzaton of the goodwill generated by the transacton is deductble for income tax purposes. The results from the acquired business are included in the Company’s East Group, but are immaterial for pro-forma fnancial statement disclosures.</w:t>
      </w:r>
    </w:p>
    <w:p>
      <w:pPr>
        <w:spacing w:after="0" w:line="206"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Discontnued Operatons</w:t>
      </w:r>
    </w:p>
    <w:p>
      <w:pPr>
        <w:spacing w:after="0" w:line="103" w:lineRule="exact"/>
        <w:rPr>
          <w:sz w:val="20"/>
          <w:szCs w:val="20"/>
          <w:color w:val="auto"/>
        </w:rPr>
      </w:pPr>
    </w:p>
    <w:p>
      <w:pPr>
        <w:jc w:val="both"/>
        <w:ind w:left="380" w:right="20"/>
        <w:spacing w:after="0" w:line="234" w:lineRule="auto"/>
        <w:rPr>
          <w:sz w:val="20"/>
          <w:szCs w:val="20"/>
          <w:color w:val="auto"/>
        </w:rPr>
      </w:pPr>
      <w:r>
        <w:rPr>
          <w:rFonts w:ascii="Calibri" w:cs="Calibri" w:eastAsia="Calibri" w:hAnsi="Calibri"/>
          <w:sz w:val="20"/>
          <w:szCs w:val="20"/>
          <w:color w:val="auto"/>
        </w:rPr>
        <w:t>Discontnued operatons include the cement and California ready mixed concrete businesses acquired as part of the Lehigh West Region acquisiton.</w:t>
      </w:r>
    </w:p>
    <w:p>
      <w:pPr>
        <w:spacing w:after="0" w:line="95"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Discontnued operatons include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21"/>
              <w:spacing w:after="0"/>
              <w:rPr>
                <w:sz w:val="20"/>
                <w:szCs w:val="20"/>
                <w:color w:val="auto"/>
              </w:rPr>
            </w:pPr>
            <w:r>
              <w:rPr>
                <w:rFonts w:ascii="Calibri" w:cs="Calibri" w:eastAsia="Calibri" w:hAnsi="Calibri"/>
                <w:sz w:val="20"/>
                <w:szCs w:val="20"/>
                <w:color w:val="auto"/>
                <w:w w:val="99"/>
              </w:rPr>
              <w:t>Three Months Ended</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gridSpan w:val="2"/>
          </w:tcPr>
          <w:p>
            <w:pPr>
              <w:jc w:val="right"/>
              <w:ind w:right="260"/>
              <w:spacing w:after="0"/>
              <w:rPr>
                <w:sz w:val="20"/>
                <w:szCs w:val="20"/>
                <w:color w:val="auto"/>
              </w:rPr>
            </w:pPr>
            <w:r>
              <w:rPr>
                <w:rFonts w:ascii="Calibri" w:cs="Calibri" w:eastAsia="Calibri" w:hAnsi="Calibri"/>
                <w:sz w:val="20"/>
                <w:szCs w:val="20"/>
                <w:color w:val="auto"/>
              </w:rPr>
              <w:t>Nine Months Ended</w:t>
            </w:r>
          </w:p>
        </w:tc>
      </w:tr>
      <w:tr>
        <w:trPr>
          <w:trHeight w:val="247"/>
        </w:trPr>
        <w:tc>
          <w:tcPr>
            <w:tcW w:w="6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80" w:type="dxa"/>
            <w:vAlign w:val="bottom"/>
            <w:gridSpan w:val="5"/>
          </w:tcPr>
          <w:p>
            <w:pPr>
              <w:jc w:val="right"/>
              <w:ind w:right="1380"/>
              <w:spacing w:after="0" w:line="234" w:lineRule="exact"/>
              <w:rPr>
                <w:sz w:val="20"/>
                <w:szCs w:val="20"/>
                <w:color w:val="auto"/>
              </w:rPr>
            </w:pPr>
            <w:r>
              <w:rPr>
                <w:rFonts w:ascii="Calibri" w:cs="Calibri" w:eastAsia="Calibri" w:hAnsi="Calibri"/>
                <w:sz w:val="20"/>
                <w:szCs w:val="20"/>
                <w:color w:val="auto"/>
              </w:rPr>
              <w:t>September 30, 2022</w:t>
            </w:r>
          </w:p>
        </w:tc>
      </w:tr>
      <w:tr>
        <w:trPr>
          <w:trHeight w:val="229"/>
        </w:trPr>
        <w:tc>
          <w:tcPr>
            <w:tcW w:w="69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4"/>
          </w:tcPr>
          <w:p>
            <w:pPr>
              <w:jc w:val="right"/>
              <w:ind w:right="1221"/>
              <w:spacing w:after="0" w:line="229" w:lineRule="exact"/>
              <w:rPr>
                <w:sz w:val="20"/>
                <w:szCs w:val="20"/>
                <w:color w:val="auto"/>
              </w:rPr>
            </w:pPr>
            <w:r>
              <w:rPr>
                <w:rFonts w:ascii="Calibri" w:cs="Calibri" w:eastAsia="Calibri" w:hAnsi="Calibri"/>
                <w:sz w:val="20"/>
                <w:szCs w:val="20"/>
                <w:i w:val="1"/>
                <w:iCs w:val="1"/>
                <w:color w:val="auto"/>
              </w:rPr>
              <w:t>(Dollars in Millions)</w:t>
            </w:r>
          </w:p>
        </w:tc>
        <w:tc>
          <w:tcPr>
            <w:tcW w:w="100" w:type="dxa"/>
            <w:vAlign w:val="bottom"/>
          </w:tcPr>
          <w:p>
            <w:pPr>
              <w:spacing w:after="0"/>
              <w:rPr>
                <w:sz w:val="19"/>
                <w:szCs w:val="19"/>
                <w:color w:val="auto"/>
              </w:rPr>
            </w:pPr>
          </w:p>
        </w:tc>
      </w:tr>
      <w:tr>
        <w:trPr>
          <w:trHeight w:val="270"/>
        </w:trPr>
        <w:tc>
          <w:tcPr>
            <w:tcW w:w="694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Total revenues</w:t>
            </w:r>
          </w:p>
        </w:tc>
        <w:tc>
          <w:tcPr>
            <w:tcW w:w="12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18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62.4</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8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268.8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4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Pretax earnings from operatons</w:t>
            </w:r>
          </w:p>
        </w:tc>
        <w:tc>
          <w:tcPr>
            <w:tcW w:w="1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18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4.7</w:t>
            </w:r>
          </w:p>
        </w:tc>
        <w:tc>
          <w:tcPr>
            <w:tcW w:w="44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8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21.1</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ind w:left="20"/>
              <w:spacing w:after="0" w:line="229" w:lineRule="exact"/>
              <w:rPr>
                <w:sz w:val="20"/>
                <w:szCs w:val="20"/>
                <w:color w:val="auto"/>
              </w:rPr>
            </w:pPr>
            <w:r>
              <w:rPr>
                <w:rFonts w:ascii="Calibri" w:cs="Calibri" w:eastAsia="Calibri" w:hAnsi="Calibri"/>
                <w:sz w:val="20"/>
                <w:szCs w:val="20"/>
                <w:color w:val="auto"/>
              </w:rPr>
              <w:t>Pretax gain (loss) on divestture</w:t>
            </w:r>
          </w:p>
        </w:tc>
        <w:tc>
          <w:tcPr>
            <w:tcW w:w="120" w:type="dxa"/>
            <w:vAlign w:val="bottom"/>
          </w:tcPr>
          <w:p>
            <w:pPr>
              <w:spacing w:after="0"/>
              <w:rPr>
                <w:sz w:val="19"/>
                <w:szCs w:val="19"/>
                <w:color w:val="auto"/>
              </w:rPr>
            </w:pPr>
          </w:p>
        </w:tc>
        <w:tc>
          <w:tcPr>
            <w:tcW w:w="1840" w:type="dxa"/>
            <w:vAlign w:val="bottom"/>
          </w:tcPr>
          <w:p>
            <w:pPr>
              <w:jc w:val="right"/>
              <w:spacing w:after="0" w:line="229" w:lineRule="exact"/>
              <w:rPr>
                <w:sz w:val="20"/>
                <w:szCs w:val="20"/>
                <w:color w:val="auto"/>
              </w:rPr>
            </w:pPr>
            <w:r>
              <w:rPr>
                <w:rFonts w:ascii="Calibri" w:cs="Calibri" w:eastAsia="Calibri" w:hAnsi="Calibri"/>
                <w:sz w:val="20"/>
                <w:szCs w:val="20"/>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(0.3 )</w:t>
            </w:r>
          </w:p>
        </w:tc>
      </w:tr>
      <w:tr>
        <w:trPr>
          <w:trHeight w:val="223"/>
        </w:trPr>
        <w:tc>
          <w:tcPr>
            <w:tcW w:w="694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Pretax earnings</w:t>
            </w:r>
          </w:p>
        </w:tc>
        <w:tc>
          <w:tcPr>
            <w:tcW w:w="12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184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5.4</w:t>
            </w: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w:t>
            </w:r>
          </w:p>
        </w:tc>
        <w:tc>
          <w:tcPr>
            <w:tcW w:w="180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20.8</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ind w:left="20"/>
              <w:spacing w:after="0" w:line="229" w:lineRule="exact"/>
              <w:rPr>
                <w:sz w:val="20"/>
                <w:szCs w:val="20"/>
                <w:color w:val="auto"/>
              </w:rPr>
            </w:pPr>
            <w:r>
              <w:rPr>
                <w:rFonts w:ascii="Calibri" w:cs="Calibri" w:eastAsia="Calibri" w:hAnsi="Calibri"/>
                <w:sz w:val="20"/>
                <w:szCs w:val="20"/>
                <w:color w:val="auto"/>
              </w:rPr>
              <w:t>Income tax expense</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6.5</w:t>
            </w:r>
          </w:p>
        </w:tc>
        <w:tc>
          <w:tcPr>
            <w:tcW w:w="100" w:type="dxa"/>
            <w:vAlign w:val="bottom"/>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Earnings from discontnued operatons, net of income tax expense</w:t>
            </w:r>
          </w:p>
        </w:tc>
        <w:tc>
          <w:tcPr>
            <w:tcW w:w="12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18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4.1</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w:t>
            </w:r>
          </w:p>
        </w:tc>
        <w:tc>
          <w:tcPr>
            <w:tcW w:w="180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14.3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-942340</wp:posOffset>
            </wp:positionV>
            <wp:extent cx="14827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82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8" w:lineRule="exact"/>
        <w:rPr>
          <w:sz w:val="20"/>
          <w:szCs w:val="20"/>
          <w:color w:val="auto"/>
        </w:rPr>
      </w:pPr>
    </w:p>
    <w:p>
      <w:pPr>
        <w:jc w:val="both"/>
        <w:ind w:left="380"/>
        <w:spacing w:after="0" w:line="226" w:lineRule="auto"/>
        <w:rPr>
          <w:sz w:val="20"/>
          <w:szCs w:val="20"/>
          <w:color w:val="auto"/>
        </w:rPr>
      </w:pPr>
      <w:r>
        <w:rPr>
          <w:rFonts w:ascii="Calibri" w:cs="Calibri" w:eastAsia="Calibri" w:hAnsi="Calibri"/>
          <w:sz w:val="20"/>
          <w:szCs w:val="20"/>
          <w:color w:val="auto"/>
        </w:rPr>
        <w:t>Total cash provided by operatng and investng actvites for the discontnued operatons was $200.9 million, including $249.9 million of proceeds from divesttures and $13.2 million of cash used for capital expenditures, for the nine months ended September 30, 2022. Non-cash items related to operatng and investng actvites for the discontnued operatons were immaterial for the nine months ended September 30, 2022.</w:t>
      </w:r>
    </w:p>
    <w:p>
      <w:pPr>
        <w:spacing w:after="0" w:line="191"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Divesttures</w:t>
      </w:r>
    </w:p>
    <w:p>
      <w:pPr>
        <w:spacing w:after="0" w:line="103" w:lineRule="exact"/>
        <w:rPr>
          <w:sz w:val="20"/>
          <w:szCs w:val="20"/>
          <w:color w:val="auto"/>
        </w:rPr>
      </w:pPr>
    </w:p>
    <w:p>
      <w:pPr>
        <w:jc w:val="both"/>
        <w:ind w:left="380"/>
        <w:spacing w:after="0" w:line="228" w:lineRule="auto"/>
        <w:rPr>
          <w:sz w:val="20"/>
          <w:szCs w:val="20"/>
          <w:color w:val="auto"/>
        </w:rPr>
      </w:pPr>
      <w:r>
        <w:rPr>
          <w:rFonts w:ascii="Calibri" w:cs="Calibri" w:eastAsia="Calibri" w:hAnsi="Calibri"/>
          <w:sz w:val="20"/>
          <w:szCs w:val="20"/>
          <w:color w:val="auto"/>
        </w:rPr>
        <w:t>On August 9, 2022, the Company announced a defnitve agreement to sell the Tehachapi, California cement plant and related distributon terminals for $350.0 million in cash, subject to regulatory approval and customary closing conditons.</w:t>
      </w:r>
    </w:p>
    <w:p>
      <w:pPr>
        <w:spacing w:after="0" w:line="103" w:lineRule="exact"/>
        <w:rPr>
          <w:sz w:val="20"/>
          <w:szCs w:val="20"/>
          <w:color w:val="auto"/>
        </w:rPr>
      </w:pPr>
    </w:p>
    <w:p>
      <w:pPr>
        <w:jc w:val="both"/>
        <w:ind w:left="380"/>
        <w:spacing w:after="0"/>
        <w:rPr>
          <w:sz w:val="20"/>
          <w:szCs w:val="20"/>
          <w:color w:val="auto"/>
        </w:rPr>
      </w:pPr>
      <w:r>
        <w:rPr>
          <w:rFonts w:ascii="Calibri" w:cs="Calibri" w:eastAsia="Calibri" w:hAnsi="Calibri"/>
          <w:sz w:val="20"/>
          <w:szCs w:val="20"/>
          <w:color w:val="auto"/>
        </w:rPr>
        <w:t>In June 2022, the Company completed the sale of the Redding, California cement plant, related cement distributon terminals and 14 California ready mix operatons for $235.0 million in cash. In additon, on July 15, 2022, the Company sold its interest in a joint venture that operates a cement distributon terminal for $15.0 million. These businesses were previously classifed as assets held for sale.</w:t>
      </w:r>
    </w:p>
    <w:p>
      <w:pPr>
        <w:spacing w:after="0" w:line="280" w:lineRule="exact"/>
        <w:rPr>
          <w:sz w:val="20"/>
          <w:szCs w:val="20"/>
          <w:color w:val="auto"/>
        </w:rPr>
      </w:pPr>
    </w:p>
    <w:p>
      <w:pPr>
        <w:jc w:val="both"/>
        <w:ind w:left="380"/>
        <w:spacing w:after="0" w:line="226" w:lineRule="auto"/>
        <w:rPr>
          <w:sz w:val="20"/>
          <w:szCs w:val="20"/>
          <w:color w:val="auto"/>
        </w:rPr>
      </w:pPr>
      <w:r>
        <w:rPr>
          <w:rFonts w:ascii="Calibri" w:cs="Calibri" w:eastAsia="Calibri" w:hAnsi="Calibri"/>
          <w:sz w:val="20"/>
          <w:szCs w:val="20"/>
          <w:color w:val="auto"/>
        </w:rPr>
        <w:t xml:space="preserve">In April 2022, the Company divested its Colorado and Central Texas ready mixed concrete operatons to Smyrna Ready Mix Concrete LLC. This opportunity optmized the Company’s aggregates-led portolio and improved its ability to generate more atractve margins over the long term by reducing both business cyclicality and exposure to raw material cost infaton. The transacton resulted in a pretax gain of $151.9 million, which is included in </w:t>
      </w:r>
      <w:r>
        <w:rPr>
          <w:rFonts w:ascii="Calibri" w:cs="Calibri" w:eastAsia="Calibri" w:hAnsi="Calibri"/>
          <w:sz w:val="20"/>
          <w:szCs w:val="20"/>
          <w:i w:val="1"/>
          <w:iCs w:val="1"/>
          <w:color w:val="auto"/>
        </w:rPr>
        <w:t>Other operatng income, net</w:t>
      </w:r>
      <w:r>
        <w:rPr>
          <w:rFonts w:ascii="Calibri" w:cs="Calibri" w:eastAsia="Calibri" w:hAnsi="Calibri"/>
          <w:sz w:val="20"/>
          <w:szCs w:val="20"/>
          <w:color w:val="auto"/>
        </w:rPr>
        <w:t>, for the nine months ended September 30, 2022 and is inclusive of expenses incurred due to the divestture. The divested operatons and the gain on divestture are all reported in the West Group.</w:t>
      </w:r>
    </w:p>
    <w:p>
      <w:pPr>
        <w:spacing w:after="0" w:line="8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16" w:name="page17"/>
    <w:bookmarkEnd w:id="1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color w:val="auto"/>
        </w:rPr>
        <w:t>Assets and Liabilites Held for Sale</w:t>
      </w:r>
    </w:p>
    <w:p>
      <w:pPr>
        <w:spacing w:after="0" w:line="103" w:lineRule="exact"/>
        <w:rPr>
          <w:sz w:val="20"/>
          <w:szCs w:val="20"/>
          <w:color w:val="auto"/>
        </w:rPr>
      </w:pPr>
    </w:p>
    <w:p>
      <w:pPr>
        <w:jc w:val="both"/>
        <w:ind w:left="380"/>
        <w:spacing w:after="0" w:line="223" w:lineRule="auto"/>
        <w:rPr>
          <w:sz w:val="20"/>
          <w:szCs w:val="20"/>
          <w:color w:val="auto"/>
        </w:rPr>
      </w:pPr>
      <w:r>
        <w:rPr>
          <w:rFonts w:ascii="Calibri" w:cs="Calibri" w:eastAsia="Calibri" w:hAnsi="Calibri"/>
          <w:sz w:val="20"/>
          <w:szCs w:val="20"/>
          <w:color w:val="auto"/>
        </w:rPr>
        <w:t>Assets and liabilites held for sale at September 30, 2022 include a cement plant in Tehachapi, California; related cement distributon terminals; the California ready mixed concrete plants not sold as part of the aforementoned Redding transacton; and certain investment propertes. At December 31, 2021 assets and liabilites held for sale also included the California cement and California ready mix operatons that have been sold in 2022. Assets and liabilites held for sale at September 30, 2022 and December 31, 2021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6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7"/>
          </w:tcPr>
          <w:p>
            <w:pPr>
              <w:ind w:left="580"/>
              <w:spacing w:after="0"/>
              <w:rPr>
                <w:sz w:val="20"/>
                <w:szCs w:val="20"/>
                <w:color w:val="auto"/>
              </w:rPr>
            </w:pPr>
            <w:r>
              <w:rPr>
                <w:rFonts w:ascii="Calibri" w:cs="Calibri" w:eastAsia="Calibri" w:hAnsi="Calibri"/>
                <w:sz w:val="20"/>
                <w:szCs w:val="20"/>
                <w:color w:val="auto"/>
              </w:rPr>
              <w:t>September 30, 2022</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7"/>
          </w:tcPr>
          <w:p>
            <w:pPr>
              <w:ind w:left="340"/>
              <w:spacing w:after="0"/>
              <w:rPr>
                <w:sz w:val="20"/>
                <w:szCs w:val="20"/>
                <w:color w:val="auto"/>
              </w:rPr>
            </w:pPr>
            <w:r>
              <w:rPr>
                <w:rFonts w:ascii="Calibri" w:cs="Calibri" w:eastAsia="Calibri" w:hAnsi="Calibri"/>
                <w:sz w:val="20"/>
                <w:szCs w:val="20"/>
                <w:color w:val="auto"/>
              </w:rPr>
              <w:t>December 31, 2021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3660" w:type="dxa"/>
            <w:vAlign w:val="bottom"/>
          </w:tcPr>
          <w:p>
            <w:pPr>
              <w:spacing w:after="0"/>
              <w:rPr>
                <w:sz w:val="16"/>
                <w:szCs w:val="16"/>
                <w:color w:val="auto"/>
              </w:rPr>
            </w:pPr>
          </w:p>
        </w:tc>
        <w:tc>
          <w:tcPr>
            <w:tcW w:w="1080" w:type="dxa"/>
            <w:vAlign w:val="bottom"/>
            <w:gridSpan w:val="2"/>
          </w:tcPr>
          <w:p>
            <w:pPr>
              <w:jc w:val="right"/>
              <w:ind w:right="21"/>
              <w:spacing w:after="0" w:line="192" w:lineRule="exact"/>
              <w:rPr>
                <w:sz w:val="20"/>
                <w:szCs w:val="20"/>
                <w:color w:val="auto"/>
              </w:rPr>
            </w:pPr>
            <w:r>
              <w:rPr>
                <w:rFonts w:ascii="Calibri" w:cs="Calibri" w:eastAsia="Calibri" w:hAnsi="Calibri"/>
                <w:sz w:val="20"/>
                <w:szCs w:val="20"/>
                <w:color w:val="auto"/>
              </w:rPr>
              <w:t>Contnuing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ind w:left="40"/>
              <w:spacing w:after="0" w:line="192" w:lineRule="exact"/>
              <w:rPr>
                <w:sz w:val="20"/>
                <w:szCs w:val="20"/>
                <w:color w:val="auto"/>
              </w:rPr>
            </w:pPr>
            <w:r>
              <w:rPr>
                <w:rFonts w:ascii="Calibri" w:cs="Calibri" w:eastAsia="Calibri" w:hAnsi="Calibri"/>
                <w:sz w:val="20"/>
                <w:szCs w:val="20"/>
                <w:color w:val="auto"/>
              </w:rPr>
              <w:t>Discontnued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1"/>
              <w:spacing w:after="0" w:line="192" w:lineRule="exact"/>
              <w:rPr>
                <w:sz w:val="20"/>
                <w:szCs w:val="20"/>
                <w:color w:val="auto"/>
              </w:rPr>
            </w:pPr>
            <w:r>
              <w:rPr>
                <w:rFonts w:ascii="Calibri" w:cs="Calibri" w:eastAsia="Calibri" w:hAnsi="Calibri"/>
                <w:sz w:val="20"/>
                <w:szCs w:val="20"/>
                <w:color w:val="auto"/>
              </w:rPr>
              <w:t>Contnuing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ind w:left="40"/>
              <w:spacing w:after="0" w:line="192" w:lineRule="exact"/>
              <w:rPr>
                <w:sz w:val="20"/>
                <w:szCs w:val="20"/>
                <w:color w:val="auto"/>
              </w:rPr>
            </w:pPr>
            <w:r>
              <w:rPr>
                <w:rFonts w:ascii="Calibri" w:cs="Calibri" w:eastAsia="Calibri" w:hAnsi="Calibri"/>
                <w:sz w:val="20"/>
                <w:szCs w:val="20"/>
                <w:color w:val="auto"/>
              </w:rPr>
              <w:t>Discontnued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3660" w:type="dxa"/>
            <w:vAlign w:val="bottom"/>
          </w:tcPr>
          <w:p>
            <w:pPr>
              <w:spacing w:after="0"/>
              <w:rPr>
                <w:sz w:val="21"/>
                <w:szCs w:val="21"/>
                <w:color w:val="auto"/>
              </w:rPr>
            </w:pPr>
          </w:p>
        </w:tc>
        <w:tc>
          <w:tcPr>
            <w:tcW w:w="108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Operatons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spacing w:after="0" w:line="234" w:lineRule="exact"/>
              <w:rPr>
                <w:sz w:val="20"/>
                <w:szCs w:val="20"/>
                <w:color w:val="auto"/>
              </w:rPr>
            </w:pPr>
            <w:r>
              <w:rPr>
                <w:rFonts w:ascii="Calibri" w:cs="Calibri" w:eastAsia="Calibri" w:hAnsi="Calibri"/>
                <w:sz w:val="20"/>
                <w:szCs w:val="20"/>
                <w:color w:val="auto"/>
              </w:rPr>
              <w:t>Operatons</w:t>
            </w:r>
          </w:p>
        </w:tc>
        <w:tc>
          <w:tcPr>
            <w:tcW w:w="160" w:type="dxa"/>
            <w:vAlign w:val="bottom"/>
          </w:tcPr>
          <w:p>
            <w:pPr>
              <w:spacing w:after="0"/>
              <w:rPr>
                <w:sz w:val="21"/>
                <w:szCs w:val="21"/>
                <w:color w:val="auto"/>
              </w:rPr>
            </w:pPr>
          </w:p>
        </w:tc>
        <w:tc>
          <w:tcPr>
            <w:tcW w:w="880" w:type="dxa"/>
            <w:vAlign w:val="bottom"/>
            <w:gridSpan w:val="2"/>
          </w:tcPr>
          <w:p>
            <w:pPr>
              <w:jc w:val="right"/>
              <w:ind w:right="281"/>
              <w:spacing w:after="0" w:line="234" w:lineRule="exact"/>
              <w:rPr>
                <w:sz w:val="20"/>
                <w:szCs w:val="20"/>
                <w:color w:val="auto"/>
              </w:rPr>
            </w:pPr>
            <w:r>
              <w:rPr>
                <w:rFonts w:ascii="Calibri" w:cs="Calibri" w:eastAsia="Calibri" w:hAnsi="Calibri"/>
                <w:sz w:val="20"/>
                <w:szCs w:val="20"/>
                <w:color w:val="auto"/>
              </w:rPr>
              <w:t>Total</w:t>
            </w:r>
          </w:p>
        </w:tc>
        <w:tc>
          <w:tcPr>
            <w:tcW w:w="100" w:type="dxa"/>
            <w:vAlign w:val="bottom"/>
          </w:tcPr>
          <w:p>
            <w:pPr>
              <w:spacing w:after="0"/>
              <w:rPr>
                <w:sz w:val="21"/>
                <w:szCs w:val="21"/>
                <w:color w:val="auto"/>
              </w:rPr>
            </w:pPr>
          </w:p>
        </w:tc>
        <w:tc>
          <w:tcPr>
            <w:tcW w:w="106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Operatons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spacing w:after="0" w:line="234" w:lineRule="exact"/>
              <w:rPr>
                <w:sz w:val="20"/>
                <w:szCs w:val="20"/>
                <w:color w:val="auto"/>
              </w:rPr>
            </w:pPr>
            <w:r>
              <w:rPr>
                <w:rFonts w:ascii="Calibri" w:cs="Calibri" w:eastAsia="Calibri" w:hAnsi="Calibri"/>
                <w:sz w:val="20"/>
                <w:szCs w:val="20"/>
                <w:color w:val="auto"/>
              </w:rPr>
              <w:t>Operatons</w:t>
            </w:r>
          </w:p>
        </w:tc>
        <w:tc>
          <w:tcPr>
            <w:tcW w:w="200" w:type="dxa"/>
            <w:vAlign w:val="bottom"/>
          </w:tcPr>
          <w:p>
            <w:pPr>
              <w:spacing w:after="0"/>
              <w:rPr>
                <w:sz w:val="21"/>
                <w:szCs w:val="21"/>
                <w:color w:val="auto"/>
              </w:rPr>
            </w:pPr>
          </w:p>
        </w:tc>
        <w:tc>
          <w:tcPr>
            <w:tcW w:w="840" w:type="dxa"/>
            <w:vAlign w:val="bottom"/>
            <w:gridSpan w:val="2"/>
          </w:tcPr>
          <w:p>
            <w:pPr>
              <w:jc w:val="right"/>
              <w:ind w:right="292"/>
              <w:spacing w:after="0" w:line="234" w:lineRule="exact"/>
              <w:rPr>
                <w:sz w:val="20"/>
                <w:szCs w:val="20"/>
                <w:color w:val="auto"/>
              </w:rPr>
            </w:pPr>
            <w:r>
              <w:rPr>
                <w:rFonts w:ascii="Calibri" w:cs="Calibri" w:eastAsia="Calibri" w:hAnsi="Calibri"/>
                <w:sz w:val="20"/>
                <w:szCs w:val="20"/>
                <w:color w:val="auto"/>
              </w:rPr>
              <w:t>Total</w:t>
            </w:r>
          </w:p>
        </w:tc>
      </w:tr>
      <w:tr>
        <w:trPr>
          <w:trHeight w:val="229"/>
        </w:trPr>
        <w:tc>
          <w:tcPr>
            <w:tcW w:w="36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line="229" w:lineRule="exact"/>
              <w:rPr>
                <w:sz w:val="20"/>
                <w:szCs w:val="20"/>
                <w:color w:val="auto"/>
              </w:rPr>
            </w:pPr>
            <w:r>
              <w:rPr>
                <w:rFonts w:ascii="Calibri" w:cs="Calibri" w:eastAsia="Calibri" w:hAnsi="Calibri"/>
                <w:sz w:val="20"/>
                <w:szCs w:val="20"/>
                <w:i w:val="1"/>
                <w:iCs w:val="1"/>
                <w:color w:val="auto"/>
              </w:rPr>
              <w:t>(Dollars</w:t>
            </w:r>
          </w:p>
        </w:tc>
        <w:tc>
          <w:tcPr>
            <w:tcW w:w="220" w:type="dxa"/>
            <w:vAlign w:val="bottom"/>
            <w:gridSpan w:val="2"/>
          </w:tcPr>
          <w:p>
            <w:pPr>
              <w:spacing w:after="0" w:line="210" w:lineRule="exact"/>
              <w:rPr>
                <w:sz w:val="20"/>
                <w:szCs w:val="20"/>
                <w:color w:val="auto"/>
              </w:rPr>
            </w:pPr>
            <w:r>
              <w:rPr>
                <w:rFonts w:ascii="Calibri" w:cs="Calibri" w:eastAsia="Calibri" w:hAnsi="Calibri"/>
                <w:sz w:val="20"/>
                <w:szCs w:val="20"/>
                <w:i w:val="1"/>
                <w:iCs w:val="1"/>
                <w:color w:val="auto"/>
              </w:rPr>
              <w:t>in</w:t>
            </w:r>
          </w:p>
        </w:tc>
        <w:tc>
          <w:tcPr>
            <w:tcW w:w="660" w:type="dxa"/>
            <w:vAlign w:val="bottom"/>
            <w:tcBorders>
              <w:top w:val="single" w:sz="8" w:color="auto"/>
            </w:tcBorders>
          </w:tcPr>
          <w:p>
            <w:pPr>
              <w:spacing w:after="0" w:line="229" w:lineRule="exact"/>
              <w:rPr>
                <w:sz w:val="20"/>
                <w:szCs w:val="20"/>
                <w:color w:val="auto"/>
              </w:rPr>
            </w:pPr>
            <w:r>
              <w:rPr>
                <w:rFonts w:ascii="Calibri" w:cs="Calibri" w:eastAsia="Calibri" w:hAnsi="Calibri"/>
                <w:sz w:val="20"/>
                <w:szCs w:val="20"/>
                <w:i w:val="1"/>
                <w:iCs w:val="1"/>
                <w:color w:val="auto"/>
                <w:w w:val="91"/>
              </w:rPr>
              <w:t>Millions)</w:t>
            </w: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Inventories, net</w:t>
            </w:r>
          </w:p>
        </w:tc>
        <w:tc>
          <w:tcPr>
            <w:tcW w:w="420" w:type="dxa"/>
            <w:vAlign w:val="bottom"/>
            <w:shd w:val="clear" w:color="auto" w:fill="CFF0FC"/>
          </w:tcPr>
          <w:p>
            <w:pPr>
              <w:jc w:val="right"/>
              <w:ind w:right="201"/>
              <w:spacing w:after="0" w:line="229" w:lineRule="exact"/>
              <w:rPr>
                <w:sz w:val="20"/>
                <w:szCs w:val="20"/>
                <w:color w:val="auto"/>
              </w:rPr>
            </w:pPr>
            <w:r>
              <w:rPr>
                <w:rFonts w:ascii="Calibri" w:cs="Calibri" w:eastAsia="Calibri" w:hAnsi="Calibri"/>
                <w:sz w:val="20"/>
                <w:szCs w:val="20"/>
                <w:color w:val="auto"/>
                <w:w w:val="98"/>
              </w:rPr>
              <w:t>$</w:t>
            </w:r>
          </w:p>
        </w:tc>
        <w:tc>
          <w:tcPr>
            <w:tcW w:w="6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380" w:type="dxa"/>
            <w:vAlign w:val="bottom"/>
            <w:gridSpan w:val="3"/>
            <w:shd w:val="clear" w:color="auto" w:fill="CFF0FC"/>
          </w:tcPr>
          <w:p>
            <w:pPr>
              <w:ind w:left="260"/>
              <w:spacing w:after="0" w:line="229" w:lineRule="exact"/>
              <w:rPr>
                <w:sz w:val="20"/>
                <w:szCs w:val="20"/>
                <w:color w:val="auto"/>
              </w:rPr>
            </w:pPr>
            <w:r>
              <w:rPr>
                <w:rFonts w:ascii="Calibri" w:cs="Calibri" w:eastAsia="Calibri" w:hAnsi="Calibri"/>
                <w:sz w:val="20"/>
                <w:szCs w:val="20"/>
                <w:color w:val="auto"/>
                <w:w w:val="98"/>
              </w:rPr>
              <w:t>$</w:t>
            </w: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7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37.2</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w:t>
            </w:r>
          </w:p>
        </w:tc>
        <w:tc>
          <w:tcPr>
            <w:tcW w:w="4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340" w:type="dxa"/>
            <w:vAlign w:val="bottom"/>
            <w:gridSpan w:val="3"/>
            <w:shd w:val="clear" w:color="auto" w:fill="CFF0FC"/>
          </w:tcPr>
          <w:p>
            <w:pPr>
              <w:ind w:left="220"/>
              <w:spacing w:after="0" w:line="229" w:lineRule="exact"/>
              <w:rPr>
                <w:sz w:val="20"/>
                <w:szCs w:val="20"/>
                <w:color w:val="auto"/>
              </w:rPr>
            </w:pPr>
            <w:r>
              <w:rPr>
                <w:rFonts w:ascii="Calibri" w:cs="Calibri" w:eastAsia="Calibri" w:hAnsi="Calibri"/>
                <w:sz w:val="20"/>
                <w:szCs w:val="20"/>
                <w:color w:val="auto"/>
                <w:w w:val="98"/>
              </w:rPr>
              <w:t>$</w:t>
            </w: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98"/>
              </w:rPr>
              <w:t>$</w:t>
            </w:r>
          </w:p>
        </w:tc>
        <w:tc>
          <w:tcPr>
            <w:tcW w:w="7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53.1</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ind w:left="20"/>
              <w:spacing w:after="0" w:line="229" w:lineRule="exact"/>
              <w:rPr>
                <w:sz w:val="20"/>
                <w:szCs w:val="20"/>
                <w:color w:val="auto"/>
              </w:rPr>
            </w:pPr>
            <w:r>
              <w:rPr>
                <w:rFonts w:ascii="Calibri" w:cs="Calibri" w:eastAsia="Calibri" w:hAnsi="Calibri"/>
                <w:sz w:val="20"/>
                <w:szCs w:val="20"/>
                <w:color w:val="auto"/>
              </w:rPr>
              <w:t>Investment land</w:t>
            </w:r>
          </w:p>
        </w:tc>
        <w:tc>
          <w:tcPr>
            <w:tcW w:w="420" w:type="dxa"/>
            <w:vAlign w:val="bottom"/>
          </w:tcPr>
          <w:p>
            <w:pPr>
              <w:spacing w:after="0"/>
              <w:rPr>
                <w:sz w:val="19"/>
                <w:szCs w:val="19"/>
                <w:color w:val="auto"/>
              </w:rPr>
            </w:pPr>
          </w:p>
        </w:tc>
        <w:tc>
          <w:tcPr>
            <w:tcW w:w="660" w:type="dxa"/>
            <w:vAlign w:val="bottom"/>
          </w:tcPr>
          <w:p>
            <w:pPr>
              <w:jc w:val="right"/>
              <w:spacing w:after="0" w:line="229" w:lineRule="exact"/>
              <w:rPr>
                <w:sz w:val="20"/>
                <w:szCs w:val="20"/>
                <w:color w:val="auto"/>
              </w:rPr>
            </w:pPr>
            <w:r>
              <w:rPr>
                <w:rFonts w:ascii="Calibri" w:cs="Calibri" w:eastAsia="Calibri" w:hAnsi="Calibri"/>
                <w:sz w:val="20"/>
                <w:szCs w:val="20"/>
                <w:color w:val="auto"/>
              </w:rPr>
              <w:t>42.0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40"/>
              <w:spacing w:after="0" w:line="229" w:lineRule="exact"/>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Calibri" w:cs="Calibri" w:eastAsia="Calibri" w:hAnsi="Calibri"/>
                <w:sz w:val="20"/>
                <w:szCs w:val="20"/>
                <w:color w:val="auto"/>
              </w:rPr>
              <w:t>42.0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40"/>
              <w:spacing w:after="0" w:line="229" w:lineRule="exact"/>
              <w:rPr>
                <w:sz w:val="20"/>
                <w:szCs w:val="20"/>
                <w:color w:val="auto"/>
              </w:rPr>
            </w:pPr>
            <w:r>
              <w:rPr>
                <w:rFonts w:ascii="Calibri" w:cs="Calibri" w:eastAsia="Calibri" w:hAnsi="Calibri"/>
                <w:sz w:val="20"/>
                <w:szCs w:val="20"/>
                <w:color w:val="auto"/>
              </w:rPr>
              <w:t>—</w:t>
            </w:r>
          </w:p>
        </w:tc>
        <w:tc>
          <w:tcPr>
            <w:tcW w:w="200" w:type="dxa"/>
            <w:vAlign w:val="bottom"/>
          </w:tcPr>
          <w:p>
            <w:pPr>
              <w:spacing w:after="0"/>
              <w:rPr>
                <w:sz w:val="19"/>
                <w:szCs w:val="19"/>
                <w:color w:val="auto"/>
              </w:rPr>
            </w:pPr>
          </w:p>
        </w:tc>
        <w:tc>
          <w:tcPr>
            <w:tcW w:w="740" w:type="dxa"/>
            <w:vAlign w:val="bottom"/>
          </w:tcPr>
          <w:p>
            <w:pPr>
              <w:jc w:val="right"/>
              <w:spacing w:after="0" w:line="229"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19"/>
                <w:szCs w:val="19"/>
                <w:color w:val="auto"/>
              </w:rPr>
            </w:pPr>
          </w:p>
        </w:tc>
      </w:tr>
      <w:tr>
        <w:trPr>
          <w:trHeight w:val="229"/>
        </w:trPr>
        <w:tc>
          <w:tcPr>
            <w:tcW w:w="36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Other assets</w:t>
            </w:r>
          </w:p>
        </w:tc>
        <w:tc>
          <w:tcPr>
            <w:tcW w:w="4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0.3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0.3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660" w:type="dxa"/>
            <w:vAlign w:val="bottom"/>
          </w:tcPr>
          <w:p>
            <w:pPr>
              <w:ind w:left="20"/>
              <w:spacing w:after="0" w:line="223" w:lineRule="exact"/>
              <w:rPr>
                <w:sz w:val="20"/>
                <w:szCs w:val="20"/>
                <w:color w:val="auto"/>
              </w:rPr>
            </w:pPr>
            <w:r>
              <w:rPr>
                <w:rFonts w:ascii="Calibri" w:cs="Calibri" w:eastAsia="Calibri" w:hAnsi="Calibri"/>
                <w:sz w:val="20"/>
                <w:szCs w:val="20"/>
                <w:color w:val="auto"/>
              </w:rPr>
              <w:t>Total current assets held for sale</w:t>
            </w:r>
          </w:p>
        </w:tc>
        <w:tc>
          <w:tcPr>
            <w:tcW w:w="420" w:type="dxa"/>
            <w:vAlign w:val="bottom"/>
            <w:tcBorders>
              <w:bottom w:val="single" w:sz="8" w:color="auto"/>
            </w:tcBorders>
          </w:tcPr>
          <w:p>
            <w:pPr>
              <w:jc w:val="right"/>
              <w:ind w:right="201"/>
              <w:spacing w:after="0" w:line="223" w:lineRule="exact"/>
              <w:rPr>
                <w:sz w:val="20"/>
                <w:szCs w:val="20"/>
                <w:color w:val="auto"/>
              </w:rPr>
            </w:pPr>
            <w:r>
              <w:rPr>
                <w:rFonts w:ascii="Calibri" w:cs="Calibri" w:eastAsia="Calibri" w:hAnsi="Calibri"/>
                <w:sz w:val="20"/>
                <w:szCs w:val="20"/>
                <w:color w:val="auto"/>
                <w:w w:val="98"/>
              </w:rPr>
              <w:t>$</w:t>
            </w:r>
          </w:p>
        </w:tc>
        <w:tc>
          <w:tcPr>
            <w:tcW w:w="6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42.0</w:t>
            </w: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ind w:left="140"/>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37.5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7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79.5</w:t>
            </w:r>
          </w:p>
        </w:tc>
        <w:tc>
          <w:tcPr>
            <w:tcW w:w="120" w:type="dxa"/>
            <w:vAlign w:val="bottom"/>
          </w:tcPr>
          <w:p>
            <w:pPr>
              <w:spacing w:after="0"/>
              <w:rPr>
                <w:sz w:val="19"/>
                <w:szCs w:val="19"/>
                <w:color w:val="auto"/>
              </w:rPr>
            </w:pPr>
          </w:p>
        </w:tc>
        <w:tc>
          <w:tcPr>
            <w:tcW w:w="760" w:type="dxa"/>
            <w:vAlign w:val="bottom"/>
            <w:tcBorders>
              <w:bottom w:val="single" w:sz="8" w:color="auto"/>
            </w:tcBorders>
            <w:gridSpan w:val="2"/>
          </w:tcPr>
          <w:p>
            <w:pPr>
              <w:ind w:left="120"/>
              <w:spacing w:after="0" w:line="223" w:lineRule="exact"/>
              <w:rPr>
                <w:sz w:val="20"/>
                <w:szCs w:val="20"/>
                <w:color w:val="auto"/>
              </w:rPr>
            </w:pPr>
            <w:r>
              <w:rPr>
                <w:rFonts w:ascii="Calibri" w:cs="Calibri" w:eastAsia="Calibri" w:hAnsi="Calibri"/>
                <w:sz w:val="20"/>
                <w:szCs w:val="20"/>
                <w:color w:val="auto"/>
              </w:rPr>
              <w:t>$</w:t>
            </w:r>
          </w:p>
        </w:tc>
        <w:tc>
          <w:tcPr>
            <w:tcW w:w="4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32.7</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ind w:left="120"/>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69.5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74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102.2</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gridSpan w:val="3"/>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3660" w:type="dxa"/>
            <w:vAlign w:val="bottom"/>
          </w:tcPr>
          <w:p>
            <w:pPr>
              <w:ind w:left="20"/>
              <w:spacing w:after="0" w:line="229" w:lineRule="exact"/>
              <w:rPr>
                <w:sz w:val="20"/>
                <w:szCs w:val="20"/>
                <w:color w:val="auto"/>
              </w:rPr>
            </w:pPr>
            <w:r>
              <w:rPr>
                <w:rFonts w:ascii="Calibri" w:cs="Calibri" w:eastAsia="Calibri" w:hAnsi="Calibri"/>
                <w:sz w:val="20"/>
                <w:szCs w:val="20"/>
                <w:color w:val="auto"/>
              </w:rPr>
              <w:t>Property, plant and equipment</w:t>
            </w:r>
          </w:p>
        </w:tc>
        <w:tc>
          <w:tcPr>
            <w:tcW w:w="420" w:type="dxa"/>
            <w:vAlign w:val="bottom"/>
          </w:tcPr>
          <w:p>
            <w:pPr>
              <w:jc w:val="right"/>
              <w:ind w:right="201"/>
              <w:spacing w:after="0" w:line="229" w:lineRule="exact"/>
              <w:rPr>
                <w:sz w:val="20"/>
                <w:szCs w:val="20"/>
                <w:color w:val="auto"/>
              </w:rPr>
            </w:pPr>
            <w:r>
              <w:rPr>
                <w:rFonts w:ascii="Calibri" w:cs="Calibri" w:eastAsia="Calibri" w:hAnsi="Calibri"/>
                <w:sz w:val="20"/>
                <w:szCs w:val="20"/>
                <w:color w:val="auto"/>
                <w:w w:val="98"/>
              </w:rPr>
              <w:t>$</w:t>
            </w:r>
          </w:p>
        </w:tc>
        <w:tc>
          <w:tcPr>
            <w:tcW w:w="66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380" w:type="dxa"/>
            <w:vAlign w:val="bottom"/>
            <w:gridSpan w:val="3"/>
          </w:tcPr>
          <w:p>
            <w:pPr>
              <w:ind w:left="260"/>
              <w:spacing w:after="0" w:line="229" w:lineRule="exact"/>
              <w:rPr>
                <w:sz w:val="20"/>
                <w:szCs w:val="20"/>
                <w:color w:val="auto"/>
              </w:rPr>
            </w:pPr>
            <w:r>
              <w:rPr>
                <w:rFonts w:ascii="Calibri" w:cs="Calibri" w:eastAsia="Calibri" w:hAnsi="Calibri"/>
                <w:sz w:val="20"/>
                <w:szCs w:val="20"/>
                <w:color w:val="auto"/>
                <w:w w:val="98"/>
              </w:rPr>
              <w:t>$</w:t>
            </w:r>
          </w:p>
        </w:tc>
        <w:tc>
          <w:tcPr>
            <w:tcW w:w="1060" w:type="dxa"/>
            <w:vAlign w:val="bottom"/>
          </w:tcPr>
          <w:p>
            <w:pPr>
              <w:jc w:val="right"/>
              <w:spacing w:after="0" w:line="229" w:lineRule="exact"/>
              <w:rPr>
                <w:sz w:val="20"/>
                <w:szCs w:val="20"/>
                <w:color w:val="auto"/>
              </w:rPr>
            </w:pPr>
            <w:r>
              <w:rPr>
                <w:rFonts w:ascii="Calibri" w:cs="Calibri" w:eastAsia="Calibri" w:hAnsi="Calibri"/>
                <w:sz w:val="20"/>
                <w:szCs w:val="20"/>
                <w:color w:val="auto"/>
              </w:rPr>
              <w:t>127.2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760" w:type="dxa"/>
            <w:vAlign w:val="bottom"/>
          </w:tcPr>
          <w:p>
            <w:pPr>
              <w:jc w:val="right"/>
              <w:spacing w:after="0" w:line="229" w:lineRule="exact"/>
              <w:rPr>
                <w:sz w:val="20"/>
                <w:szCs w:val="20"/>
                <w:color w:val="auto"/>
              </w:rPr>
            </w:pPr>
            <w:r>
              <w:rPr>
                <w:rFonts w:ascii="Calibri" w:cs="Calibri" w:eastAsia="Calibri" w:hAnsi="Calibri"/>
                <w:sz w:val="20"/>
                <w:szCs w:val="20"/>
                <w:color w:val="auto"/>
              </w:rPr>
              <w:t>127.2</w:t>
            </w:r>
          </w:p>
        </w:tc>
        <w:tc>
          <w:tcPr>
            <w:tcW w:w="120" w:type="dxa"/>
            <w:vAlign w:val="bottom"/>
          </w:tcPr>
          <w:p>
            <w:pPr>
              <w:spacing w:after="0"/>
              <w:rPr>
                <w:sz w:val="19"/>
                <w:szCs w:val="19"/>
                <w:color w:val="auto"/>
              </w:rPr>
            </w:pPr>
          </w:p>
        </w:tc>
        <w:tc>
          <w:tcPr>
            <w:tcW w:w="760" w:type="dxa"/>
            <w:vAlign w:val="bottom"/>
            <w:gridSpan w:val="2"/>
          </w:tcPr>
          <w:p>
            <w:pPr>
              <w:ind w:left="120"/>
              <w:spacing w:after="0" w:line="229" w:lineRule="exact"/>
              <w:rPr>
                <w:sz w:val="20"/>
                <w:szCs w:val="20"/>
                <w:color w:val="auto"/>
              </w:rPr>
            </w:pPr>
            <w:r>
              <w:rPr>
                <w:rFonts w:ascii="Calibri" w:cs="Calibri" w:eastAsia="Calibri" w:hAnsi="Calibri"/>
                <w:sz w:val="20"/>
                <w:szCs w:val="20"/>
                <w:color w:val="auto"/>
              </w:rPr>
              <w:t>$</w:t>
            </w: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340" w:type="dxa"/>
            <w:vAlign w:val="bottom"/>
            <w:gridSpan w:val="3"/>
          </w:tcPr>
          <w:p>
            <w:pPr>
              <w:ind w:left="220"/>
              <w:spacing w:after="0" w:line="229" w:lineRule="exact"/>
              <w:rPr>
                <w:sz w:val="20"/>
                <w:szCs w:val="20"/>
                <w:color w:val="auto"/>
              </w:rPr>
            </w:pPr>
            <w:r>
              <w:rPr>
                <w:rFonts w:ascii="Calibri" w:cs="Calibri" w:eastAsia="Calibri" w:hAnsi="Calibri"/>
                <w:sz w:val="20"/>
                <w:szCs w:val="20"/>
                <w:color w:val="auto"/>
                <w:w w:val="98"/>
              </w:rPr>
              <w:t>$</w:t>
            </w: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226.0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Calibri" w:cs="Calibri" w:eastAsia="Calibri" w:hAnsi="Calibri"/>
                <w:sz w:val="20"/>
                <w:szCs w:val="20"/>
                <w:color w:val="auto"/>
                <w:w w:val="98"/>
              </w:rPr>
              <w:t>$</w:t>
            </w:r>
          </w:p>
        </w:tc>
        <w:tc>
          <w:tcPr>
            <w:tcW w:w="740" w:type="dxa"/>
            <w:vAlign w:val="bottom"/>
          </w:tcPr>
          <w:p>
            <w:pPr>
              <w:jc w:val="right"/>
              <w:spacing w:after="0" w:line="229" w:lineRule="exact"/>
              <w:rPr>
                <w:sz w:val="20"/>
                <w:szCs w:val="20"/>
                <w:color w:val="auto"/>
              </w:rPr>
            </w:pPr>
            <w:r>
              <w:rPr>
                <w:rFonts w:ascii="Calibri" w:cs="Calibri" w:eastAsia="Calibri" w:hAnsi="Calibri"/>
                <w:sz w:val="20"/>
                <w:szCs w:val="20"/>
                <w:color w:val="auto"/>
              </w:rPr>
              <w:t>226.0</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Intangible assets, excluding goodwill</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208.5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208.5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264.9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264.9</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ind w:left="20"/>
              <w:spacing w:after="0" w:line="229" w:lineRule="exact"/>
              <w:rPr>
                <w:sz w:val="20"/>
                <w:szCs w:val="20"/>
                <w:color w:val="auto"/>
              </w:rPr>
            </w:pPr>
            <w:r>
              <w:rPr>
                <w:rFonts w:ascii="Calibri" w:cs="Calibri" w:eastAsia="Calibri" w:hAnsi="Calibri"/>
                <w:sz w:val="20"/>
                <w:szCs w:val="20"/>
                <w:color w:val="auto"/>
              </w:rPr>
              <w:t>Operatng lease right-of-use assets</w:t>
            </w:r>
          </w:p>
        </w:tc>
        <w:tc>
          <w:tcPr>
            <w:tcW w:w="420" w:type="dxa"/>
            <w:vAlign w:val="bottom"/>
          </w:tcPr>
          <w:p>
            <w:pPr>
              <w:spacing w:after="0"/>
              <w:rPr>
                <w:sz w:val="19"/>
                <w:szCs w:val="19"/>
                <w:color w:val="auto"/>
              </w:rPr>
            </w:pPr>
          </w:p>
        </w:tc>
        <w:tc>
          <w:tcPr>
            <w:tcW w:w="66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Calibri" w:cs="Calibri" w:eastAsia="Calibri" w:hAnsi="Calibri"/>
                <w:sz w:val="20"/>
                <w:szCs w:val="20"/>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line="229" w:lineRule="exact"/>
              <w:rPr>
                <w:sz w:val="20"/>
                <w:szCs w:val="20"/>
                <w:color w:val="auto"/>
              </w:rPr>
            </w:pPr>
            <w:r>
              <w:rPr>
                <w:rFonts w:ascii="Calibri" w:cs="Calibri" w:eastAsia="Calibri" w:hAnsi="Calibri"/>
                <w:sz w:val="20"/>
                <w:szCs w:val="20"/>
                <w:color w:val="auto"/>
              </w:rPr>
              <w:t>12.7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18.1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line="229" w:lineRule="exact"/>
              <w:rPr>
                <w:sz w:val="20"/>
                <w:szCs w:val="20"/>
                <w:color w:val="auto"/>
              </w:rPr>
            </w:pPr>
            <w:r>
              <w:rPr>
                <w:rFonts w:ascii="Calibri" w:cs="Calibri" w:eastAsia="Calibri" w:hAnsi="Calibri"/>
                <w:sz w:val="20"/>
                <w:szCs w:val="20"/>
                <w:color w:val="auto"/>
              </w:rPr>
              <w:t>18.1</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Goodwill</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109.3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109.3</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ind w:left="20"/>
              <w:spacing w:after="0" w:line="229" w:lineRule="exact"/>
              <w:rPr>
                <w:sz w:val="20"/>
                <w:szCs w:val="20"/>
                <w:color w:val="auto"/>
              </w:rPr>
            </w:pPr>
            <w:r>
              <w:rPr>
                <w:rFonts w:ascii="Calibri" w:cs="Calibri" w:eastAsia="Calibri" w:hAnsi="Calibri"/>
                <w:sz w:val="20"/>
                <w:szCs w:val="20"/>
                <w:color w:val="auto"/>
              </w:rPr>
              <w:t>Other assets</w:t>
            </w:r>
          </w:p>
        </w:tc>
        <w:tc>
          <w:tcPr>
            <w:tcW w:w="420" w:type="dxa"/>
            <w:vAlign w:val="bottom"/>
          </w:tcPr>
          <w:p>
            <w:pPr>
              <w:spacing w:after="0"/>
              <w:rPr>
                <w:sz w:val="19"/>
                <w:szCs w:val="19"/>
                <w:color w:val="auto"/>
              </w:rPr>
            </w:pPr>
          </w:p>
        </w:tc>
        <w:tc>
          <w:tcPr>
            <w:tcW w:w="66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240"/>
              <w:spacing w:after="0" w:line="229" w:lineRule="exact"/>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41"/>
              <w:spacing w:after="0" w:line="229"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line="229" w:lineRule="exact"/>
              <w:rPr>
                <w:sz w:val="20"/>
                <w:szCs w:val="20"/>
                <w:color w:val="auto"/>
              </w:rPr>
            </w:pPr>
            <w:r>
              <w:rPr>
                <w:rFonts w:ascii="Calibri" w:cs="Calibri" w:eastAsia="Calibri" w:hAnsi="Calibri"/>
                <w:sz w:val="20"/>
                <w:szCs w:val="20"/>
                <w:color w:val="auto"/>
              </w:rPr>
              <w:t>4.6</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Valuaton allowance for loss on sale</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(5.1 )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(5.1 )</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(6.0 )</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(6.0 )</w:t>
            </w:r>
          </w:p>
        </w:tc>
      </w:tr>
      <w:tr>
        <w:trPr>
          <w:trHeight w:val="223"/>
        </w:trPr>
        <w:tc>
          <w:tcPr>
            <w:tcW w:w="3660" w:type="dxa"/>
            <w:vAlign w:val="bottom"/>
            <w:tcBorders>
              <w:top w:val="single" w:sz="8" w:color="CFF0FC"/>
            </w:tcBorders>
          </w:tcPr>
          <w:p>
            <w:pPr>
              <w:ind w:left="20"/>
              <w:spacing w:after="0" w:line="223" w:lineRule="exact"/>
              <w:rPr>
                <w:sz w:val="20"/>
                <w:szCs w:val="20"/>
                <w:color w:val="auto"/>
              </w:rPr>
            </w:pPr>
            <w:r>
              <w:rPr>
                <w:rFonts w:ascii="Calibri" w:cs="Calibri" w:eastAsia="Calibri" w:hAnsi="Calibri"/>
                <w:sz w:val="20"/>
                <w:szCs w:val="20"/>
                <w:color w:val="auto"/>
              </w:rPr>
              <w:t>Total noncurrent assets held for sale</w:t>
            </w:r>
          </w:p>
        </w:tc>
        <w:tc>
          <w:tcPr>
            <w:tcW w:w="420" w:type="dxa"/>
            <w:vAlign w:val="bottom"/>
            <w:tcBorders>
              <w:top w:val="single" w:sz="8" w:color="auto"/>
              <w:bottom w:val="single" w:sz="8" w:color="auto"/>
            </w:tcBorders>
          </w:tcPr>
          <w:p>
            <w:pPr>
              <w:jc w:val="right"/>
              <w:ind w:right="201"/>
              <w:spacing w:after="0" w:line="223" w:lineRule="exact"/>
              <w:rPr>
                <w:sz w:val="20"/>
                <w:szCs w:val="20"/>
                <w:color w:val="auto"/>
              </w:rPr>
            </w:pPr>
            <w:r>
              <w:rPr>
                <w:rFonts w:ascii="Calibri" w:cs="Calibri" w:eastAsia="Calibri" w:hAnsi="Calibri"/>
                <w:sz w:val="20"/>
                <w:szCs w:val="20"/>
                <w:color w:val="auto"/>
                <w:w w:val="98"/>
              </w:rPr>
              <w:t>$</w:t>
            </w:r>
          </w:p>
        </w:tc>
        <w:tc>
          <w:tcPr>
            <w:tcW w:w="6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w:t>
            </w: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gridSpan w:val="2"/>
          </w:tcPr>
          <w:p>
            <w:pPr>
              <w:ind w:left="140"/>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375.1</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375.1</w:t>
            </w:r>
          </w:p>
        </w:tc>
        <w:tc>
          <w:tcPr>
            <w:tcW w:w="120" w:type="dxa"/>
            <w:vAlign w:val="bottom"/>
            <w:tcBorders>
              <w:top w:val="single" w:sz="8" w:color="CFF0FC"/>
            </w:tcBorders>
          </w:tcPr>
          <w:p>
            <w:pPr>
              <w:spacing w:after="0"/>
              <w:rPr>
                <w:sz w:val="19"/>
                <w:szCs w:val="19"/>
                <w:color w:val="auto"/>
              </w:rPr>
            </w:pPr>
          </w:p>
        </w:tc>
        <w:tc>
          <w:tcPr>
            <w:tcW w:w="760" w:type="dxa"/>
            <w:vAlign w:val="bottom"/>
            <w:tcBorders>
              <w:top w:val="single" w:sz="8" w:color="auto"/>
              <w:bottom w:val="single" w:sz="8" w:color="auto"/>
            </w:tcBorders>
            <w:gridSpan w:val="2"/>
          </w:tcPr>
          <w:p>
            <w:pPr>
              <w:ind w:left="120"/>
              <w:spacing w:after="0" w:line="223" w:lineRule="exact"/>
              <w:rPr>
                <w:sz w:val="20"/>
                <w:szCs w:val="20"/>
                <w:color w:val="auto"/>
              </w:rPr>
            </w:pPr>
            <w:r>
              <w:rPr>
                <w:rFonts w:ascii="Calibri" w:cs="Calibri" w:eastAsia="Calibri" w:hAnsi="Calibri"/>
                <w:sz w:val="20"/>
                <w:szCs w:val="20"/>
                <w:color w:val="auto"/>
              </w:rPr>
              <w:t>$</w:t>
            </w:r>
          </w:p>
        </w:tc>
        <w:tc>
          <w:tcPr>
            <w:tcW w:w="40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w:t>
            </w:r>
          </w:p>
        </w:tc>
        <w:tc>
          <w:tcPr>
            <w:tcW w:w="1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120"/>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616.9</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74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616.9</w:t>
            </w:r>
          </w:p>
        </w:tc>
        <w:tc>
          <w:tcPr>
            <w:tcW w:w="100" w:type="dxa"/>
            <w:vAlign w:val="bottom"/>
            <w:tcBorders>
              <w:top w:val="single" w:sz="8" w:color="CFF0FC"/>
            </w:tcBorders>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spacing w:after="0"/>
              <w:rPr>
                <w:sz w:val="18"/>
                <w:szCs w:val="18"/>
                <w:color w:val="auto"/>
              </w:rPr>
            </w:pPr>
          </w:p>
        </w:tc>
        <w:tc>
          <w:tcPr>
            <w:tcW w:w="760" w:type="dxa"/>
            <w:vAlign w:val="bottom"/>
            <w:gridSpan w:val="2"/>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gridSpan w:val="3"/>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spacing w:after="0"/>
              <w:rPr>
                <w:sz w:val="18"/>
                <w:szCs w:val="18"/>
                <w:color w:val="auto"/>
              </w:rPr>
            </w:pPr>
          </w:p>
        </w:tc>
      </w:tr>
      <w:tr>
        <w:trPr>
          <w:trHeight w:val="230"/>
        </w:trPr>
        <w:tc>
          <w:tcPr>
            <w:tcW w:w="3660" w:type="dxa"/>
            <w:vAlign w:val="bottom"/>
          </w:tcPr>
          <w:p>
            <w:pPr>
              <w:ind w:left="20"/>
              <w:spacing w:after="0" w:line="229" w:lineRule="exact"/>
              <w:rPr>
                <w:sz w:val="20"/>
                <w:szCs w:val="20"/>
                <w:color w:val="auto"/>
              </w:rPr>
            </w:pPr>
            <w:r>
              <w:rPr>
                <w:rFonts w:ascii="Calibri" w:cs="Calibri" w:eastAsia="Calibri" w:hAnsi="Calibri"/>
                <w:sz w:val="20"/>
                <w:szCs w:val="20"/>
                <w:color w:val="auto"/>
              </w:rPr>
              <w:t>Lease obligatons</w:t>
            </w:r>
          </w:p>
        </w:tc>
        <w:tc>
          <w:tcPr>
            <w:tcW w:w="420" w:type="dxa"/>
            <w:vAlign w:val="bottom"/>
          </w:tcPr>
          <w:p>
            <w:pPr>
              <w:jc w:val="right"/>
              <w:ind w:right="201"/>
              <w:spacing w:after="0" w:line="229" w:lineRule="exact"/>
              <w:rPr>
                <w:sz w:val="20"/>
                <w:szCs w:val="20"/>
                <w:color w:val="auto"/>
              </w:rPr>
            </w:pPr>
            <w:r>
              <w:rPr>
                <w:rFonts w:ascii="Calibri" w:cs="Calibri" w:eastAsia="Calibri" w:hAnsi="Calibri"/>
                <w:sz w:val="20"/>
                <w:szCs w:val="20"/>
                <w:color w:val="auto"/>
                <w:w w:val="98"/>
              </w:rPr>
              <w:t>$</w:t>
            </w:r>
          </w:p>
        </w:tc>
        <w:tc>
          <w:tcPr>
            <w:tcW w:w="66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380" w:type="dxa"/>
            <w:vAlign w:val="bottom"/>
            <w:gridSpan w:val="3"/>
          </w:tcPr>
          <w:p>
            <w:pPr>
              <w:ind w:left="260"/>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(4.6 )</w:t>
            </w:r>
          </w:p>
        </w:tc>
        <w:tc>
          <w:tcPr>
            <w:tcW w:w="120" w:type="dxa"/>
            <w:vAlign w:val="bottom"/>
          </w:tcPr>
          <w:p>
            <w:pPr>
              <w:spacing w:after="0"/>
              <w:rPr>
                <w:sz w:val="19"/>
                <w:szCs w:val="19"/>
                <w:color w:val="auto"/>
              </w:rPr>
            </w:pPr>
          </w:p>
        </w:tc>
        <w:tc>
          <w:tcPr>
            <w:tcW w:w="160" w:type="dxa"/>
            <w:vAlign w:val="bottom"/>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88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(4.6 )</w:t>
            </w:r>
          </w:p>
        </w:tc>
        <w:tc>
          <w:tcPr>
            <w:tcW w:w="760" w:type="dxa"/>
            <w:vAlign w:val="bottom"/>
            <w:gridSpan w:val="2"/>
          </w:tcPr>
          <w:p>
            <w:pPr>
              <w:ind w:left="120"/>
              <w:spacing w:after="0" w:line="229" w:lineRule="exact"/>
              <w:rPr>
                <w:sz w:val="20"/>
                <w:szCs w:val="20"/>
                <w:color w:val="auto"/>
              </w:rPr>
            </w:pPr>
            <w:r>
              <w:rPr>
                <w:rFonts w:ascii="Calibri" w:cs="Calibri" w:eastAsia="Calibri" w:hAnsi="Calibri"/>
                <w:sz w:val="20"/>
                <w:szCs w:val="20"/>
                <w:color w:val="auto"/>
              </w:rPr>
              <w:t>$</w:t>
            </w: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340" w:type="dxa"/>
            <w:vAlign w:val="bottom"/>
            <w:gridSpan w:val="3"/>
          </w:tcPr>
          <w:p>
            <w:pPr>
              <w:ind w:left="220"/>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(7.5 )</w:t>
            </w:r>
          </w:p>
        </w:tc>
        <w:tc>
          <w:tcPr>
            <w:tcW w:w="10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Calibri" w:cs="Calibri" w:eastAsia="Calibri" w:hAnsi="Calibri"/>
                <w:sz w:val="20"/>
                <w:szCs w:val="20"/>
                <w:color w:val="auto"/>
                <w:w w:val="98"/>
              </w:rPr>
              <w:t>$</w:t>
            </w:r>
          </w:p>
        </w:tc>
        <w:tc>
          <w:tcPr>
            <w:tcW w:w="84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(7.5 )</w:t>
            </w:r>
          </w:p>
        </w:tc>
      </w:tr>
      <w:tr>
        <w:trPr>
          <w:trHeight w:val="263"/>
        </w:trPr>
        <w:tc>
          <w:tcPr>
            <w:tcW w:w="366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current liabilites held for sale</w:t>
            </w:r>
          </w:p>
        </w:tc>
        <w:tc>
          <w:tcPr>
            <w:tcW w:w="420" w:type="dxa"/>
            <w:vAlign w:val="bottom"/>
            <w:tcBorders>
              <w:top w:val="single" w:sz="8" w:color="auto"/>
              <w:bottom w:val="single" w:sz="8" w:color="auto"/>
            </w:tcBorders>
            <w:shd w:val="clear" w:color="auto" w:fill="CFF0FC"/>
          </w:tcPr>
          <w:p>
            <w:pPr>
              <w:jc w:val="right"/>
              <w:ind w:right="201"/>
              <w:spacing w:after="0" w:line="223" w:lineRule="exact"/>
              <w:rPr>
                <w:sz w:val="20"/>
                <w:szCs w:val="20"/>
                <w:color w:val="auto"/>
              </w:rPr>
            </w:pPr>
            <w:r>
              <w:rPr>
                <w:rFonts w:ascii="Calibri" w:cs="Calibri" w:eastAsia="Calibri" w:hAnsi="Calibri"/>
                <w:sz w:val="20"/>
                <w:szCs w:val="20"/>
                <w:color w:val="auto"/>
                <w:w w:val="98"/>
              </w:rPr>
              <w:t>$</w:t>
            </w:r>
          </w:p>
        </w:tc>
        <w:tc>
          <w:tcPr>
            <w:tcW w:w="6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FF0FC"/>
          </w:tcPr>
          <w:p>
            <w:pPr>
              <w:ind w:left="140"/>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(4.6</w:t>
            </w:r>
          </w:p>
        </w:tc>
        <w:tc>
          <w:tcPr>
            <w:tcW w:w="10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7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(4.6</w:t>
            </w:r>
          </w:p>
        </w:tc>
        <w:tc>
          <w:tcPr>
            <w:tcW w:w="12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760" w:type="dxa"/>
            <w:vAlign w:val="bottom"/>
            <w:tcBorders>
              <w:top w:val="single" w:sz="8" w:color="auto"/>
              <w:bottom w:val="single" w:sz="8" w:color="auto"/>
            </w:tcBorders>
            <w:gridSpan w:val="2"/>
            <w:shd w:val="clear" w:color="auto" w:fill="CFF0FC"/>
          </w:tcPr>
          <w:p>
            <w:pPr>
              <w:ind w:left="120"/>
              <w:spacing w:after="0" w:line="223" w:lineRule="exact"/>
              <w:rPr>
                <w:sz w:val="20"/>
                <w:szCs w:val="20"/>
                <w:color w:val="auto"/>
              </w:rPr>
            </w:pPr>
            <w:r>
              <w:rPr>
                <w:rFonts w:ascii="Calibri" w:cs="Calibri" w:eastAsia="Calibri" w:hAnsi="Calibri"/>
                <w:sz w:val="20"/>
                <w:szCs w:val="20"/>
                <w:color w:val="auto"/>
              </w:rPr>
              <w:t>$</w:t>
            </w:r>
          </w:p>
        </w:tc>
        <w:tc>
          <w:tcPr>
            <w:tcW w:w="4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FF0FC"/>
          </w:tcPr>
          <w:p>
            <w:pPr>
              <w:ind w:left="120"/>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(7.5</w:t>
            </w:r>
          </w:p>
        </w:tc>
        <w:tc>
          <w:tcPr>
            <w:tcW w:w="12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7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w w:val="72"/>
              </w:rPr>
              <w:t>)</w:t>
            </w:r>
          </w:p>
        </w:tc>
      </w:tr>
      <w:tr>
        <w:trPr>
          <w:trHeight w:val="210"/>
        </w:trPr>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r>
      <w:tr>
        <w:trPr>
          <w:trHeight w:val="230"/>
        </w:trPr>
        <w:tc>
          <w:tcPr>
            <w:tcW w:w="36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Asset retrement obligatons</w:t>
            </w:r>
          </w:p>
        </w:tc>
        <w:tc>
          <w:tcPr>
            <w:tcW w:w="420" w:type="dxa"/>
            <w:vAlign w:val="bottom"/>
            <w:shd w:val="clear" w:color="auto" w:fill="CFF0FC"/>
          </w:tcPr>
          <w:p>
            <w:pPr>
              <w:jc w:val="right"/>
              <w:ind w:right="201"/>
              <w:spacing w:after="0" w:line="229" w:lineRule="exact"/>
              <w:rPr>
                <w:sz w:val="20"/>
                <w:szCs w:val="20"/>
                <w:color w:val="auto"/>
              </w:rPr>
            </w:pPr>
            <w:r>
              <w:rPr>
                <w:rFonts w:ascii="Calibri" w:cs="Calibri" w:eastAsia="Calibri" w:hAnsi="Calibri"/>
                <w:sz w:val="20"/>
                <w:szCs w:val="20"/>
                <w:color w:val="auto"/>
                <w:w w:val="98"/>
              </w:rPr>
              <w:t>$</w:t>
            </w:r>
          </w:p>
        </w:tc>
        <w:tc>
          <w:tcPr>
            <w:tcW w:w="6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380" w:type="dxa"/>
            <w:vAlign w:val="bottom"/>
            <w:gridSpan w:val="3"/>
            <w:shd w:val="clear" w:color="auto" w:fill="CFF0FC"/>
          </w:tcPr>
          <w:p>
            <w:pPr>
              <w:ind w:left="260"/>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(17.4 )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78"/>
              </w:rPr>
              <w:t>$</w:t>
            </w:r>
          </w:p>
        </w:tc>
        <w:tc>
          <w:tcPr>
            <w:tcW w:w="88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(17.4 )</w:t>
            </w:r>
          </w:p>
        </w:tc>
        <w:tc>
          <w:tcPr>
            <w:tcW w:w="760" w:type="dxa"/>
            <w:vAlign w:val="bottom"/>
            <w:gridSpan w:val="2"/>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w:t>
            </w:r>
          </w:p>
        </w:tc>
        <w:tc>
          <w:tcPr>
            <w:tcW w:w="4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340" w:type="dxa"/>
            <w:vAlign w:val="bottom"/>
            <w:gridSpan w:val="3"/>
            <w:shd w:val="clear" w:color="auto" w:fill="CFF0FC"/>
          </w:tcPr>
          <w:p>
            <w:pPr>
              <w:ind w:left="220"/>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(31.5 )</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98"/>
              </w:rPr>
              <w:t>$</w:t>
            </w:r>
          </w:p>
        </w:tc>
        <w:tc>
          <w:tcPr>
            <w:tcW w:w="84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(31.5 )</w:t>
            </w:r>
          </w:p>
        </w:tc>
      </w:tr>
      <w:tr>
        <w:trPr>
          <w:trHeight w:val="229"/>
        </w:trPr>
        <w:tc>
          <w:tcPr>
            <w:tcW w:w="3660" w:type="dxa"/>
            <w:vAlign w:val="bottom"/>
          </w:tcPr>
          <w:p>
            <w:pPr>
              <w:ind w:left="20"/>
              <w:spacing w:after="0" w:line="229" w:lineRule="exact"/>
              <w:rPr>
                <w:sz w:val="20"/>
                <w:szCs w:val="20"/>
                <w:color w:val="auto"/>
              </w:rPr>
            </w:pPr>
            <w:r>
              <w:rPr>
                <w:rFonts w:ascii="Calibri" w:cs="Calibri" w:eastAsia="Calibri" w:hAnsi="Calibri"/>
                <w:sz w:val="20"/>
                <w:szCs w:val="20"/>
                <w:color w:val="auto"/>
              </w:rPr>
              <w:t>Lease obligatons</w:t>
            </w:r>
          </w:p>
        </w:tc>
        <w:tc>
          <w:tcPr>
            <w:tcW w:w="420" w:type="dxa"/>
            <w:vAlign w:val="bottom"/>
          </w:tcPr>
          <w:p>
            <w:pPr>
              <w:spacing w:after="0"/>
              <w:rPr>
                <w:sz w:val="19"/>
                <w:szCs w:val="19"/>
                <w:color w:val="auto"/>
              </w:rPr>
            </w:pPr>
          </w:p>
        </w:tc>
        <w:tc>
          <w:tcPr>
            <w:tcW w:w="66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(6.4 )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(6.4 )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(22.0 )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(22.0 )</w:t>
            </w:r>
          </w:p>
        </w:tc>
      </w:tr>
      <w:tr>
        <w:trPr>
          <w:trHeight w:val="263"/>
        </w:trPr>
        <w:tc>
          <w:tcPr>
            <w:tcW w:w="366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noncurrent liabilites held for sale</w:t>
            </w:r>
          </w:p>
        </w:tc>
        <w:tc>
          <w:tcPr>
            <w:tcW w:w="420" w:type="dxa"/>
            <w:vAlign w:val="bottom"/>
            <w:tcBorders>
              <w:top w:val="single" w:sz="8" w:color="auto"/>
              <w:bottom w:val="single" w:sz="8" w:color="auto"/>
            </w:tcBorders>
            <w:shd w:val="clear" w:color="auto" w:fill="CFF0FC"/>
          </w:tcPr>
          <w:p>
            <w:pPr>
              <w:jc w:val="right"/>
              <w:ind w:right="201"/>
              <w:spacing w:after="0" w:line="223" w:lineRule="exact"/>
              <w:rPr>
                <w:sz w:val="20"/>
                <w:szCs w:val="20"/>
                <w:color w:val="auto"/>
              </w:rPr>
            </w:pPr>
            <w:r>
              <w:rPr>
                <w:rFonts w:ascii="Calibri" w:cs="Calibri" w:eastAsia="Calibri" w:hAnsi="Calibri"/>
                <w:sz w:val="20"/>
                <w:szCs w:val="20"/>
                <w:color w:val="auto"/>
                <w:w w:val="98"/>
              </w:rPr>
              <w:t>$</w:t>
            </w:r>
          </w:p>
        </w:tc>
        <w:tc>
          <w:tcPr>
            <w:tcW w:w="6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gridSpan w:val="2"/>
            <w:shd w:val="clear" w:color="auto" w:fill="CFF0FC"/>
          </w:tcPr>
          <w:p>
            <w:pPr>
              <w:ind w:left="140"/>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(23.8</w:t>
            </w:r>
          </w:p>
        </w:tc>
        <w:tc>
          <w:tcPr>
            <w:tcW w:w="10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7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(23.8</w:t>
            </w:r>
          </w:p>
        </w:tc>
        <w:tc>
          <w:tcPr>
            <w:tcW w:w="12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760" w:type="dxa"/>
            <w:vAlign w:val="bottom"/>
            <w:tcBorders>
              <w:top w:val="single" w:sz="8" w:color="auto"/>
              <w:bottom w:val="single" w:sz="8" w:color="auto"/>
            </w:tcBorders>
            <w:gridSpan w:val="2"/>
            <w:shd w:val="clear" w:color="auto" w:fill="CFF0FC"/>
          </w:tcPr>
          <w:p>
            <w:pPr>
              <w:ind w:left="120"/>
              <w:spacing w:after="0" w:line="223" w:lineRule="exact"/>
              <w:rPr>
                <w:sz w:val="20"/>
                <w:szCs w:val="20"/>
                <w:color w:val="auto"/>
              </w:rPr>
            </w:pPr>
            <w:r>
              <w:rPr>
                <w:rFonts w:ascii="Calibri" w:cs="Calibri" w:eastAsia="Calibri" w:hAnsi="Calibri"/>
                <w:sz w:val="20"/>
                <w:szCs w:val="20"/>
                <w:color w:val="auto"/>
              </w:rPr>
              <w:t>$</w:t>
            </w:r>
          </w:p>
        </w:tc>
        <w:tc>
          <w:tcPr>
            <w:tcW w:w="4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FF0FC"/>
          </w:tcPr>
          <w:p>
            <w:pPr>
              <w:ind w:left="120"/>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(53.5</w:t>
            </w:r>
          </w:p>
        </w:tc>
        <w:tc>
          <w:tcPr>
            <w:tcW w:w="12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7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(53.5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w w:val="7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-2468245</wp:posOffset>
            </wp:positionV>
            <wp:extent cx="7683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-2468245</wp:posOffset>
            </wp:positionV>
            <wp:extent cx="6858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-2468245</wp:posOffset>
            </wp:positionV>
            <wp:extent cx="6858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-2468245</wp:posOffset>
            </wp:positionV>
            <wp:extent cx="68580"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-1268095</wp:posOffset>
            </wp:positionV>
            <wp:extent cx="76835"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-1268095</wp:posOffset>
            </wp:positionV>
            <wp:extent cx="6858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-1268095</wp:posOffset>
            </wp:positionV>
            <wp:extent cx="6858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-1268095</wp:posOffset>
            </wp:positionV>
            <wp:extent cx="6858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-1268095</wp:posOffset>
            </wp:positionV>
            <wp:extent cx="685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-642620</wp:posOffset>
            </wp:positionV>
            <wp:extent cx="412305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23055" cy="17145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17" w:name="page18"/>
    <w:bookmarkEnd w:id="1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12" w:lineRule="exact"/>
        <w:rPr>
          <w:sz w:val="20"/>
          <w:szCs w:val="20"/>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Goodwill</w:t>
      </w:r>
    </w:p>
    <w:p>
      <w:pPr>
        <w:spacing w:after="0" w:line="295"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following table shows the changes in goodwill by reportable segment and in total:</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16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Calibri" w:cs="Calibri" w:eastAsia="Calibri" w:hAnsi="Calibri"/>
                <w:sz w:val="20"/>
                <w:szCs w:val="20"/>
                <w:color w:val="auto"/>
              </w:rPr>
              <w:t>East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Calibri" w:cs="Calibri" w:eastAsia="Calibri" w:hAnsi="Calibri"/>
                <w:sz w:val="20"/>
                <w:szCs w:val="20"/>
                <w:color w:val="auto"/>
                <w:w w:val="99"/>
              </w:rPr>
              <w:t>West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160" w:type="dxa"/>
            <w:vAlign w:val="bottom"/>
          </w:tcPr>
          <w:p>
            <w:pPr>
              <w:spacing w:after="0"/>
              <w:rPr>
                <w:sz w:val="21"/>
                <w:szCs w:val="21"/>
                <w:color w:val="auto"/>
              </w:rPr>
            </w:pPr>
          </w:p>
        </w:tc>
        <w:tc>
          <w:tcPr>
            <w:tcW w:w="10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Group</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7"/>
              </w:rPr>
              <w:t>Group</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640"/>
              <w:spacing w:after="0" w:line="234" w:lineRule="exact"/>
              <w:rPr>
                <w:sz w:val="20"/>
                <w:szCs w:val="20"/>
                <w:color w:val="auto"/>
              </w:rPr>
            </w:pPr>
            <w:r>
              <w:rPr>
                <w:rFonts w:ascii="Calibri" w:cs="Calibri" w:eastAsia="Calibri" w:hAnsi="Calibri"/>
                <w:sz w:val="20"/>
                <w:szCs w:val="20"/>
                <w:color w:val="auto"/>
              </w:rPr>
              <w:t>Total</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Borders>
              <w:top w:val="single" w:sz="8" w:color="auto"/>
            </w:tcBorders>
            <w:gridSpan w:val="6"/>
          </w:tcPr>
          <w:p>
            <w:pPr>
              <w:jc w:val="center"/>
              <w:spacing w:after="0" w:line="229" w:lineRule="exact"/>
              <w:rPr>
                <w:sz w:val="20"/>
                <w:szCs w:val="20"/>
                <w:color w:val="auto"/>
              </w:rPr>
            </w:pPr>
            <w:r>
              <w:rPr>
                <w:rFonts w:ascii="Calibri" w:cs="Calibri" w:eastAsia="Calibri" w:hAnsi="Calibri"/>
                <w:sz w:val="20"/>
                <w:szCs w:val="20"/>
                <w:i w:val="1"/>
                <w:iCs w:val="1"/>
                <w:color w:val="auto"/>
                <w:w w:val="94"/>
              </w:rPr>
              <w:t>(Dollars in Millions)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Balance at January 1, 2022</w:t>
            </w:r>
          </w:p>
        </w:tc>
        <w:tc>
          <w:tcPr>
            <w:tcW w:w="900" w:type="dxa"/>
            <w:vAlign w:val="bottom"/>
            <w:shd w:val="clear" w:color="auto" w:fill="CFF0FC"/>
          </w:tcPr>
          <w:p>
            <w:pPr>
              <w:jc w:val="right"/>
              <w:ind w:right="701"/>
              <w:spacing w:after="0" w:line="229" w:lineRule="exact"/>
              <w:rPr>
                <w:sz w:val="20"/>
                <w:szCs w:val="20"/>
                <w:color w:val="auto"/>
              </w:rPr>
            </w:pPr>
            <w:r>
              <w:rPr>
                <w:rFonts w:ascii="Calibri" w:cs="Calibri" w:eastAsia="Calibri" w:hAnsi="Calibri"/>
                <w:sz w:val="20"/>
                <w:szCs w:val="20"/>
                <w:color w:val="auto"/>
                <w:w w:val="78"/>
              </w:rPr>
              <w:t>$</w:t>
            </w:r>
          </w:p>
        </w:tc>
        <w:tc>
          <w:tcPr>
            <w:tcW w:w="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w w:val="96"/>
              </w:rPr>
              <w:t>759.4</w:t>
            </w:r>
          </w:p>
        </w:tc>
        <w:tc>
          <w:tcPr>
            <w:tcW w:w="620" w:type="dxa"/>
            <w:vAlign w:val="bottom"/>
            <w:gridSpan w:val="2"/>
            <w:shd w:val="clear" w:color="auto" w:fill="CFF0FC"/>
          </w:tcPr>
          <w:p>
            <w:pPr>
              <w:jc w:val="center"/>
              <w:spacing w:after="0" w:line="229" w:lineRule="exact"/>
              <w:rPr>
                <w:sz w:val="20"/>
                <w:szCs w:val="20"/>
                <w:color w:val="auto"/>
              </w:rPr>
            </w:pPr>
            <w:r>
              <w:rPr>
                <w:rFonts w:ascii="Calibri" w:cs="Calibri" w:eastAsia="Calibri" w:hAnsi="Calibri"/>
                <w:sz w:val="20"/>
                <w:szCs w:val="20"/>
                <w:color w:val="auto"/>
                <w:w w:val="98"/>
              </w:rPr>
              <w:t>$</w:t>
            </w:r>
          </w:p>
        </w:tc>
        <w:tc>
          <w:tcPr>
            <w:tcW w:w="1140" w:type="dxa"/>
            <w:vAlign w:val="bottom"/>
            <w:gridSpan w:val="5"/>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2,735.0</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6"/>
              <w:spacing w:after="0" w:line="229" w:lineRule="exact"/>
              <w:rPr>
                <w:sz w:val="20"/>
                <w:szCs w:val="20"/>
                <w:color w:val="auto"/>
              </w:rPr>
            </w:pPr>
            <w:r>
              <w:rPr>
                <w:rFonts w:ascii="Calibri" w:cs="Calibri" w:eastAsia="Calibri" w:hAnsi="Calibri"/>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3,494.4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line="229" w:lineRule="exact"/>
              <w:rPr>
                <w:sz w:val="20"/>
                <w:szCs w:val="20"/>
                <w:color w:val="auto"/>
              </w:rPr>
            </w:pPr>
            <w:r>
              <w:rPr>
                <w:rFonts w:ascii="Calibri" w:cs="Calibri" w:eastAsia="Calibri" w:hAnsi="Calibri"/>
                <w:sz w:val="20"/>
                <w:szCs w:val="20"/>
                <w:color w:val="auto"/>
              </w:rPr>
              <w:t>Acquisitons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3"/>
          </w:tcPr>
          <w:p>
            <w:pPr>
              <w:jc w:val="right"/>
              <w:spacing w:after="0" w:line="229" w:lineRule="exact"/>
              <w:rPr>
                <w:sz w:val="20"/>
                <w:szCs w:val="20"/>
                <w:color w:val="auto"/>
              </w:rPr>
            </w:pPr>
            <w:r>
              <w:rPr>
                <w:rFonts w:ascii="Calibri" w:cs="Calibri" w:eastAsia="Calibri" w:hAnsi="Calibri"/>
                <w:sz w:val="20"/>
                <w:szCs w:val="20"/>
                <w:color w:val="auto"/>
              </w:rPr>
              <w:t>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Adjustments to purchase price allocatons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5"/>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288.8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293.8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line="229" w:lineRule="exact"/>
              <w:rPr>
                <w:sz w:val="20"/>
                <w:szCs w:val="20"/>
                <w:color w:val="auto"/>
              </w:rPr>
            </w:pPr>
            <w:r>
              <w:rPr>
                <w:rFonts w:ascii="Calibri" w:cs="Calibri" w:eastAsia="Calibri" w:hAnsi="Calibri"/>
                <w:sz w:val="20"/>
                <w:szCs w:val="20"/>
                <w:color w:val="auto"/>
              </w:rPr>
              <w:t>Divesttures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6"/>
          </w:tcPr>
          <w:p>
            <w:pPr>
              <w:jc w:val="right"/>
              <w:ind w:right="80"/>
              <w:spacing w:after="0" w:line="229" w:lineRule="exact"/>
              <w:rPr>
                <w:sz w:val="20"/>
                <w:szCs w:val="20"/>
                <w:color w:val="auto"/>
              </w:rPr>
            </w:pPr>
            <w:r>
              <w:rPr>
                <w:rFonts w:ascii="Calibri" w:cs="Calibri" w:eastAsia="Calibri" w:hAnsi="Calibri"/>
                <w:sz w:val="20"/>
                <w:szCs w:val="20"/>
                <w:color w:val="auto"/>
              </w:rPr>
              <w:t>(159.7 )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(159.7 )</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Goodwill reclassifed from assets held for sale</w:t>
            </w: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3"/>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8.2</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line="223" w:lineRule="exact"/>
              <w:rPr>
                <w:sz w:val="20"/>
                <w:szCs w:val="20"/>
                <w:color w:val="auto"/>
              </w:rPr>
            </w:pPr>
            <w:r>
              <w:rPr>
                <w:rFonts w:ascii="Calibri" w:cs="Calibri" w:eastAsia="Calibri" w:hAnsi="Calibri"/>
                <w:sz w:val="20"/>
                <w:szCs w:val="20"/>
                <w:color w:val="auto"/>
              </w:rPr>
              <w:t>Balance at September 30, 2022</w:t>
            </w:r>
          </w:p>
        </w:tc>
        <w:tc>
          <w:tcPr>
            <w:tcW w:w="900" w:type="dxa"/>
            <w:vAlign w:val="bottom"/>
          </w:tcPr>
          <w:p>
            <w:pPr>
              <w:jc w:val="right"/>
              <w:ind w:right="701"/>
              <w:spacing w:after="0" w:line="223" w:lineRule="exact"/>
              <w:rPr>
                <w:sz w:val="20"/>
                <w:szCs w:val="20"/>
                <w:color w:val="auto"/>
              </w:rPr>
            </w:pPr>
            <w:r>
              <w:rPr>
                <w:rFonts w:ascii="Calibri" w:cs="Calibri" w:eastAsia="Calibri" w:hAnsi="Calibri"/>
                <w:sz w:val="20"/>
                <w:szCs w:val="20"/>
                <w:color w:val="auto"/>
                <w:w w:val="78"/>
              </w:rPr>
              <w:t>$</w:t>
            </w:r>
          </w:p>
        </w:tc>
        <w:tc>
          <w:tcPr>
            <w:tcW w:w="120" w:type="dxa"/>
            <w:vAlign w:val="bottom"/>
          </w:tcPr>
          <w:p>
            <w:pPr>
              <w:spacing w:after="0"/>
              <w:rPr>
                <w:sz w:val="19"/>
                <w:szCs w:val="19"/>
                <w:color w:val="auto"/>
              </w:rPr>
            </w:pPr>
          </w:p>
        </w:tc>
        <w:tc>
          <w:tcPr>
            <w:tcW w:w="460" w:type="dxa"/>
            <w:vAlign w:val="bottom"/>
            <w:gridSpan w:val="2"/>
          </w:tcPr>
          <w:p>
            <w:pPr>
              <w:jc w:val="right"/>
              <w:spacing w:after="0" w:line="223" w:lineRule="exact"/>
              <w:rPr>
                <w:sz w:val="20"/>
                <w:szCs w:val="20"/>
                <w:color w:val="auto"/>
              </w:rPr>
            </w:pPr>
            <w:r>
              <w:rPr>
                <w:rFonts w:ascii="Calibri" w:cs="Calibri" w:eastAsia="Calibri" w:hAnsi="Calibri"/>
                <w:sz w:val="20"/>
                <w:szCs w:val="20"/>
                <w:color w:val="auto"/>
                <w:w w:val="96"/>
              </w:rPr>
              <w:t>764.4</w:t>
            </w:r>
          </w:p>
        </w:tc>
        <w:tc>
          <w:tcPr>
            <w:tcW w:w="620" w:type="dxa"/>
            <w:vAlign w:val="bottom"/>
            <w:gridSpan w:val="2"/>
          </w:tcPr>
          <w:p>
            <w:pPr>
              <w:jc w:val="center"/>
              <w:spacing w:after="0" w:line="223" w:lineRule="exact"/>
              <w:rPr>
                <w:sz w:val="20"/>
                <w:szCs w:val="20"/>
                <w:color w:val="auto"/>
              </w:rPr>
            </w:pPr>
            <w:r>
              <w:rPr>
                <w:rFonts w:ascii="Calibri" w:cs="Calibri" w:eastAsia="Calibri" w:hAnsi="Calibri"/>
                <w:sz w:val="20"/>
                <w:szCs w:val="20"/>
                <w:color w:val="auto"/>
                <w:w w:val="98"/>
              </w:rPr>
              <w:t>$</w:t>
            </w:r>
          </w:p>
        </w:tc>
        <w:tc>
          <w:tcPr>
            <w:tcW w:w="1140" w:type="dxa"/>
            <w:vAlign w:val="bottom"/>
            <w:gridSpan w:val="5"/>
          </w:tcPr>
          <w:p>
            <w:pPr>
              <w:jc w:val="right"/>
              <w:spacing w:after="0" w:line="223" w:lineRule="exact"/>
              <w:rPr>
                <w:sz w:val="20"/>
                <w:szCs w:val="20"/>
                <w:color w:val="auto"/>
              </w:rPr>
            </w:pPr>
            <w:r>
              <w:rPr>
                <w:rFonts w:ascii="Calibri" w:cs="Calibri" w:eastAsia="Calibri" w:hAnsi="Calibri"/>
                <w:sz w:val="20"/>
                <w:szCs w:val="20"/>
                <w:color w:val="auto"/>
              </w:rPr>
              <w:t>2,876.0</w:t>
            </w:r>
          </w:p>
        </w:tc>
        <w:tc>
          <w:tcPr>
            <w:tcW w:w="140" w:type="dxa"/>
            <w:vAlign w:val="bottom"/>
          </w:tcPr>
          <w:p>
            <w:pPr>
              <w:spacing w:after="0"/>
              <w:rPr>
                <w:sz w:val="19"/>
                <w:szCs w:val="19"/>
                <w:color w:val="auto"/>
              </w:rPr>
            </w:pPr>
          </w:p>
        </w:tc>
        <w:tc>
          <w:tcPr>
            <w:tcW w:w="420" w:type="dxa"/>
            <w:vAlign w:val="bottom"/>
            <w:gridSpan w:val="2"/>
          </w:tcPr>
          <w:p>
            <w:pPr>
              <w:jc w:val="right"/>
              <w:ind w:right="86"/>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3,640.4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Calibri" w:cs="Calibri" w:eastAsia="Calibri" w:hAnsi="Calibri"/>
                <w:sz w:val="20"/>
                <w:szCs w:val="20"/>
                <w:b w:val="1"/>
                <w:bCs w:val="1"/>
                <w:color w:val="auto"/>
              </w:rPr>
              <w:t>5.  Inventories, Net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301"/>
              <w:spacing w:after="0"/>
              <w:rPr>
                <w:sz w:val="20"/>
                <w:szCs w:val="20"/>
                <w:color w:val="auto"/>
              </w:rPr>
            </w:pPr>
            <w:r>
              <w:rPr>
                <w:rFonts w:ascii="Calibri" w:cs="Calibri" w:eastAsia="Calibri" w:hAnsi="Calibri"/>
                <w:sz w:val="20"/>
                <w:szCs w:val="20"/>
                <w:color w:val="auto"/>
              </w:rPr>
              <w:t>September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4"/>
          </w:tcPr>
          <w:p>
            <w:pPr>
              <w:jc w:val="right"/>
              <w:ind w:right="480"/>
              <w:spacing w:after="0"/>
              <w:rPr>
                <w:sz w:val="20"/>
                <w:szCs w:val="20"/>
                <w:color w:val="auto"/>
              </w:rPr>
            </w:pPr>
            <w:r>
              <w:rPr>
                <w:rFonts w:ascii="Calibri" w:cs="Calibri" w:eastAsia="Calibri" w:hAnsi="Calibri"/>
                <w:sz w:val="20"/>
                <w:szCs w:val="20"/>
                <w:color w:val="auto"/>
              </w:rPr>
              <w:t>December 31,</w:t>
            </w:r>
          </w:p>
        </w:tc>
        <w:tc>
          <w:tcPr>
            <w:tcW w:w="0" w:type="dxa"/>
            <w:vAlign w:val="bottom"/>
          </w:tcPr>
          <w:p>
            <w:pPr>
              <w:spacing w:after="0"/>
              <w:rPr>
                <w:sz w:val="1"/>
                <w:szCs w:val="1"/>
                <w:color w:val="auto"/>
              </w:rPr>
            </w:pPr>
          </w:p>
        </w:tc>
      </w:tr>
      <w:tr>
        <w:trPr>
          <w:trHeight w:val="247"/>
        </w:trPr>
        <w:tc>
          <w:tcPr>
            <w:tcW w:w="6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center"/>
              <w:ind w:left="3"/>
              <w:spacing w:after="0" w:line="234" w:lineRule="exact"/>
              <w:rPr>
                <w:sz w:val="20"/>
                <w:szCs w:val="20"/>
                <w:color w:val="auto"/>
              </w:rPr>
            </w:pPr>
            <w:r>
              <w:rPr>
                <w:rFonts w:ascii="Calibri" w:cs="Calibri" w:eastAsia="Calibri" w:hAnsi="Calibri"/>
                <w:sz w:val="20"/>
                <w:szCs w:val="20"/>
                <w:color w:val="auto"/>
                <w:w w:val="98"/>
              </w:rPr>
              <w:t>2022</w:t>
            </w:r>
          </w:p>
        </w:tc>
        <w:tc>
          <w:tcPr>
            <w:tcW w:w="7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43"/>
              <w:spacing w:after="0" w:line="234"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gridSpan w:val="2"/>
          </w:tcPr>
          <w:p>
            <w:pPr>
              <w:jc w:val="right"/>
              <w:ind w:right="3"/>
              <w:spacing w:after="0" w:line="210" w:lineRule="exact"/>
              <w:rPr>
                <w:sz w:val="20"/>
                <w:szCs w:val="20"/>
                <w:color w:val="auto"/>
              </w:rPr>
            </w:pPr>
            <w:r>
              <w:rPr>
                <w:rFonts w:ascii="Calibri" w:cs="Calibri" w:eastAsia="Calibri" w:hAnsi="Calibri"/>
                <w:sz w:val="20"/>
                <w:szCs w:val="20"/>
                <w:i w:val="1"/>
                <w:iCs w:val="1"/>
                <w:color w:val="auto"/>
              </w:rPr>
              <w:t>in</w:t>
            </w:r>
          </w:p>
        </w:tc>
        <w:tc>
          <w:tcPr>
            <w:tcW w:w="720" w:type="dxa"/>
            <w:vAlign w:val="bottom"/>
            <w:gridSpan w:val="5"/>
          </w:tcPr>
          <w:p>
            <w:pPr>
              <w:jc w:val="right"/>
              <w:spacing w:after="0" w:line="229" w:lineRule="exact"/>
              <w:rPr>
                <w:sz w:val="20"/>
                <w:szCs w:val="20"/>
                <w:color w:val="auto"/>
              </w:rPr>
            </w:pPr>
            <w:r>
              <w:rPr>
                <w:rFonts w:ascii="Calibri" w:cs="Calibri" w:eastAsia="Calibri" w:hAnsi="Calibri"/>
                <w:sz w:val="20"/>
                <w:szCs w:val="20"/>
                <w:i w:val="1"/>
                <w:iCs w:val="1"/>
                <w:color w:val="auto"/>
                <w:w w:val="88"/>
              </w:rPr>
              <w:t>Millions)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Finished products</w:t>
            </w:r>
          </w:p>
        </w:tc>
        <w:tc>
          <w:tcPr>
            <w:tcW w:w="102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878.0</w:t>
            </w:r>
          </w:p>
        </w:tc>
        <w:tc>
          <w:tcPr>
            <w:tcW w:w="14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29" w:lineRule="exact"/>
              <w:rPr>
                <w:sz w:val="20"/>
                <w:szCs w:val="20"/>
                <w:color w:val="auto"/>
              </w:rPr>
            </w:pPr>
            <w:r>
              <w:rPr>
                <w:rFonts w:ascii="Calibri" w:cs="Calibri" w:eastAsia="Calibri" w:hAnsi="Calibri"/>
                <w:sz w:val="20"/>
                <w:szCs w:val="20"/>
                <w:color w:val="auto"/>
              </w:rPr>
              <w:t>Products in process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line="229" w:lineRule="exact"/>
              <w:rPr>
                <w:sz w:val="20"/>
                <w:szCs w:val="20"/>
                <w:color w:val="auto"/>
              </w:rPr>
            </w:pPr>
            <w:r>
              <w:rPr>
                <w:rFonts w:ascii="Calibri" w:cs="Calibri" w:eastAsia="Calibri" w:hAnsi="Calibri"/>
                <w:sz w:val="20"/>
                <w:szCs w:val="20"/>
                <w:color w:val="auto"/>
              </w:rPr>
              <w:t>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Raw materials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29" w:lineRule="exact"/>
              <w:rPr>
                <w:sz w:val="20"/>
                <w:szCs w:val="20"/>
                <w:color w:val="auto"/>
              </w:rPr>
            </w:pPr>
            <w:r>
              <w:rPr>
                <w:rFonts w:ascii="Calibri" w:cs="Calibri" w:eastAsia="Calibri" w:hAnsi="Calibri"/>
                <w:sz w:val="20"/>
                <w:szCs w:val="20"/>
                <w:color w:val="auto"/>
              </w:rPr>
              <w:t>Supplies and expendable parts</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145.3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1,109.0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29" w:lineRule="exact"/>
              <w:rPr>
                <w:sz w:val="20"/>
                <w:szCs w:val="20"/>
                <w:color w:val="auto"/>
              </w:rPr>
            </w:pPr>
            <w:r>
              <w:rPr>
                <w:rFonts w:ascii="Calibri" w:cs="Calibri" w:eastAsia="Calibri" w:hAnsi="Calibri"/>
                <w:sz w:val="20"/>
                <w:szCs w:val="20"/>
                <w:color w:val="auto"/>
              </w:rPr>
              <w:t>Less: Allowances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(285.6 )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(214.3 )</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9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78"/>
              </w:rPr>
              <w:t>$</w:t>
            </w: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823.4</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FF0FC"/>
          </w:tcPr>
          <w:p>
            <w:pPr>
              <w:jc w:val="right"/>
              <w:spacing w:after="0" w:line="223" w:lineRule="exact"/>
              <w:rPr>
                <w:sz w:val="20"/>
                <w:szCs w:val="20"/>
                <w:color w:val="auto"/>
              </w:rPr>
            </w:pPr>
            <w:r>
              <w:rPr>
                <w:rFonts w:ascii="Calibri" w:cs="Calibri" w:eastAsia="Calibri" w:hAnsi="Calibri"/>
                <w:sz w:val="20"/>
                <w:szCs w:val="20"/>
                <w:color w:val="auto"/>
                <w:w w:val="98"/>
              </w:rPr>
              <w:t>$</w:t>
            </w: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752.6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703"/>
        </w:trPr>
        <w:tc>
          <w:tcPr>
            <w:tcW w:w="6160" w:type="dxa"/>
            <w:vAlign w:val="bottom"/>
          </w:tcPr>
          <w:p>
            <w:pPr>
              <w:spacing w:after="0"/>
              <w:rPr>
                <w:sz w:val="20"/>
                <w:szCs w:val="20"/>
                <w:color w:val="auto"/>
              </w:rPr>
            </w:pPr>
            <w:r>
              <w:rPr>
                <w:rFonts w:ascii="Calibri" w:cs="Calibri" w:eastAsia="Calibri" w:hAnsi="Calibri"/>
                <w:sz w:val="20"/>
                <w:szCs w:val="20"/>
                <w:b w:val="1"/>
                <w:bCs w:val="1"/>
                <w:color w:val="auto"/>
              </w:rPr>
              <w:t>6.  Long-Term Debt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4"/>
          </w:tcPr>
          <w:p>
            <w:pPr>
              <w:jc w:val="right"/>
              <w:ind w:right="241"/>
              <w:spacing w:after="0"/>
              <w:rPr>
                <w:sz w:val="20"/>
                <w:szCs w:val="20"/>
                <w:color w:val="auto"/>
              </w:rPr>
            </w:pPr>
            <w:r>
              <w:rPr>
                <w:rFonts w:ascii="Calibri" w:cs="Calibri" w:eastAsia="Calibri" w:hAnsi="Calibri"/>
                <w:sz w:val="19"/>
                <w:szCs w:val="19"/>
                <w:color w:val="auto"/>
                <w:w w:val="96"/>
              </w:rPr>
              <w:t>September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right"/>
              <w:ind w:right="460"/>
              <w:spacing w:after="0"/>
              <w:rPr>
                <w:sz w:val="20"/>
                <w:szCs w:val="20"/>
                <w:color w:val="auto"/>
              </w:rPr>
            </w:pPr>
            <w:r>
              <w:rPr>
                <w:rFonts w:ascii="Calibri" w:cs="Calibri" w:eastAsia="Calibri" w:hAnsi="Calibri"/>
                <w:sz w:val="19"/>
                <w:szCs w:val="19"/>
                <w:color w:val="auto"/>
              </w:rPr>
              <w:t>December 31,</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483"/>
              <w:spacing w:after="0" w:line="230" w:lineRule="exact"/>
              <w:rPr>
                <w:sz w:val="20"/>
                <w:szCs w:val="20"/>
                <w:color w:val="auto"/>
              </w:rPr>
            </w:pPr>
            <w:r>
              <w:rPr>
                <w:rFonts w:ascii="Calibri" w:cs="Calibri" w:eastAsia="Calibri" w:hAnsi="Calibri"/>
                <w:sz w:val="19"/>
                <w:szCs w:val="19"/>
                <w:color w:val="auto"/>
              </w:rPr>
              <w:t>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603"/>
              <w:spacing w:after="0" w:line="230" w:lineRule="exact"/>
              <w:rPr>
                <w:sz w:val="20"/>
                <w:szCs w:val="20"/>
                <w:color w:val="auto"/>
              </w:rPr>
            </w:pPr>
            <w:r>
              <w:rPr>
                <w:rFonts w:ascii="Calibri" w:cs="Calibri" w:eastAsia="Calibri" w:hAnsi="Calibri"/>
                <w:sz w:val="19"/>
                <w:szCs w:val="19"/>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240" w:type="dxa"/>
            <w:vAlign w:val="bottom"/>
            <w:gridSpan w:val="2"/>
            <w:vMerge w:val="restart"/>
          </w:tcPr>
          <w:p>
            <w:pPr>
              <w:ind w:left="20"/>
              <w:spacing w:after="0"/>
              <w:rPr>
                <w:sz w:val="20"/>
                <w:szCs w:val="20"/>
                <w:color w:val="auto"/>
              </w:rPr>
            </w:pPr>
            <w:r>
              <w:rPr>
                <w:rFonts w:ascii="Calibri" w:cs="Calibri" w:eastAsia="Calibri" w:hAnsi="Calibri"/>
                <w:sz w:val="19"/>
                <w:szCs w:val="19"/>
                <w:i w:val="1"/>
                <w:iCs w:val="1"/>
                <w:color w:val="auto"/>
              </w:rPr>
              <w:t>in</w:t>
            </w:r>
          </w:p>
        </w:tc>
        <w:tc>
          <w:tcPr>
            <w:tcW w:w="620" w:type="dxa"/>
            <w:vAlign w:val="bottom"/>
            <w:tcBorders>
              <w:bottom w:val="single" w:sz="8" w:color="auto"/>
            </w:tcBorders>
            <w:gridSpan w:val="4"/>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6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1" w:lineRule="exact"/>
              <w:rPr>
                <w:sz w:val="20"/>
                <w:szCs w:val="20"/>
                <w:color w:val="auto"/>
              </w:rPr>
            </w:pPr>
            <w:r>
              <w:rPr>
                <w:rFonts w:ascii="Calibri" w:cs="Calibri" w:eastAsia="Calibri" w:hAnsi="Calibri"/>
                <w:sz w:val="19"/>
                <w:szCs w:val="19"/>
                <w:i w:val="1"/>
                <w:iCs w:val="1"/>
                <w:color w:val="auto"/>
              </w:rPr>
              <w:t>(Dollars</w:t>
            </w:r>
          </w:p>
        </w:tc>
        <w:tc>
          <w:tcPr>
            <w:tcW w:w="240" w:type="dxa"/>
            <w:vAlign w:val="bottom"/>
            <w:gridSpan w:val="2"/>
            <w:vMerge w:val="continue"/>
          </w:tcPr>
          <w:p>
            <w:pPr>
              <w:spacing w:after="0"/>
              <w:rPr>
                <w:sz w:val="19"/>
                <w:szCs w:val="19"/>
                <w:color w:val="auto"/>
              </w:rPr>
            </w:pPr>
          </w:p>
        </w:tc>
        <w:tc>
          <w:tcPr>
            <w:tcW w:w="620" w:type="dxa"/>
            <w:vAlign w:val="bottom"/>
            <w:gridSpan w:val="4"/>
          </w:tcPr>
          <w:p>
            <w:pPr>
              <w:jc w:val="right"/>
              <w:spacing w:after="0" w:line="221" w:lineRule="exact"/>
              <w:rPr>
                <w:sz w:val="20"/>
                <w:szCs w:val="20"/>
                <w:color w:val="auto"/>
              </w:rPr>
            </w:pPr>
            <w:r>
              <w:rPr>
                <w:rFonts w:ascii="Calibri" w:cs="Calibri" w:eastAsia="Calibri" w:hAnsi="Calibri"/>
                <w:sz w:val="19"/>
                <w:szCs w:val="19"/>
                <w:i w:val="1"/>
                <w:iCs w:val="1"/>
                <w:color w:val="auto"/>
                <w:w w:val="90"/>
              </w:rPr>
              <w:t>Millions)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60" w:type="dxa"/>
            <w:vAlign w:val="bottom"/>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0.650% Senior Notes, due 2023 (discharged)</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42"/>
              <w:spacing w:after="0" w:line="228" w:lineRule="exact"/>
              <w:rPr>
                <w:sz w:val="20"/>
                <w:szCs w:val="20"/>
                <w:color w:val="auto"/>
              </w:rPr>
            </w:pPr>
            <w:r>
              <w:rPr>
                <w:rFonts w:ascii="Calibri" w:cs="Calibri" w:eastAsia="Calibri" w:hAnsi="Calibri"/>
                <w:sz w:val="19"/>
                <w:szCs w:val="19"/>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698.7</w:t>
            </w:r>
          </w:p>
        </w:tc>
        <w:tc>
          <w:tcPr>
            <w:tcW w:w="440" w:type="dxa"/>
            <w:vAlign w:val="bottom"/>
            <w:gridSpan w:val="4"/>
            <w:shd w:val="clear" w:color="auto" w:fill="CFF0FC"/>
          </w:tcPr>
          <w:p>
            <w:pPr>
              <w:jc w:val="right"/>
              <w:ind w:right="80"/>
              <w:spacing w:after="0" w:line="228" w:lineRule="exact"/>
              <w:rPr>
                <w:sz w:val="20"/>
                <w:szCs w:val="20"/>
                <w:color w:val="auto"/>
              </w:rPr>
            </w:pPr>
            <w:r>
              <w:rPr>
                <w:rFonts w:ascii="Calibri" w:cs="Calibri" w:eastAsia="Calibri" w:hAnsi="Calibri"/>
                <w:sz w:val="19"/>
                <w:szCs w:val="19"/>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697.4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20"/>
              <w:spacing w:after="0" w:line="226" w:lineRule="exact"/>
              <w:rPr>
                <w:sz w:val="20"/>
                <w:szCs w:val="20"/>
                <w:color w:val="auto"/>
              </w:rPr>
            </w:pPr>
            <w:r>
              <w:rPr>
                <w:rFonts w:ascii="Calibri" w:cs="Calibri" w:eastAsia="Calibri" w:hAnsi="Calibri"/>
                <w:sz w:val="19"/>
                <w:szCs w:val="19"/>
                <w:color w:val="auto"/>
              </w:rPr>
              <w:t>4.250% Senior Notes, due 2024</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398.8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Calibri" w:cs="Calibri" w:eastAsia="Calibri" w:hAnsi="Calibri"/>
                <w:sz w:val="19"/>
                <w:szCs w:val="19"/>
                <w:color w:val="auto"/>
              </w:rPr>
              <w:t>398.3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60" w:type="dxa"/>
            <w:vAlign w:val="bottom"/>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7% Debentures, due 2025</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124.6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124.6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20"/>
              <w:spacing w:after="0" w:line="226" w:lineRule="exact"/>
              <w:rPr>
                <w:sz w:val="20"/>
                <w:szCs w:val="20"/>
                <w:color w:val="auto"/>
              </w:rPr>
            </w:pPr>
            <w:r>
              <w:rPr>
                <w:rFonts w:ascii="Calibri" w:cs="Calibri" w:eastAsia="Calibri" w:hAnsi="Calibri"/>
                <w:sz w:val="19"/>
                <w:szCs w:val="19"/>
                <w:color w:val="auto"/>
              </w:rPr>
              <w:t>3.450% Senior Notes, due 2027</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298.2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Calibri" w:cs="Calibri" w:eastAsia="Calibri" w:hAnsi="Calibri"/>
                <w:sz w:val="19"/>
                <w:szCs w:val="19"/>
                <w:color w:val="auto"/>
              </w:rPr>
              <w:t>297.9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60" w:type="dxa"/>
            <w:vAlign w:val="bottom"/>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3.500% Senior Notes, due 2027</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491.4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496.4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20"/>
              <w:spacing w:after="0" w:line="226" w:lineRule="exact"/>
              <w:rPr>
                <w:sz w:val="20"/>
                <w:szCs w:val="20"/>
                <w:color w:val="auto"/>
              </w:rPr>
            </w:pPr>
            <w:r>
              <w:rPr>
                <w:rFonts w:ascii="Calibri" w:cs="Calibri" w:eastAsia="Calibri" w:hAnsi="Calibri"/>
                <w:sz w:val="19"/>
                <w:szCs w:val="19"/>
                <w:color w:val="auto"/>
              </w:rPr>
              <w:t>2.500% Senior Notes, due 2030</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470.3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Calibri" w:cs="Calibri" w:eastAsia="Calibri" w:hAnsi="Calibri"/>
                <w:sz w:val="19"/>
                <w:szCs w:val="19"/>
                <w:color w:val="auto"/>
              </w:rPr>
              <w:t>491.1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60" w:type="dxa"/>
            <w:vAlign w:val="bottom"/>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2.400% Senior Notes, due 2031</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888.4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891.8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20"/>
              <w:spacing w:after="0" w:line="226" w:lineRule="exact"/>
              <w:rPr>
                <w:sz w:val="20"/>
                <w:szCs w:val="20"/>
                <w:color w:val="auto"/>
              </w:rPr>
            </w:pPr>
            <w:r>
              <w:rPr>
                <w:rFonts w:ascii="Calibri" w:cs="Calibri" w:eastAsia="Calibri" w:hAnsi="Calibri"/>
                <w:sz w:val="19"/>
                <w:szCs w:val="19"/>
                <w:color w:val="auto"/>
              </w:rPr>
              <w:t>6.25% Senior Notes, due 2037</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228.4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Calibri" w:cs="Calibri" w:eastAsia="Calibri" w:hAnsi="Calibri"/>
                <w:sz w:val="19"/>
                <w:szCs w:val="19"/>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60" w:type="dxa"/>
            <w:vAlign w:val="bottom"/>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4.250% Senior Notes, due 2047</w:t>
            </w: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590.1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592.1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60" w:type="dxa"/>
            <w:vAlign w:val="bottom"/>
          </w:tcPr>
          <w:p>
            <w:pPr>
              <w:ind w:left="20"/>
              <w:spacing w:after="0" w:line="226" w:lineRule="exact"/>
              <w:rPr>
                <w:sz w:val="20"/>
                <w:szCs w:val="20"/>
                <w:color w:val="auto"/>
              </w:rPr>
            </w:pPr>
            <w:r>
              <w:rPr>
                <w:rFonts w:ascii="Calibri" w:cs="Calibri" w:eastAsia="Calibri" w:hAnsi="Calibri"/>
                <w:sz w:val="19"/>
                <w:szCs w:val="19"/>
                <w:color w:val="auto"/>
              </w:rPr>
              <w:t>3.200% Senior Notes, due 2051</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6" w:lineRule="exact"/>
              <w:rPr>
                <w:sz w:val="20"/>
                <w:szCs w:val="20"/>
                <w:color w:val="auto"/>
              </w:rPr>
            </w:pPr>
            <w:r>
              <w:rPr>
                <w:rFonts w:ascii="Calibri" w:cs="Calibri" w:eastAsia="Calibri" w:hAnsi="Calibri"/>
                <w:sz w:val="19"/>
                <w:szCs w:val="19"/>
                <w:color w:val="auto"/>
              </w:rPr>
              <w:t>849.7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Calibri" w:cs="Calibri" w:eastAsia="Calibri" w:hAnsi="Calibri"/>
                <w:sz w:val="19"/>
                <w:szCs w:val="19"/>
                <w:color w:val="auto"/>
              </w:rPr>
              <w:t>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Borders>
              <w:bottom w:val="single" w:sz="8" w:color="CFF0FC"/>
            </w:tcBorders>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Other notes</w:t>
            </w:r>
          </w:p>
        </w:tc>
        <w:tc>
          <w:tcPr>
            <w:tcW w:w="9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line="223" w:lineRule="exact"/>
              <w:rPr>
                <w:sz w:val="20"/>
                <w:szCs w:val="20"/>
                <w:color w:val="auto"/>
              </w:rPr>
            </w:pPr>
            <w:r>
              <w:rPr>
                <w:rFonts w:ascii="Calibri" w:cs="Calibri" w:eastAsia="Calibri" w:hAnsi="Calibri"/>
                <w:sz w:val="19"/>
                <w:szCs w:val="19"/>
                <w:color w:val="auto"/>
              </w:rPr>
              <w:t>Total debt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line="223" w:lineRule="exact"/>
              <w:rPr>
                <w:sz w:val="20"/>
                <w:szCs w:val="20"/>
                <w:color w:val="auto"/>
              </w:rPr>
            </w:pPr>
            <w:r>
              <w:rPr>
                <w:rFonts w:ascii="Calibri" w:cs="Calibri" w:eastAsia="Calibri" w:hAnsi="Calibri"/>
                <w:sz w:val="19"/>
                <w:szCs w:val="19"/>
                <w:color w:val="auto"/>
              </w:rPr>
              <w:t>5,038.6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19"/>
                <w:szCs w:val="19"/>
                <w:color w:val="auto"/>
              </w:rPr>
              <w:t>5,100.9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0"/>
              <w:spacing w:after="0" w:line="228" w:lineRule="exact"/>
              <w:rPr>
                <w:sz w:val="20"/>
                <w:szCs w:val="20"/>
                <w:color w:val="auto"/>
              </w:rPr>
            </w:pPr>
            <w:r>
              <w:rPr>
                <w:rFonts w:ascii="Calibri" w:cs="Calibri" w:eastAsia="Calibri" w:hAnsi="Calibri"/>
                <w:sz w:val="19"/>
                <w:szCs w:val="19"/>
                <w:color w:val="auto"/>
              </w:rPr>
              <w:t>Less: Current maturites</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line="228" w:lineRule="exact"/>
              <w:rPr>
                <w:sz w:val="20"/>
                <w:szCs w:val="20"/>
                <w:color w:val="auto"/>
              </w:rPr>
            </w:pPr>
            <w:r>
              <w:rPr>
                <w:rFonts w:ascii="Calibri" w:cs="Calibri" w:eastAsia="Calibri" w:hAnsi="Calibri"/>
                <w:sz w:val="19"/>
                <w:szCs w:val="19"/>
                <w:color w:val="auto"/>
              </w:rPr>
              <w:t>(698.7 )</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line="228" w:lineRule="exact"/>
              <w:rPr>
                <w:sz w:val="20"/>
                <w:szCs w:val="20"/>
                <w:color w:val="auto"/>
              </w:rPr>
            </w:pPr>
            <w:r>
              <w:rPr>
                <w:rFonts w:ascii="Calibri" w:cs="Calibri" w:eastAsia="Calibri" w:hAnsi="Calibri"/>
                <w:sz w:val="19"/>
                <w:szCs w:val="19"/>
                <w:color w:val="auto"/>
              </w:rPr>
              <w:t>(0.1 )</w:t>
            </w:r>
          </w:p>
        </w:tc>
        <w:tc>
          <w:tcPr>
            <w:tcW w:w="0" w:type="dxa"/>
            <w:vAlign w:val="bottom"/>
          </w:tcPr>
          <w:p>
            <w:pPr>
              <w:spacing w:after="0"/>
              <w:rPr>
                <w:sz w:val="1"/>
                <w:szCs w:val="1"/>
                <w:color w:val="auto"/>
              </w:rPr>
            </w:pPr>
          </w:p>
        </w:tc>
      </w:tr>
      <w:tr>
        <w:trPr>
          <w:trHeight w:val="225"/>
        </w:trPr>
        <w:tc>
          <w:tcPr>
            <w:tcW w:w="6160" w:type="dxa"/>
            <w:vAlign w:val="bottom"/>
            <w:tcBorders>
              <w:top w:val="single" w:sz="8" w:color="CFF0FC"/>
            </w:tcBorders>
          </w:tcPr>
          <w:p>
            <w:pPr>
              <w:ind w:left="20"/>
              <w:spacing w:after="0" w:line="225" w:lineRule="exact"/>
              <w:rPr>
                <w:sz w:val="20"/>
                <w:szCs w:val="20"/>
                <w:color w:val="auto"/>
              </w:rPr>
            </w:pPr>
            <w:r>
              <w:rPr>
                <w:rFonts w:ascii="Calibri" w:cs="Calibri" w:eastAsia="Calibri" w:hAnsi="Calibri"/>
                <w:sz w:val="19"/>
                <w:szCs w:val="19"/>
                <w:color w:val="auto"/>
              </w:rPr>
              <w:t>Long-term debt</w:t>
            </w:r>
          </w:p>
        </w:tc>
        <w:tc>
          <w:tcPr>
            <w:tcW w:w="9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42"/>
              <w:spacing w:after="0" w:line="225" w:lineRule="exact"/>
              <w:rPr>
                <w:sz w:val="20"/>
                <w:szCs w:val="20"/>
                <w:color w:val="auto"/>
              </w:rPr>
            </w:pPr>
            <w:r>
              <w:rPr>
                <w:rFonts w:ascii="Calibri" w:cs="Calibri" w:eastAsia="Calibri" w:hAnsi="Calibri"/>
                <w:sz w:val="19"/>
                <w:szCs w:val="19"/>
                <w:color w:val="auto"/>
                <w:w w:val="82"/>
              </w:rPr>
              <w:t>$</w:t>
            </w:r>
          </w:p>
        </w:tc>
        <w:tc>
          <w:tcPr>
            <w:tcW w:w="2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line="225" w:lineRule="exact"/>
              <w:rPr>
                <w:sz w:val="20"/>
                <w:szCs w:val="20"/>
                <w:color w:val="auto"/>
              </w:rPr>
            </w:pPr>
            <w:r>
              <w:rPr>
                <w:rFonts w:ascii="Calibri" w:cs="Calibri" w:eastAsia="Calibri" w:hAnsi="Calibri"/>
                <w:sz w:val="19"/>
                <w:szCs w:val="19"/>
                <w:color w:val="auto"/>
              </w:rPr>
              <w:t>4,339.9</w:t>
            </w:r>
          </w:p>
        </w:tc>
        <w:tc>
          <w:tcPr>
            <w:tcW w:w="240" w:type="dxa"/>
            <w:vAlign w:val="bottom"/>
            <w:tcBorders>
              <w:top w:val="single" w:sz="8" w:color="CFF0FC"/>
            </w:tcBorders>
            <w:gridSpan w:val="2"/>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line="225" w:lineRule="exact"/>
              <w:rPr>
                <w:sz w:val="20"/>
                <w:szCs w:val="20"/>
                <w:color w:val="auto"/>
              </w:rPr>
            </w:pPr>
            <w:r>
              <w:rPr>
                <w:rFonts w:ascii="Calibri" w:cs="Calibri" w:eastAsia="Calibri" w:hAnsi="Calibri"/>
                <w:sz w:val="19"/>
                <w:szCs w:val="19"/>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5,100.8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-5348605</wp:posOffset>
            </wp:positionV>
            <wp:extent cx="6858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-5348605</wp:posOffset>
            </wp:positionV>
            <wp:extent cx="68580"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-5348605</wp:posOffset>
            </wp:positionV>
            <wp:extent cx="6858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-3162300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-3145155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-479425</wp:posOffset>
            </wp:positionV>
            <wp:extent cx="6858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-179705</wp:posOffset>
            </wp:positionV>
            <wp:extent cx="68580"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18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type w:val="continuous"/>
        </w:sectPr>
      </w:pPr>
    </w:p>
    <w:bookmarkStart w:id="18" w:name="page19"/>
    <w:bookmarkEnd w:id="18"/>
    <w:p>
      <w:pPr>
        <w:jc w:val="center"/>
        <w:ind w:right="42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20"/>
        <w:spacing w:after="0" w:line="225" w:lineRule="auto"/>
        <w:rPr>
          <w:sz w:val="20"/>
          <w:szCs w:val="20"/>
          <w:color w:val="auto"/>
        </w:rPr>
      </w:pPr>
      <w:r>
        <w:rPr>
          <w:rFonts w:ascii="Calibri" w:cs="Calibri" w:eastAsia="Calibri" w:hAnsi="Calibri"/>
          <w:sz w:val="20"/>
          <w:szCs w:val="20"/>
          <w:color w:val="auto"/>
        </w:rPr>
        <w:t>FORM 10-Q</w:t>
      </w:r>
    </w:p>
    <w:p>
      <w:pPr>
        <w:jc w:val="center"/>
        <w:ind w:right="380"/>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380"/>
        <w:spacing w:after="0"/>
        <w:rPr>
          <w:sz w:val="20"/>
          <w:szCs w:val="20"/>
          <w:color w:val="auto"/>
        </w:rPr>
      </w:pPr>
      <w:r>
        <w:rPr>
          <w:rFonts w:ascii="Calibri" w:cs="Calibri" w:eastAsia="Calibri" w:hAnsi="Calibri"/>
          <w:sz w:val="20"/>
          <w:szCs w:val="20"/>
          <w:color w:val="auto"/>
        </w:rPr>
        <w:t>(UNAUDITED) NOTES TO CONSOLIDATED FINANCIAL STATEMENTS</w:t>
      </w:r>
    </w:p>
    <w:p>
      <w:pPr>
        <w:jc w:val="center"/>
        <w:ind w:right="380"/>
        <w:spacing w:after="0" w:line="225"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 xml:space="preserve">On September 29, 2022, the Company satsfed and discharged the 2023 Notes. In connecton with the satsfacton and discharge, the Company irrevocably deposited with Regions Bank (the Trustee) funds in an amount sufcient to satsfy all remaining principal and interest payments on the 2023 Notes. Holders of the 2023 Notes will receive payment of principal on the scheduled maturity date of the 2023 Notes and payment of interest at the per annum rate (and on the dates) set forth in the 2023 Notes indenture. The Company utlized existng cash resources to fund the satsfacton and discharge. As a result of the satsfacton and discharge of the 2023 Notes, the obligatons of the Company under the indenture in respect of the 2023 Notes have been terminated, except those provisions of the indenture that, by their terms, survive the satsfacton and discharge. Because the discharge did not represent a legal defeasance, the 2023 Notes remain on the Company’s consolidated balance sheet at September 30, 2022 and will contnue to accrete to their par value over the period untl maturity in July 2023. Additonally, the related trust assets are included in </w:t>
      </w:r>
      <w:r>
        <w:rPr>
          <w:rFonts w:ascii="Calibri" w:cs="Calibri" w:eastAsia="Calibri" w:hAnsi="Calibri"/>
          <w:sz w:val="20"/>
          <w:szCs w:val="20"/>
          <w:i w:val="1"/>
          <w:iCs w:val="1"/>
          <w:color w:val="auto"/>
        </w:rPr>
        <w:t>Restricted</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 xml:space="preserve">investments (to satsfy discharged debt and related interest) </w:t>
      </w:r>
      <w:r>
        <w:rPr>
          <w:rFonts w:ascii="Calibri" w:cs="Calibri" w:eastAsia="Calibri" w:hAnsi="Calibri"/>
          <w:sz w:val="20"/>
          <w:szCs w:val="20"/>
          <w:color w:val="auto"/>
        </w:rPr>
        <w:t>on the Company’s consolidated balance sheet at September 30, 2022.</w:t>
      </w:r>
    </w:p>
    <w:p>
      <w:pPr>
        <w:spacing w:after="0" w:line="98" w:lineRule="exact"/>
        <w:rPr>
          <w:sz w:val="20"/>
          <w:szCs w:val="20"/>
          <w:color w:val="auto"/>
        </w:rPr>
      </w:pPr>
    </w:p>
    <w:p>
      <w:pPr>
        <w:spacing w:after="0"/>
        <w:rPr>
          <w:sz w:val="20"/>
          <w:szCs w:val="20"/>
          <w:color w:val="auto"/>
        </w:rPr>
      </w:pPr>
      <w:r>
        <w:rPr>
          <w:rFonts w:ascii="Calibri" w:cs="Calibri" w:eastAsia="Calibri" w:hAnsi="Calibri"/>
          <w:sz w:val="20"/>
          <w:szCs w:val="20"/>
          <w:color w:val="auto"/>
        </w:rPr>
        <w:t>During the nine months ended September 30, 2022, the Company repurchased $67.7 million (par value) of its Senior Notes.</w:t>
      </w:r>
    </w:p>
    <w:p>
      <w:pPr>
        <w:spacing w:after="0" w:line="103"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On September 21, 2022, the Company extended the maturity to September 20, 2023. The Trade Receivable Facility, with Truist Bank, Regions Bank, PNC Bank, N.A., MUFG Bank, Ltd., New York Branch, and certain other lenders that may become a party to the facility from tme to tme, is backed by eligible trade receivables, as defned, and is limited to the lesser of the facility limit or the borrowing base, as defned. These receivables are originated by the Company and then sold by the Company to the wholly-owned special-purpose subsidiary. The Company contnues to be responsible for the servicing and administraton of the receivables purchased by the wholly-owned special-purpose subsidiary. Borrowings under the Trade Receivable Facility bear interest at a rate equal to asset-backed commercial paper costs of conduit lenders plus 0.65% for borrowings funded by conduit lenders and Adjusted Term Secured Overnight Financing Rate (Adjusted Term SOFR), as defned, plus 0.7%, subject to change in the event that this rate no longer refects the lender’s cost of lending, for borrowings funded by all other lenders. The Trade Receivable Facility contains a cross-default provision to the Company’s other debt agreements. Subject to certain conditons, including lenders providing the requisite commitments, the Trade Receivable Facility may be increased to a borrowing base not to exceed $500 million. There were no borrowings outstanding under the Trade Receivable Facility at September 30, 2022</w:t>
      </w:r>
    </w:p>
    <w:p>
      <w:pPr>
        <w:spacing w:after="0" w:line="38" w:lineRule="exact"/>
        <w:rPr>
          <w:sz w:val="20"/>
          <w:szCs w:val="20"/>
          <w:color w:val="auto"/>
        </w:rPr>
      </w:pPr>
    </w:p>
    <w:p>
      <w:pPr>
        <w:spacing w:after="0"/>
        <w:rPr>
          <w:sz w:val="20"/>
          <w:szCs w:val="20"/>
          <w:color w:val="auto"/>
        </w:rPr>
      </w:pPr>
      <w:r>
        <w:rPr>
          <w:rFonts w:ascii="Calibri" w:cs="Calibri" w:eastAsia="Calibri" w:hAnsi="Calibri"/>
          <w:sz w:val="20"/>
          <w:szCs w:val="20"/>
          <w:color w:val="auto"/>
        </w:rPr>
        <w:t>and December 31, 2021.</w:t>
      </w:r>
    </w:p>
    <w:p>
      <w:pPr>
        <w:spacing w:after="0" w:line="103"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The Company has a $800 million fve-year senior unsecured revolving facility (the Revolving Facility) with JPMorgan Chase Bank, N.A., as Administratve Agent, Deutsche Bank Securites, Inc., PNC Bank, Truist Bank and Wells Fargo Bank, N.A., as Syndicaton Agents, and the lenders party thereto (the Credit Agreement). Borrowings under the Revolving Facility bear interest, at the Company’s opton, at rates based upon LIBOR or a base rate, plus, for each rate, a margin determined in accordance with a ratngs-based pricing grid. There were no borrowings outstanding under the Credit Agreement at September 30, 2022 or December 31, 2021. The Credit Agreement requires the Company’s rato of consolidated net debt-to-consolidated earnings before interest, taxes, depreciaton, depleton and amortzaton (EBITDA), as defned by the Revolving Facility, for the trailing-twelve months (the Rato) to not exceed 3.50 tmes as of the end of any fscal quarter, provided that the Company may exclude from the Rato debt incurred in connecton with certain acquisitons during such quarter or the three preceding quarters so long as the Rato calculated without such exclusion does not exceed 4.00 tmes. Additonally, if there are no amounts outstanding under both the Revolving Facility and the Trade Receivable Facility, consolidated debt, including debt for which the Company is a guarantor (see Note 10), may be reduced in an amount equal to the lesser of $500 million or the sum of the Company’s unrestricted cash and temporary investments, for purposes of the covenant calculaton. The Company was in compliance with this covenant at September 30, 2022.</w:t>
      </w:r>
    </w:p>
    <w:p>
      <w:pPr>
        <w:jc w:val="center"/>
        <w:ind w:right="380"/>
        <w:spacing w:after="0" w:line="237" w:lineRule="auto"/>
        <w:rPr>
          <w:sz w:val="20"/>
          <w:szCs w:val="20"/>
          <w:color w:val="auto"/>
        </w:rPr>
      </w:pPr>
      <w:r>
        <w:rPr>
          <w:rFonts w:ascii="Calibri" w:cs="Calibri" w:eastAsia="Calibri" w:hAnsi="Calibri"/>
          <w:sz w:val="20"/>
          <w:szCs w:val="20"/>
          <w:color w:val="auto"/>
        </w:rPr>
        <w:t>Page 19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77470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2" w:right="339" w:bottom="1440" w:gutter="0" w:footer="0" w:header="0"/>
        </w:sectPr>
      </w:pPr>
    </w:p>
    <w:bookmarkStart w:id="19" w:name="page20"/>
    <w:bookmarkEnd w:id="1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ind w:left="380"/>
        <w:spacing w:after="0" w:line="223" w:lineRule="auto"/>
        <w:rPr>
          <w:sz w:val="20"/>
          <w:szCs w:val="20"/>
          <w:color w:val="auto"/>
        </w:rPr>
      </w:pPr>
      <w:r>
        <w:rPr>
          <w:rFonts w:ascii="Calibri" w:cs="Calibri" w:eastAsia="Calibri" w:hAnsi="Calibri"/>
          <w:sz w:val="20"/>
          <w:szCs w:val="20"/>
          <w:color w:val="auto"/>
        </w:rPr>
        <w:t>The Revolving Facility expires on December 21, 2026, with any outstanding principal amounts, together with interest accrued thereon, due in full on that date. Available borrowings under the Revolving Facility are reduced by any outstanding leters of credit issued by the Company under the Revolving Facility. The Company had $2.6 million of outstanding leters of credit issued under the Revolving Facility at September 30, 2022 and December 31, 2021.</w:t>
      </w:r>
    </w:p>
    <w:p>
      <w:pPr>
        <w:spacing w:after="0" w:line="311" w:lineRule="exact"/>
        <w:rPr>
          <w:sz w:val="20"/>
          <w:szCs w:val="20"/>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Instruments</w:t>
      </w:r>
    </w:p>
    <w:p>
      <w:pPr>
        <w:spacing w:after="0" w:line="103" w:lineRule="exact"/>
        <w:rPr>
          <w:rFonts w:ascii="Calibri" w:cs="Calibri" w:eastAsia="Calibri" w:hAnsi="Calibri"/>
          <w:sz w:val="20"/>
          <w:szCs w:val="20"/>
          <w:b w:val="1"/>
          <w:bCs w:val="1"/>
          <w:color w:val="auto"/>
        </w:rPr>
      </w:pPr>
    </w:p>
    <w:p>
      <w:pPr>
        <w:ind w:left="380" w:right="20"/>
        <w:spacing w:after="0" w:line="228"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Company’s fnancial instruments include temporary cash investments, restricted cash, restricted investments, accounts receivable, notes receivable, accounts payable, publicly-registered long-term notes, debentures and other long-term debt.</w:t>
      </w:r>
    </w:p>
    <w:p>
      <w:pPr>
        <w:spacing w:after="0" w:line="103" w:lineRule="exact"/>
        <w:rPr>
          <w:rFonts w:ascii="Calibri" w:cs="Calibri" w:eastAsia="Calibri" w:hAnsi="Calibri"/>
          <w:sz w:val="20"/>
          <w:szCs w:val="20"/>
          <w:b w:val="1"/>
          <w:bCs w:val="1"/>
          <w:color w:val="auto"/>
        </w:rPr>
      </w:pPr>
    </w:p>
    <w:p>
      <w:pPr>
        <w:jc w:val="both"/>
        <w:ind w:left="380"/>
        <w:spacing w:after="0" w:line="222" w:lineRule="auto"/>
        <w:rPr>
          <w:rFonts w:ascii="Calibri" w:cs="Calibri" w:eastAsia="Calibri" w:hAnsi="Calibri"/>
          <w:sz w:val="20"/>
          <w:szCs w:val="20"/>
          <w:b w:val="1"/>
          <w:bCs w:val="1"/>
          <w:color w:val="auto"/>
        </w:rPr>
      </w:pPr>
      <w:r>
        <w:rPr>
          <w:rFonts w:ascii="Calibri" w:cs="Calibri" w:eastAsia="Calibri" w:hAnsi="Calibri"/>
          <w:sz w:val="20"/>
          <w:szCs w:val="20"/>
          <w:color w:val="auto"/>
        </w:rPr>
        <w:t>Temporary cash investments are placed primarily in money market funds, money market demand deposit accounts and Eurodollar tme deposits. The Company’s cash equivalents have original maturites of less than three months. Due to the short maturity of these investments, they are carried on the consolidated balance sheets at cost, which approximates fair value.</w:t>
      </w:r>
    </w:p>
    <w:p>
      <w:pPr>
        <w:spacing w:after="0" w:line="105" w:lineRule="exact"/>
        <w:rPr>
          <w:rFonts w:ascii="Calibri" w:cs="Calibri" w:eastAsia="Calibri" w:hAnsi="Calibri"/>
          <w:sz w:val="20"/>
          <w:szCs w:val="20"/>
          <w:b w:val="1"/>
          <w:bCs w:val="1"/>
          <w:color w:val="auto"/>
        </w:rPr>
      </w:pPr>
    </w:p>
    <w:p>
      <w:pPr>
        <w:ind w:left="380"/>
        <w:spacing w:after="0" w:line="228" w:lineRule="auto"/>
        <w:rPr>
          <w:rFonts w:ascii="Calibri" w:cs="Calibri" w:eastAsia="Calibri" w:hAnsi="Calibri"/>
          <w:sz w:val="20"/>
          <w:szCs w:val="20"/>
          <w:b w:val="1"/>
          <w:bCs w:val="1"/>
          <w:color w:val="auto"/>
        </w:rPr>
      </w:pPr>
      <w:r>
        <w:rPr>
          <w:rFonts w:ascii="Calibri" w:cs="Calibri" w:eastAsia="Calibri" w:hAnsi="Calibri"/>
          <w:sz w:val="20"/>
          <w:szCs w:val="20"/>
          <w:color w:val="auto"/>
        </w:rPr>
        <w:t>Restricted cash is held in a trust account with a third-party intermediary. Due to the short-term nature of this account, the fair value of restricted cash approximates its carrying value.</w:t>
      </w:r>
    </w:p>
    <w:p>
      <w:pPr>
        <w:spacing w:after="0" w:line="103" w:lineRule="exact"/>
        <w:rPr>
          <w:rFonts w:ascii="Calibri" w:cs="Calibri" w:eastAsia="Calibri" w:hAnsi="Calibri"/>
          <w:sz w:val="20"/>
          <w:szCs w:val="20"/>
          <w:b w:val="1"/>
          <w:bCs w:val="1"/>
          <w:color w:val="auto"/>
        </w:rPr>
      </w:pPr>
    </w:p>
    <w:p>
      <w:pPr>
        <w:jc w:val="both"/>
        <w:ind w:left="380"/>
        <w:spacing w:after="0" w:line="226" w:lineRule="auto"/>
        <w:rPr>
          <w:rFonts w:ascii="Calibri" w:cs="Calibri" w:eastAsia="Calibri" w:hAnsi="Calibri"/>
          <w:sz w:val="20"/>
          <w:szCs w:val="20"/>
          <w:b w:val="1"/>
          <w:bCs w:val="1"/>
          <w:color w:val="auto"/>
        </w:rPr>
      </w:pPr>
      <w:r>
        <w:rPr>
          <w:rFonts w:ascii="Calibri" w:cs="Calibri" w:eastAsia="Calibri" w:hAnsi="Calibri"/>
          <w:sz w:val="20"/>
          <w:szCs w:val="20"/>
          <w:color w:val="auto"/>
        </w:rPr>
        <w:t>Restricted investments are held in a fund that invests solely in U.S. Treasury securites. The estmated fair value of the fund is valued at net asset value, which the fund seeks to maintain at one dollar per share. As such, the estmated fair value of the restricted investments approximate their carrying value. The Company is restricted from accessing the investments, which will be used to setle the 2023 Notes and related interest payments.</w:t>
      </w:r>
    </w:p>
    <w:p>
      <w:pPr>
        <w:spacing w:after="0" w:line="92" w:lineRule="exact"/>
        <w:rPr>
          <w:rFonts w:ascii="Calibri" w:cs="Calibri" w:eastAsia="Calibri" w:hAnsi="Calibri"/>
          <w:sz w:val="20"/>
          <w:szCs w:val="20"/>
          <w:b w:val="1"/>
          <w:bCs w:val="1"/>
          <w:color w:val="auto"/>
        </w:rPr>
      </w:pPr>
    </w:p>
    <w:p>
      <w:pPr>
        <w:jc w:val="both"/>
        <w:ind w:left="380"/>
        <w:spacing w:after="0" w:line="230"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receivable are due from a large number of customers, primarily in the constructon industry, and are dispersed across wide geographic and economic regions. No single customer accounted for 10% or more of consolidated accounts receivable at September 30, 2022 and December 31, 2021. The estmated fair values of accounts receivable approximate their carrying amounts due to the short-term nature of the accounts.</w:t>
      </w:r>
    </w:p>
    <w:p>
      <w:pPr>
        <w:spacing w:after="0" w:line="103" w:lineRule="exact"/>
        <w:rPr>
          <w:rFonts w:ascii="Calibri" w:cs="Calibri" w:eastAsia="Calibri" w:hAnsi="Calibri"/>
          <w:sz w:val="20"/>
          <w:szCs w:val="20"/>
          <w:b w:val="1"/>
          <w:bCs w:val="1"/>
          <w:color w:val="auto"/>
        </w:rPr>
      </w:pPr>
    </w:p>
    <w:p>
      <w:pPr>
        <w:ind w:left="380"/>
        <w:spacing w:after="0" w:line="228" w:lineRule="auto"/>
        <w:rPr>
          <w:rFonts w:ascii="Calibri" w:cs="Calibri" w:eastAsia="Calibri" w:hAnsi="Calibri"/>
          <w:sz w:val="20"/>
          <w:szCs w:val="20"/>
          <w:b w:val="1"/>
          <w:bCs w:val="1"/>
          <w:color w:val="auto"/>
        </w:rPr>
      </w:pPr>
      <w:r>
        <w:rPr>
          <w:rFonts w:ascii="Calibri" w:cs="Calibri" w:eastAsia="Calibri" w:hAnsi="Calibri"/>
          <w:sz w:val="20"/>
          <w:szCs w:val="20"/>
          <w:color w:val="auto"/>
        </w:rPr>
        <w:t>Notes receivable are primarily promissory notes with customers and are not publicly traded. Management estmates that the fair value of notes receivable approximates the carrying amount.</w:t>
      </w:r>
    </w:p>
    <w:p>
      <w:pPr>
        <w:spacing w:after="0" w:line="89" w:lineRule="exact"/>
        <w:rPr>
          <w:rFonts w:ascii="Calibri" w:cs="Calibri" w:eastAsia="Calibri" w:hAnsi="Calibri"/>
          <w:sz w:val="20"/>
          <w:szCs w:val="20"/>
          <w:b w:val="1"/>
          <w:bCs w:val="1"/>
          <w:color w:val="auto"/>
        </w:rPr>
      </w:pPr>
    </w:p>
    <w:p>
      <w:pPr>
        <w:ind w:left="380"/>
        <w:spacing w:after="0" w:line="228" w:lineRule="auto"/>
        <w:rPr>
          <w:rFonts w:ascii="Calibri" w:cs="Calibri" w:eastAsia="Calibri" w:hAnsi="Calibri"/>
          <w:sz w:val="20"/>
          <w:szCs w:val="20"/>
          <w:b w:val="1"/>
          <w:bCs w:val="1"/>
          <w:color w:val="auto"/>
        </w:rPr>
      </w:pPr>
      <w:r>
        <w:rPr>
          <w:rFonts w:ascii="Calibri" w:cs="Calibri" w:eastAsia="Calibri" w:hAnsi="Calibri"/>
          <w:sz w:val="20"/>
          <w:szCs w:val="20"/>
          <w:color w:val="auto"/>
        </w:rPr>
        <w:t>Accounts payable represent amounts owed to suppliers and vendors. The estmated fair value of accounts payable approximates the carrying amount due to the short-term nature of the payables.</w:t>
      </w:r>
    </w:p>
    <w:p>
      <w:pPr>
        <w:spacing w:after="0" w:line="103" w:lineRule="exact"/>
        <w:rPr>
          <w:rFonts w:ascii="Calibri" w:cs="Calibri" w:eastAsia="Calibri" w:hAnsi="Calibri"/>
          <w:sz w:val="20"/>
          <w:szCs w:val="20"/>
          <w:b w:val="1"/>
          <w:bCs w:val="1"/>
          <w:color w:val="auto"/>
        </w:rPr>
      </w:pPr>
    </w:p>
    <w:p>
      <w:pPr>
        <w:jc w:val="both"/>
        <w:ind w:left="380"/>
        <w:spacing w:after="0" w:line="226" w:lineRule="auto"/>
        <w:rPr>
          <w:rFonts w:ascii="Calibri" w:cs="Calibri" w:eastAsia="Calibri" w:hAnsi="Calibri"/>
          <w:sz w:val="20"/>
          <w:szCs w:val="20"/>
          <w:b w:val="1"/>
          <w:bCs w:val="1"/>
          <w:color w:val="auto"/>
        </w:rPr>
      </w:pPr>
      <w:r>
        <w:rPr>
          <w:rFonts w:ascii="Calibri" w:cs="Calibri" w:eastAsia="Calibri" w:hAnsi="Calibri"/>
          <w:sz w:val="20"/>
          <w:szCs w:val="20"/>
          <w:color w:val="auto"/>
        </w:rPr>
        <w:t>The carrying values and fair values of the Company’s long-term debt were $5.04 billion and $4.23 billion, respectvely, at September 30, 2022 and $5.10 billion and $5.45 billion, respectvely, at December 31, 2021. The estmated fair value of the publicly-registered long-term notes was estmated using quoted market prices. The estmated fair values of other borrowings approximate their carrying amounts as the interest rates reset periodically.</w:t>
      </w:r>
    </w:p>
    <w:p>
      <w:pPr>
        <w:spacing w:after="0" w:line="299"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103" w:lineRule="exact"/>
        <w:rPr>
          <w:rFonts w:ascii="Calibri" w:cs="Calibri" w:eastAsia="Calibri" w:hAnsi="Calibri"/>
          <w:sz w:val="20"/>
          <w:szCs w:val="20"/>
          <w:b w:val="1"/>
          <w:bCs w:val="1"/>
          <w:color w:val="auto"/>
        </w:rPr>
      </w:pPr>
    </w:p>
    <w:p>
      <w:pPr>
        <w:jc w:val="both"/>
        <w:ind w:left="380"/>
        <w:spacing w:after="0" w:line="226" w:lineRule="auto"/>
        <w:rPr>
          <w:rFonts w:ascii="Calibri" w:cs="Calibri" w:eastAsia="Calibri" w:hAnsi="Calibri"/>
          <w:sz w:val="20"/>
          <w:szCs w:val="20"/>
          <w:b w:val="1"/>
          <w:bCs w:val="1"/>
          <w:color w:val="auto"/>
        </w:rPr>
      </w:pPr>
      <w:r>
        <w:rPr>
          <w:rFonts w:ascii="Calibri" w:cs="Calibri" w:eastAsia="Calibri" w:hAnsi="Calibri"/>
          <w:sz w:val="20"/>
          <w:szCs w:val="20"/>
          <w:color w:val="auto"/>
        </w:rPr>
        <w:t>The efectve income tax rate refects the efect of federal and state income taxes on earnings and the impact of diferences in book and tax accountng arising primarily from the permanent tax benefts associated with the statutory depleton deducton for mineral reserves. The efectve income tax rates for contnuing operatons were 22.1% and 20.6% for the nine months ended September 30, 2022 and 2021, respectvely. The higher 2022 efectve income tax rate versus 2021 was driven by the impact of the divestture of the Colorado and Central Texas ready mixed concrete businesses.</w:t>
      </w:r>
    </w:p>
    <w:p>
      <w:pPr>
        <w:spacing w:after="0" w:line="106" w:lineRule="exact"/>
        <w:rPr>
          <w:sz w:val="20"/>
          <w:szCs w:val="20"/>
          <w:color w:val="auto"/>
        </w:rPr>
      </w:pPr>
    </w:p>
    <w:p>
      <w:pPr>
        <w:ind w:left="380"/>
        <w:spacing w:after="0" w:line="221" w:lineRule="auto"/>
        <w:rPr>
          <w:sz w:val="20"/>
          <w:szCs w:val="20"/>
          <w:color w:val="auto"/>
        </w:rPr>
      </w:pPr>
      <w:r>
        <w:rPr>
          <w:rFonts w:ascii="Calibri" w:cs="Calibri" w:eastAsia="Calibri" w:hAnsi="Calibri"/>
          <w:sz w:val="20"/>
          <w:szCs w:val="20"/>
          <w:color w:val="auto"/>
        </w:rPr>
        <w:t>The Company records interest accrued in relaton to unrecognized tax benefts as income tax expense. Penaltes, if incurred, are recorded as operatng expenses in the consolidated statements of earnings and comprehensive earnings.</w:t>
      </w:r>
    </w:p>
    <w:p>
      <w:pPr>
        <w:jc w:val="center"/>
        <w:spacing w:after="0" w:line="226" w:lineRule="auto"/>
        <w:rPr>
          <w:sz w:val="20"/>
          <w:szCs w:val="20"/>
          <w:color w:val="auto"/>
        </w:rPr>
      </w:pPr>
      <w:r>
        <w:rPr>
          <w:rFonts w:ascii="Calibri" w:cs="Calibri" w:eastAsia="Calibri" w:hAnsi="Calibri"/>
          <w:sz w:val="20"/>
          <w:szCs w:val="20"/>
          <w:color w:val="auto"/>
        </w:rPr>
        <w:t>Page 20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0" w:name="page21"/>
    <w:bookmarkEnd w:id="2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12" w:lineRule="exact"/>
        <w:rPr>
          <w:sz w:val="20"/>
          <w:szCs w:val="20"/>
          <w:color w:val="auto"/>
        </w:rPr>
      </w:pPr>
    </w:p>
    <w:p>
      <w:pPr>
        <w:ind w:left="380" w:hanging="372"/>
        <w:spacing w:after="0"/>
        <w:tabs>
          <w:tab w:leader="none" w:pos="38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Pension and Postretrement Benefts</w:t>
      </w:r>
    </w:p>
    <w:p>
      <w:pPr>
        <w:spacing w:after="0" w:line="103" w:lineRule="exact"/>
        <w:rPr>
          <w:rFonts w:ascii="Calibri" w:cs="Calibri" w:eastAsia="Calibri" w:hAnsi="Calibri"/>
          <w:sz w:val="20"/>
          <w:szCs w:val="20"/>
          <w:b w:val="1"/>
          <w:bCs w:val="1"/>
          <w:color w:val="auto"/>
        </w:rPr>
      </w:pPr>
    </w:p>
    <w:p>
      <w:pPr>
        <w:jc w:val="both"/>
        <w:ind w:left="380"/>
        <w:spacing w:after="0" w:line="224" w:lineRule="auto"/>
        <w:rPr>
          <w:rFonts w:ascii="Calibri" w:cs="Calibri" w:eastAsia="Calibri" w:hAnsi="Calibri"/>
          <w:sz w:val="20"/>
          <w:szCs w:val="20"/>
          <w:b w:val="1"/>
          <w:bCs w:val="1"/>
          <w:color w:val="auto"/>
        </w:rPr>
      </w:pPr>
      <w:r>
        <w:rPr>
          <w:rFonts w:ascii="Calibri" w:cs="Calibri" w:eastAsia="Calibri" w:hAnsi="Calibri"/>
          <w:sz w:val="20"/>
          <w:szCs w:val="20"/>
          <w:color w:val="auto"/>
        </w:rPr>
        <w:t>During the nine months ended September 30, 2022, the Company amended its qualifed pension plan and provided an enhanced beneft for eligible hourly actve partcipants who retre subsequent to April 30, 2022. The amendment required a pension remeasurement. The Company elected the use of a practcal expedient to perform the pension remeasurement as of February 28, 2022, the month-end closest to the approval of the plan amendment. The discount rate for the remeasurement was 3.75% compared with 3.23% prior to the remeasurement. The enhanced beneft and remeasurement resulted in higher pension expense for full-year 2022 compared with the inital estmate of the annual pension expense for the qualifed plan.</w:t>
      </w:r>
    </w:p>
    <w:p>
      <w:pPr>
        <w:spacing w:after="0" w:line="94"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estmated components of the recorded net periodic beneft cost (credit) for pension and postretrement benefts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20"/>
                <w:szCs w:val="20"/>
                <w:color w:val="auto"/>
              </w:rPr>
              <w:t>Pension</w:t>
            </w:r>
          </w:p>
        </w:tc>
        <w:tc>
          <w:tcPr>
            <w:tcW w:w="13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jc w:val="right"/>
              <w:ind w:right="701"/>
              <w:spacing w:after="0"/>
              <w:rPr>
                <w:sz w:val="20"/>
                <w:szCs w:val="20"/>
                <w:color w:val="auto"/>
              </w:rPr>
            </w:pPr>
            <w:r>
              <w:rPr>
                <w:rFonts w:ascii="Calibri" w:cs="Calibri" w:eastAsia="Calibri" w:hAnsi="Calibri"/>
                <w:sz w:val="20"/>
                <w:szCs w:val="20"/>
                <w:color w:val="auto"/>
              </w:rPr>
              <w:t>Postretrement Benefts</w:t>
            </w:r>
          </w:p>
        </w:tc>
        <w:tc>
          <w:tcPr>
            <w:tcW w:w="100" w:type="dxa"/>
            <w:vAlign w:val="bottom"/>
          </w:tcPr>
          <w:p>
            <w:pPr>
              <w:spacing w:after="0"/>
              <w:rPr>
                <w:sz w:val="22"/>
                <w:szCs w:val="22"/>
                <w:color w:val="auto"/>
              </w:rPr>
            </w:pPr>
          </w:p>
        </w:tc>
      </w:tr>
      <w:tr>
        <w:trPr>
          <w:trHeight w:val="229"/>
        </w:trPr>
        <w:tc>
          <w:tcPr>
            <w:tcW w:w="3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
              <w:spacing w:after="0" w:line="229" w:lineRule="exact"/>
              <w:rPr>
                <w:sz w:val="20"/>
                <w:szCs w:val="20"/>
                <w:color w:val="auto"/>
              </w:rPr>
            </w:pPr>
            <w:r>
              <w:rPr>
                <w:rFonts w:ascii="Calibri" w:cs="Calibri" w:eastAsia="Calibri" w:hAnsi="Calibri"/>
                <w:sz w:val="20"/>
                <w:szCs w:val="20"/>
                <w:color w:val="auto"/>
              </w:rPr>
              <w:t>Three Months</w:t>
            </w:r>
          </w:p>
        </w:tc>
        <w:tc>
          <w:tcPr>
            <w:tcW w:w="2180" w:type="dxa"/>
            <w:vAlign w:val="bottom"/>
            <w:tcBorders>
              <w:bottom w:val="single" w:sz="8" w:color="auto"/>
            </w:tcBorders>
            <w:gridSpan w:val="4"/>
          </w:tcPr>
          <w:p>
            <w:pPr>
              <w:spacing w:after="0" w:line="229" w:lineRule="exact"/>
              <w:rPr>
                <w:sz w:val="20"/>
                <w:szCs w:val="20"/>
                <w:color w:val="auto"/>
              </w:rPr>
            </w:pPr>
            <w:r>
              <w:rPr>
                <w:rFonts w:ascii="Calibri" w:cs="Calibri" w:eastAsia="Calibri" w:hAnsi="Calibri"/>
                <w:sz w:val="20"/>
                <w:szCs w:val="20"/>
                <w:color w:val="auto"/>
              </w:rPr>
              <w:t>Ended September 30,</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1"/>
              <w:spacing w:after="0" w:line="223" w:lineRule="exact"/>
              <w:rPr>
                <w:sz w:val="20"/>
                <w:szCs w:val="20"/>
                <w:color w:val="auto"/>
              </w:rPr>
            </w:pPr>
            <w:r>
              <w:rPr>
                <w:rFonts w:ascii="Calibri" w:cs="Calibri" w:eastAsia="Calibri" w:hAnsi="Calibri"/>
                <w:sz w:val="20"/>
                <w:szCs w:val="20"/>
                <w:color w:val="auto"/>
              </w:rPr>
              <w:t>2022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1"/>
              <w:spacing w:after="0" w:line="223" w:lineRule="exact"/>
              <w:rPr>
                <w:sz w:val="20"/>
                <w:szCs w:val="20"/>
                <w:color w:val="auto"/>
              </w:rPr>
            </w:pPr>
            <w:r>
              <w:rPr>
                <w:rFonts w:ascii="Calibri" w:cs="Calibri" w:eastAsia="Calibri" w:hAnsi="Calibri"/>
                <w:sz w:val="20"/>
                <w:szCs w:val="20"/>
                <w:color w:val="auto"/>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Calibri" w:cs="Calibri" w:eastAsia="Calibri" w:hAnsi="Calibri"/>
                <w:sz w:val="20"/>
                <w:szCs w:val="20"/>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199"/>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line="199"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jc w:val="right"/>
              <w:spacing w:after="0" w:line="199" w:lineRule="exact"/>
              <w:rPr>
                <w:sz w:val="20"/>
                <w:szCs w:val="20"/>
                <w:color w:val="auto"/>
              </w:rPr>
            </w:pPr>
            <w:r>
              <w:rPr>
                <w:rFonts w:ascii="Calibri" w:cs="Calibri" w:eastAsia="Calibri" w:hAnsi="Calibri"/>
                <w:sz w:val="20"/>
                <w:szCs w:val="20"/>
                <w:i w:val="1"/>
                <w:iCs w:val="1"/>
                <w:color w:val="auto"/>
              </w:rPr>
              <w:t>in</w:t>
            </w:r>
          </w:p>
        </w:tc>
        <w:tc>
          <w:tcPr>
            <w:tcW w:w="1640" w:type="dxa"/>
            <w:vAlign w:val="bottom"/>
            <w:gridSpan w:val="2"/>
          </w:tcPr>
          <w:p>
            <w:pPr>
              <w:ind w:left="40"/>
              <w:spacing w:after="0" w:line="199" w:lineRule="exact"/>
              <w:rPr>
                <w:sz w:val="20"/>
                <w:szCs w:val="20"/>
                <w:color w:val="auto"/>
              </w:rPr>
            </w:pPr>
            <w:r>
              <w:rPr>
                <w:rFonts w:ascii="Calibri" w:cs="Calibri" w:eastAsia="Calibri" w:hAnsi="Calibri"/>
                <w:sz w:val="20"/>
                <w:szCs w:val="20"/>
                <w:i w:val="1"/>
                <w:iCs w:val="1"/>
                <w:color w:val="auto"/>
              </w:rPr>
              <w:t>Millions)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3940" w:type="dxa"/>
            <w:vAlign w:val="bottom"/>
          </w:tcPr>
          <w:p>
            <w:pPr>
              <w:ind w:left="20"/>
              <w:spacing w:after="0" w:line="234" w:lineRule="exact"/>
              <w:rPr>
                <w:sz w:val="20"/>
                <w:szCs w:val="20"/>
                <w:color w:val="auto"/>
              </w:rPr>
            </w:pPr>
            <w:r>
              <w:rPr>
                <w:rFonts w:ascii="Calibri" w:cs="Calibri" w:eastAsia="Calibri" w:hAnsi="Calibri"/>
                <w:sz w:val="20"/>
                <w:szCs w:val="20"/>
                <w:color w:val="auto"/>
              </w:rPr>
              <w:t>Service cost</w:t>
            </w:r>
          </w:p>
        </w:tc>
        <w:tc>
          <w:tcPr>
            <w:tcW w:w="34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w w:val="98"/>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12.0</w:t>
            </w:r>
          </w:p>
        </w:tc>
        <w:tc>
          <w:tcPr>
            <w:tcW w:w="300" w:type="dxa"/>
            <w:vAlign w:val="bottom"/>
          </w:tcPr>
          <w:p>
            <w:pPr>
              <w:spacing w:after="0"/>
              <w:rPr>
                <w:sz w:val="21"/>
                <w:szCs w:val="21"/>
                <w:color w:val="auto"/>
              </w:rPr>
            </w:pPr>
          </w:p>
        </w:tc>
        <w:tc>
          <w:tcPr>
            <w:tcW w:w="2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320" w:type="dxa"/>
            <w:vAlign w:val="bottom"/>
          </w:tcPr>
          <w:p>
            <w:pPr>
              <w:jc w:val="right"/>
              <w:spacing w:after="0" w:line="234" w:lineRule="exact"/>
              <w:rPr>
                <w:sz w:val="20"/>
                <w:szCs w:val="20"/>
                <w:color w:val="auto"/>
              </w:rPr>
            </w:pPr>
            <w:r>
              <w:rPr>
                <w:rFonts w:ascii="Calibri" w:cs="Calibri" w:eastAsia="Calibri" w:hAnsi="Calibri"/>
                <w:sz w:val="20"/>
                <w:szCs w:val="20"/>
                <w:color w:val="auto"/>
              </w:rPr>
              <w:t>11.6</w:t>
            </w:r>
          </w:p>
        </w:tc>
        <w:tc>
          <w:tcPr>
            <w:tcW w:w="260" w:type="dxa"/>
            <w:vAlign w:val="bottom"/>
          </w:tcPr>
          <w:p>
            <w:pPr>
              <w:spacing w:after="0"/>
              <w:rPr>
                <w:sz w:val="21"/>
                <w:szCs w:val="21"/>
                <w:color w:val="auto"/>
              </w:rPr>
            </w:pPr>
          </w:p>
        </w:tc>
        <w:tc>
          <w:tcPr>
            <w:tcW w:w="3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380" w:type="dxa"/>
            <w:vAlign w:val="bottom"/>
            <w:gridSpan w:val="2"/>
          </w:tcPr>
          <w:p>
            <w:pPr>
              <w:jc w:val="right"/>
              <w:ind w:right="32"/>
              <w:spacing w:after="0" w:line="234" w:lineRule="exact"/>
              <w:rPr>
                <w:sz w:val="20"/>
                <w:szCs w:val="20"/>
                <w:color w:val="auto"/>
              </w:rPr>
            </w:pPr>
            <w:r>
              <w:rPr>
                <w:rFonts w:ascii="Calibri" w:cs="Calibri" w:eastAsia="Calibri" w:hAnsi="Calibri"/>
                <w:sz w:val="20"/>
                <w:szCs w:val="20"/>
                <w:color w:val="auto"/>
              </w:rPr>
              <w:t>—</w:t>
            </w:r>
          </w:p>
        </w:tc>
      </w:tr>
      <w:tr>
        <w:trPr>
          <w:trHeight w:val="239"/>
        </w:trPr>
        <w:tc>
          <w:tcPr>
            <w:tcW w:w="394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Interest cost</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10.3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8.9</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0.1</w:t>
            </w:r>
          </w:p>
        </w:tc>
        <w:tc>
          <w:tcPr>
            <w:tcW w:w="100" w:type="dxa"/>
            <w:vAlign w:val="bottom"/>
            <w:shd w:val="clear" w:color="auto" w:fill="CFF0FC"/>
          </w:tcPr>
          <w:p>
            <w:pPr>
              <w:spacing w:after="0"/>
              <w:rPr>
                <w:sz w:val="20"/>
                <w:szCs w:val="20"/>
                <w:color w:val="auto"/>
              </w:rPr>
            </w:pPr>
          </w:p>
        </w:tc>
      </w:tr>
      <w:tr>
        <w:trPr>
          <w:trHeight w:val="230"/>
        </w:trPr>
        <w:tc>
          <w:tcPr>
            <w:tcW w:w="3940" w:type="dxa"/>
            <w:vAlign w:val="bottom"/>
          </w:tcPr>
          <w:p>
            <w:pPr>
              <w:ind w:left="20"/>
              <w:spacing w:after="0" w:line="229" w:lineRule="exact"/>
              <w:rPr>
                <w:sz w:val="20"/>
                <w:szCs w:val="20"/>
                <w:color w:val="auto"/>
              </w:rPr>
            </w:pPr>
            <w:r>
              <w:rPr>
                <w:rFonts w:ascii="Calibri" w:cs="Calibri" w:eastAsia="Calibri" w:hAnsi="Calibri"/>
                <w:sz w:val="20"/>
                <w:szCs w:val="20"/>
                <w:color w:val="auto"/>
              </w:rPr>
              <w:t>Expected return on assets</w:t>
            </w:r>
          </w:p>
        </w:tc>
        <w:tc>
          <w:tcPr>
            <w:tcW w:w="34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(19.3 )</w:t>
            </w:r>
          </w:p>
        </w:tc>
        <w:tc>
          <w:tcPr>
            <w:tcW w:w="240" w:type="dxa"/>
            <w:vAlign w:val="bottom"/>
          </w:tcPr>
          <w:p>
            <w:pPr>
              <w:spacing w:after="0"/>
              <w:rPr>
                <w:sz w:val="19"/>
                <w:szCs w:val="19"/>
                <w:color w:val="auto"/>
              </w:rPr>
            </w:pPr>
          </w:p>
        </w:tc>
        <w:tc>
          <w:tcPr>
            <w:tcW w:w="1580" w:type="dxa"/>
            <w:vAlign w:val="bottom"/>
            <w:gridSpan w:val="2"/>
          </w:tcPr>
          <w:p>
            <w:pPr>
              <w:jc w:val="right"/>
              <w:ind w:right="101"/>
              <w:spacing w:after="0" w:line="229" w:lineRule="exact"/>
              <w:rPr>
                <w:sz w:val="20"/>
                <w:szCs w:val="20"/>
                <w:color w:val="auto"/>
              </w:rPr>
            </w:pPr>
            <w:r>
              <w:rPr>
                <w:rFonts w:ascii="Calibri" w:cs="Calibri" w:eastAsia="Calibri" w:hAnsi="Calibri"/>
                <w:sz w:val="20"/>
                <w:szCs w:val="20"/>
                <w:color w:val="auto"/>
              </w:rPr>
              <w:t>(17.7 )</w:t>
            </w:r>
          </w:p>
        </w:tc>
        <w:tc>
          <w:tcPr>
            <w:tcW w:w="360" w:type="dxa"/>
            <w:vAlign w:val="bottom"/>
          </w:tcPr>
          <w:p>
            <w:pPr>
              <w:spacing w:after="0"/>
              <w:rPr>
                <w:sz w:val="19"/>
                <w:szCs w:val="19"/>
                <w:color w:val="auto"/>
              </w:rPr>
            </w:pPr>
          </w:p>
        </w:tc>
        <w:tc>
          <w:tcPr>
            <w:tcW w:w="156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32"/>
              <w:spacing w:after="0" w:line="229" w:lineRule="exact"/>
              <w:rPr>
                <w:sz w:val="20"/>
                <w:szCs w:val="20"/>
                <w:color w:val="auto"/>
              </w:rPr>
            </w:pPr>
            <w:r>
              <w:rPr>
                <w:rFonts w:ascii="Calibri" w:cs="Calibri" w:eastAsia="Calibri" w:hAnsi="Calibri"/>
                <w:sz w:val="20"/>
                <w:szCs w:val="20"/>
                <w:color w:val="auto"/>
              </w:rPr>
              <w:t>—</w:t>
            </w:r>
          </w:p>
        </w:tc>
      </w:tr>
      <w:tr>
        <w:trPr>
          <w:trHeight w:val="229"/>
        </w:trPr>
        <w:tc>
          <w:tcPr>
            <w:tcW w:w="394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Amortzaton of:</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940" w:type="dxa"/>
            <w:vAlign w:val="bottom"/>
          </w:tcPr>
          <w:p>
            <w:pPr>
              <w:ind w:left="200"/>
              <w:spacing w:after="0" w:line="229" w:lineRule="exact"/>
              <w:rPr>
                <w:sz w:val="20"/>
                <w:szCs w:val="20"/>
                <w:color w:val="auto"/>
              </w:rPr>
            </w:pPr>
            <w:r>
              <w:rPr>
                <w:rFonts w:ascii="Calibri" w:cs="Calibri" w:eastAsia="Calibri" w:hAnsi="Calibri"/>
                <w:sz w:val="20"/>
                <w:szCs w:val="20"/>
                <w:color w:val="auto"/>
              </w:rPr>
              <w:t>Prior service cost (credit)</w:t>
            </w:r>
          </w:p>
        </w:tc>
        <w:tc>
          <w:tcPr>
            <w:tcW w:w="3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Calibri" w:cs="Calibri" w:eastAsia="Calibri" w:hAnsi="Calibri"/>
                <w:sz w:val="20"/>
                <w:szCs w:val="20"/>
                <w:color w:val="auto"/>
              </w:rPr>
              <w:t>0.2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01"/>
              <w:spacing w:after="0" w:line="229" w:lineRule="exact"/>
              <w:rPr>
                <w:sz w:val="20"/>
                <w:szCs w:val="20"/>
                <w:color w:val="auto"/>
              </w:rPr>
            </w:pPr>
            <w:r>
              <w:rPr>
                <w:rFonts w:ascii="Calibri" w:cs="Calibri" w:eastAsia="Calibri" w:hAnsi="Calibri"/>
                <w:sz w:val="20"/>
                <w:szCs w:val="20"/>
                <w:color w:val="auto"/>
              </w:rPr>
              <w:t>(0.2 )</w:t>
            </w:r>
          </w:p>
        </w:tc>
        <w:tc>
          <w:tcPr>
            <w:tcW w:w="360" w:type="dxa"/>
            <w:vAlign w:val="bottom"/>
          </w:tcPr>
          <w:p>
            <w:pPr>
              <w:spacing w:after="0"/>
              <w:rPr>
                <w:sz w:val="19"/>
                <w:szCs w:val="19"/>
                <w:color w:val="auto"/>
              </w:rPr>
            </w:pPr>
          </w:p>
        </w:tc>
        <w:tc>
          <w:tcPr>
            <w:tcW w:w="138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(0.2 )</w:t>
            </w:r>
          </w:p>
        </w:tc>
      </w:tr>
      <w:tr>
        <w:trPr>
          <w:trHeight w:val="230"/>
        </w:trPr>
        <w:tc>
          <w:tcPr>
            <w:tcW w:w="394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Actuarial loss (gain)</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1"/>
              <w:spacing w:after="0" w:line="229" w:lineRule="exact"/>
              <w:rPr>
                <w:sz w:val="20"/>
                <w:szCs w:val="20"/>
                <w:color w:val="auto"/>
              </w:rPr>
            </w:pPr>
            <w:r>
              <w:rPr>
                <w:rFonts w:ascii="Calibri" w:cs="Calibri" w:eastAsia="Calibri" w:hAnsi="Calibri"/>
                <w:sz w:val="20"/>
                <w:szCs w:val="20"/>
                <w:color w:val="auto"/>
              </w:rPr>
              <w:t>(0.1 )</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2"/>
              <w:spacing w:after="0" w:line="229" w:lineRule="exact"/>
              <w:rPr>
                <w:sz w:val="20"/>
                <w:szCs w:val="20"/>
                <w:color w:val="auto"/>
              </w:rPr>
            </w:pPr>
            <w:r>
              <w:rPr>
                <w:rFonts w:ascii="Calibri" w:cs="Calibri" w:eastAsia="Calibri" w:hAnsi="Calibri"/>
                <w:sz w:val="20"/>
                <w:szCs w:val="20"/>
                <w:color w:val="auto"/>
              </w:rPr>
              <w:t>—</w:t>
            </w:r>
          </w:p>
        </w:tc>
      </w:tr>
      <w:tr>
        <w:trPr>
          <w:trHeight w:val="229"/>
        </w:trPr>
        <w:tc>
          <w:tcPr>
            <w:tcW w:w="3940" w:type="dxa"/>
            <w:vAlign w:val="bottom"/>
          </w:tcPr>
          <w:p>
            <w:pPr>
              <w:ind w:left="20"/>
              <w:spacing w:after="0" w:line="229" w:lineRule="exact"/>
              <w:rPr>
                <w:sz w:val="20"/>
                <w:szCs w:val="20"/>
                <w:color w:val="auto"/>
              </w:rPr>
            </w:pPr>
            <w:r>
              <w:rPr>
                <w:rFonts w:ascii="Calibri" w:cs="Calibri" w:eastAsia="Calibri" w:hAnsi="Calibri"/>
                <w:sz w:val="20"/>
                <w:szCs w:val="20"/>
                <w:color w:val="auto"/>
              </w:rPr>
              <w:t>Setlement charge</w:t>
            </w:r>
          </w:p>
        </w:tc>
        <w:tc>
          <w:tcPr>
            <w:tcW w:w="3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156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32"/>
              <w:spacing w:after="0" w:line="229" w:lineRule="exact"/>
              <w:rPr>
                <w:sz w:val="20"/>
                <w:szCs w:val="20"/>
                <w:color w:val="auto"/>
              </w:rPr>
            </w:pPr>
            <w:r>
              <w:rPr>
                <w:rFonts w:ascii="Calibri" w:cs="Calibri" w:eastAsia="Calibri" w:hAnsi="Calibri"/>
                <w:sz w:val="20"/>
                <w:szCs w:val="20"/>
                <w:color w:val="auto"/>
              </w:rPr>
              <w:t>—</w:t>
            </w:r>
          </w:p>
        </w:tc>
      </w:tr>
      <w:tr>
        <w:trPr>
          <w:trHeight w:val="263"/>
        </w:trPr>
        <w:tc>
          <w:tcPr>
            <w:tcW w:w="394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Net periodic beneft cost (credit)</w:t>
            </w:r>
          </w:p>
        </w:tc>
        <w:tc>
          <w:tcPr>
            <w:tcW w:w="340" w:type="dxa"/>
            <w:vAlign w:val="bottom"/>
            <w:tcBorders>
              <w:top w:val="single" w:sz="8" w:color="auto"/>
              <w:bottom w:val="single" w:sz="8" w:color="auto"/>
            </w:tcBorders>
            <w:shd w:val="clear" w:color="auto" w:fill="CFF0FC"/>
          </w:tcPr>
          <w:p>
            <w:pPr>
              <w:jc w:val="right"/>
              <w:ind w:right="121"/>
              <w:spacing w:after="0" w:line="223" w:lineRule="exact"/>
              <w:rPr>
                <w:sz w:val="20"/>
                <w:szCs w:val="20"/>
                <w:color w:val="auto"/>
              </w:rPr>
            </w:pPr>
            <w:r>
              <w:rPr>
                <w:rFonts w:ascii="Calibri" w:cs="Calibri" w:eastAsia="Calibri" w:hAnsi="Calibri"/>
                <w:sz w:val="20"/>
                <w:szCs w:val="20"/>
                <w:color w:val="auto"/>
                <w:w w:val="98"/>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9.8</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21"/>
              <w:spacing w:after="0" w:line="223" w:lineRule="exact"/>
              <w:rPr>
                <w:sz w:val="20"/>
                <w:szCs w:val="20"/>
                <w:color w:val="auto"/>
              </w:rPr>
            </w:pPr>
            <w:r>
              <w:rPr>
                <w:rFonts w:ascii="Calibri" w:cs="Calibri" w:eastAsia="Calibri" w:hAnsi="Calibri"/>
                <w:sz w:val="20"/>
                <w:szCs w:val="20"/>
                <w:color w:val="auto"/>
                <w:w w:val="98"/>
              </w:rPr>
              <w:t>$</w:t>
            </w:r>
          </w:p>
        </w:tc>
        <w:tc>
          <w:tcPr>
            <w:tcW w:w="13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6.0</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12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(0.2</w:t>
            </w:r>
          </w:p>
        </w:tc>
        <w:tc>
          <w:tcPr>
            <w:tcW w:w="280" w:type="dxa"/>
            <w:vAlign w:val="bottom"/>
            <w:tcBorders>
              <w:bottom w:val="single" w:sz="8" w:color="CFF0FC"/>
            </w:tcBorders>
            <w:shd w:val="clear" w:color="auto" w:fill="CFF0FC"/>
          </w:tcPr>
          <w:p>
            <w:pPr>
              <w:jc w:val="right"/>
              <w:ind w:right="101"/>
              <w:spacing w:after="0" w:line="223" w:lineRule="exact"/>
              <w:rPr>
                <w:sz w:val="20"/>
                <w:szCs w:val="20"/>
                <w:color w:val="auto"/>
              </w:rPr>
            </w:pPr>
            <w:r>
              <w:rPr>
                <w:rFonts w:ascii="Calibri" w:cs="Calibri" w:eastAsia="Calibri" w:hAnsi="Calibri"/>
                <w:sz w:val="20"/>
                <w:szCs w:val="20"/>
                <w:color w:val="auto"/>
                <w:w w:val="98"/>
              </w:rPr>
              <w:t>)</w:t>
            </w:r>
          </w:p>
        </w:tc>
        <w:tc>
          <w:tcPr>
            <w:tcW w:w="360" w:type="dxa"/>
            <w:vAlign w:val="bottom"/>
            <w:tcBorders>
              <w:top w:val="single" w:sz="8" w:color="auto"/>
              <w:bottom w:val="single" w:sz="8" w:color="auto"/>
            </w:tcBorders>
            <w:shd w:val="clear" w:color="auto" w:fill="CFF0FC"/>
          </w:tcPr>
          <w:p>
            <w:pPr>
              <w:jc w:val="right"/>
              <w:ind w:right="141"/>
              <w:spacing w:after="0" w:line="223" w:lineRule="exact"/>
              <w:rPr>
                <w:sz w:val="20"/>
                <w:szCs w:val="20"/>
                <w:color w:val="auto"/>
              </w:rPr>
            </w:pPr>
            <w:r>
              <w:rPr>
                <w:rFonts w:ascii="Calibri" w:cs="Calibri" w:eastAsia="Calibri" w:hAnsi="Calibri"/>
                <w:sz w:val="20"/>
                <w:szCs w:val="20"/>
                <w:color w:val="auto"/>
                <w:w w:val="98"/>
              </w:rPr>
              <w:t>$</w:t>
            </w:r>
          </w:p>
        </w:tc>
        <w:tc>
          <w:tcPr>
            <w:tcW w:w="12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w w:val="72"/>
              </w:rPr>
              <w:t>)</w:t>
            </w:r>
          </w:p>
        </w:tc>
      </w:tr>
      <w:tr>
        <w:trPr>
          <w:trHeight w:val="406"/>
        </w:trPr>
        <w:tc>
          <w:tcPr>
            <w:tcW w:w="3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20"/>
                <w:szCs w:val="20"/>
                <w:color w:val="auto"/>
              </w:rPr>
              <w:t>Pension</w:t>
            </w:r>
          </w:p>
        </w:tc>
        <w:tc>
          <w:tcPr>
            <w:tcW w:w="1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701"/>
              <w:spacing w:after="0"/>
              <w:rPr>
                <w:sz w:val="20"/>
                <w:szCs w:val="20"/>
                <w:color w:val="auto"/>
              </w:rPr>
            </w:pPr>
            <w:r>
              <w:rPr>
                <w:rFonts w:ascii="Calibri" w:cs="Calibri" w:eastAsia="Calibri" w:hAnsi="Calibri"/>
                <w:sz w:val="20"/>
                <w:szCs w:val="20"/>
                <w:color w:val="auto"/>
              </w:rPr>
              <w:t>Postretrement Benefts</w:t>
            </w:r>
          </w:p>
        </w:tc>
        <w:tc>
          <w:tcPr>
            <w:tcW w:w="100" w:type="dxa"/>
            <w:vAlign w:val="bottom"/>
          </w:tcPr>
          <w:p>
            <w:pPr>
              <w:spacing w:after="0"/>
              <w:rPr>
                <w:sz w:val="24"/>
                <w:szCs w:val="24"/>
                <w:color w:val="auto"/>
              </w:rPr>
            </w:pPr>
          </w:p>
        </w:tc>
      </w:tr>
      <w:tr>
        <w:trPr>
          <w:trHeight w:val="229"/>
        </w:trPr>
        <w:tc>
          <w:tcPr>
            <w:tcW w:w="3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
              <w:spacing w:after="0" w:line="229" w:lineRule="exact"/>
              <w:rPr>
                <w:sz w:val="20"/>
                <w:szCs w:val="20"/>
                <w:color w:val="auto"/>
              </w:rPr>
            </w:pPr>
            <w:r>
              <w:rPr>
                <w:rFonts w:ascii="Calibri" w:cs="Calibri" w:eastAsia="Calibri" w:hAnsi="Calibri"/>
                <w:sz w:val="20"/>
                <w:szCs w:val="20"/>
                <w:color w:val="auto"/>
              </w:rPr>
              <w:t>Nine Months</w:t>
            </w:r>
          </w:p>
        </w:tc>
        <w:tc>
          <w:tcPr>
            <w:tcW w:w="2180" w:type="dxa"/>
            <w:vAlign w:val="bottom"/>
            <w:tcBorders>
              <w:bottom w:val="single" w:sz="8" w:color="auto"/>
            </w:tcBorders>
            <w:gridSpan w:val="4"/>
          </w:tcPr>
          <w:p>
            <w:pPr>
              <w:spacing w:after="0" w:line="229" w:lineRule="exact"/>
              <w:rPr>
                <w:sz w:val="20"/>
                <w:szCs w:val="20"/>
                <w:color w:val="auto"/>
              </w:rPr>
            </w:pPr>
            <w:r>
              <w:rPr>
                <w:rFonts w:ascii="Calibri" w:cs="Calibri" w:eastAsia="Calibri" w:hAnsi="Calibri"/>
                <w:sz w:val="20"/>
                <w:szCs w:val="20"/>
                <w:color w:val="auto"/>
              </w:rPr>
              <w:t>Ended September 30,</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1"/>
              <w:spacing w:after="0" w:line="223" w:lineRule="exact"/>
              <w:rPr>
                <w:sz w:val="20"/>
                <w:szCs w:val="20"/>
                <w:color w:val="auto"/>
              </w:rPr>
            </w:pPr>
            <w:r>
              <w:rPr>
                <w:rFonts w:ascii="Calibri" w:cs="Calibri" w:eastAsia="Calibri" w:hAnsi="Calibri"/>
                <w:sz w:val="20"/>
                <w:szCs w:val="20"/>
                <w:color w:val="auto"/>
              </w:rPr>
              <w:t>2022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81"/>
              <w:spacing w:after="0" w:line="223" w:lineRule="exact"/>
              <w:rPr>
                <w:sz w:val="20"/>
                <w:szCs w:val="20"/>
                <w:color w:val="auto"/>
              </w:rPr>
            </w:pPr>
            <w:r>
              <w:rPr>
                <w:rFonts w:ascii="Calibri" w:cs="Calibri" w:eastAsia="Calibri" w:hAnsi="Calibri"/>
                <w:sz w:val="20"/>
                <w:szCs w:val="20"/>
                <w:color w:val="auto"/>
              </w:rPr>
              <w:t>2021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Calibri" w:cs="Calibri" w:eastAsia="Calibri" w:hAnsi="Calibri"/>
                <w:sz w:val="20"/>
                <w:szCs w:val="20"/>
                <w:color w:val="auto"/>
              </w:rPr>
              <w:t>2022</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1"/>
              <w:spacing w:after="0" w:line="223"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199"/>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line="199"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jc w:val="right"/>
              <w:spacing w:after="0" w:line="199" w:lineRule="exact"/>
              <w:rPr>
                <w:sz w:val="20"/>
                <w:szCs w:val="20"/>
                <w:color w:val="auto"/>
              </w:rPr>
            </w:pPr>
            <w:r>
              <w:rPr>
                <w:rFonts w:ascii="Calibri" w:cs="Calibri" w:eastAsia="Calibri" w:hAnsi="Calibri"/>
                <w:sz w:val="20"/>
                <w:szCs w:val="20"/>
                <w:i w:val="1"/>
                <w:iCs w:val="1"/>
                <w:color w:val="auto"/>
              </w:rPr>
              <w:t>in</w:t>
            </w:r>
          </w:p>
        </w:tc>
        <w:tc>
          <w:tcPr>
            <w:tcW w:w="1640" w:type="dxa"/>
            <w:vAlign w:val="bottom"/>
            <w:gridSpan w:val="2"/>
          </w:tcPr>
          <w:p>
            <w:pPr>
              <w:ind w:left="40"/>
              <w:spacing w:after="0" w:line="199" w:lineRule="exact"/>
              <w:rPr>
                <w:sz w:val="20"/>
                <w:szCs w:val="20"/>
                <w:color w:val="auto"/>
              </w:rPr>
            </w:pPr>
            <w:r>
              <w:rPr>
                <w:rFonts w:ascii="Calibri" w:cs="Calibri" w:eastAsia="Calibri" w:hAnsi="Calibri"/>
                <w:sz w:val="20"/>
                <w:szCs w:val="20"/>
                <w:i w:val="1"/>
                <w:iCs w:val="1"/>
                <w:color w:val="auto"/>
              </w:rPr>
              <w:t>Millions)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3940" w:type="dxa"/>
            <w:vAlign w:val="bottom"/>
          </w:tcPr>
          <w:p>
            <w:pPr>
              <w:ind w:left="20"/>
              <w:spacing w:after="0" w:line="234" w:lineRule="exact"/>
              <w:rPr>
                <w:sz w:val="20"/>
                <w:szCs w:val="20"/>
                <w:color w:val="auto"/>
              </w:rPr>
            </w:pPr>
            <w:r>
              <w:rPr>
                <w:rFonts w:ascii="Calibri" w:cs="Calibri" w:eastAsia="Calibri" w:hAnsi="Calibri"/>
                <w:sz w:val="20"/>
                <w:szCs w:val="20"/>
                <w:color w:val="auto"/>
              </w:rPr>
              <w:t>Service cost</w:t>
            </w:r>
          </w:p>
        </w:tc>
        <w:tc>
          <w:tcPr>
            <w:tcW w:w="34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w w:val="98"/>
              </w:rPr>
              <w:t>$</w:t>
            </w: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36.1</w:t>
            </w:r>
          </w:p>
        </w:tc>
        <w:tc>
          <w:tcPr>
            <w:tcW w:w="300" w:type="dxa"/>
            <w:vAlign w:val="bottom"/>
          </w:tcPr>
          <w:p>
            <w:pPr>
              <w:spacing w:after="0"/>
              <w:rPr>
                <w:sz w:val="21"/>
                <w:szCs w:val="21"/>
                <w:color w:val="auto"/>
              </w:rPr>
            </w:pPr>
          </w:p>
        </w:tc>
        <w:tc>
          <w:tcPr>
            <w:tcW w:w="24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w w:val="98"/>
              </w:rPr>
              <w:t>$</w:t>
            </w:r>
          </w:p>
        </w:tc>
        <w:tc>
          <w:tcPr>
            <w:tcW w:w="1320" w:type="dxa"/>
            <w:vAlign w:val="bottom"/>
          </w:tcPr>
          <w:p>
            <w:pPr>
              <w:jc w:val="right"/>
              <w:spacing w:after="0" w:line="234" w:lineRule="exact"/>
              <w:rPr>
                <w:sz w:val="20"/>
                <w:szCs w:val="20"/>
                <w:color w:val="auto"/>
              </w:rPr>
            </w:pPr>
            <w:r>
              <w:rPr>
                <w:rFonts w:ascii="Calibri" w:cs="Calibri" w:eastAsia="Calibri" w:hAnsi="Calibri"/>
                <w:sz w:val="20"/>
                <w:szCs w:val="20"/>
                <w:color w:val="auto"/>
              </w:rPr>
              <w:t>34.7</w:t>
            </w:r>
          </w:p>
        </w:tc>
        <w:tc>
          <w:tcPr>
            <w:tcW w:w="260" w:type="dxa"/>
            <w:vAlign w:val="bottom"/>
          </w:tcPr>
          <w:p>
            <w:pPr>
              <w:spacing w:after="0"/>
              <w:rPr>
                <w:sz w:val="21"/>
                <w:szCs w:val="21"/>
                <w:color w:val="auto"/>
              </w:rPr>
            </w:pPr>
          </w:p>
        </w:tc>
        <w:tc>
          <w:tcPr>
            <w:tcW w:w="3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56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360" w:type="dxa"/>
            <w:vAlign w:val="bottom"/>
          </w:tcPr>
          <w:p>
            <w:pPr>
              <w:jc w:val="right"/>
              <w:ind w:right="141"/>
              <w:spacing w:after="0" w:line="234" w:lineRule="exact"/>
              <w:rPr>
                <w:sz w:val="20"/>
                <w:szCs w:val="20"/>
                <w:color w:val="auto"/>
              </w:rPr>
            </w:pPr>
            <w:r>
              <w:rPr>
                <w:rFonts w:ascii="Calibri" w:cs="Calibri" w:eastAsia="Calibri" w:hAnsi="Calibri"/>
                <w:sz w:val="20"/>
                <w:szCs w:val="20"/>
                <w:color w:val="auto"/>
                <w:w w:val="98"/>
              </w:rPr>
              <w:t>$</w:t>
            </w:r>
          </w:p>
        </w:tc>
        <w:tc>
          <w:tcPr>
            <w:tcW w:w="1380" w:type="dxa"/>
            <w:vAlign w:val="bottom"/>
            <w:gridSpan w:val="2"/>
          </w:tcPr>
          <w:p>
            <w:pPr>
              <w:jc w:val="right"/>
              <w:ind w:right="32"/>
              <w:spacing w:after="0" w:line="234" w:lineRule="exact"/>
              <w:rPr>
                <w:sz w:val="20"/>
                <w:szCs w:val="20"/>
                <w:color w:val="auto"/>
              </w:rPr>
            </w:pPr>
            <w:r>
              <w:rPr>
                <w:rFonts w:ascii="Calibri" w:cs="Calibri" w:eastAsia="Calibri" w:hAnsi="Calibri"/>
                <w:sz w:val="20"/>
                <w:szCs w:val="20"/>
                <w:color w:val="auto"/>
              </w:rPr>
              <w:t>—</w:t>
            </w:r>
          </w:p>
        </w:tc>
      </w:tr>
      <w:tr>
        <w:trPr>
          <w:trHeight w:val="239"/>
        </w:trPr>
        <w:tc>
          <w:tcPr>
            <w:tcW w:w="394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Interest cost</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30.9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26.7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0.2</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0.2</w:t>
            </w:r>
          </w:p>
        </w:tc>
        <w:tc>
          <w:tcPr>
            <w:tcW w:w="100" w:type="dxa"/>
            <w:vAlign w:val="bottom"/>
            <w:shd w:val="clear" w:color="auto" w:fill="CFF0FC"/>
          </w:tcPr>
          <w:p>
            <w:pPr>
              <w:spacing w:after="0"/>
              <w:rPr>
                <w:sz w:val="20"/>
                <w:szCs w:val="20"/>
                <w:color w:val="auto"/>
              </w:rPr>
            </w:pPr>
          </w:p>
        </w:tc>
      </w:tr>
      <w:tr>
        <w:trPr>
          <w:trHeight w:val="230"/>
        </w:trPr>
        <w:tc>
          <w:tcPr>
            <w:tcW w:w="3940" w:type="dxa"/>
            <w:vAlign w:val="bottom"/>
          </w:tcPr>
          <w:p>
            <w:pPr>
              <w:ind w:left="20"/>
              <w:spacing w:after="0" w:line="229" w:lineRule="exact"/>
              <w:rPr>
                <w:sz w:val="20"/>
                <w:szCs w:val="20"/>
                <w:color w:val="auto"/>
              </w:rPr>
            </w:pPr>
            <w:r>
              <w:rPr>
                <w:rFonts w:ascii="Calibri" w:cs="Calibri" w:eastAsia="Calibri" w:hAnsi="Calibri"/>
                <w:sz w:val="20"/>
                <w:szCs w:val="20"/>
                <w:color w:val="auto"/>
              </w:rPr>
              <w:t>Expected return on assets</w:t>
            </w:r>
          </w:p>
        </w:tc>
        <w:tc>
          <w:tcPr>
            <w:tcW w:w="340" w:type="dxa"/>
            <w:vAlign w:val="bottom"/>
          </w:tcPr>
          <w:p>
            <w:pPr>
              <w:spacing w:after="0"/>
              <w:rPr>
                <w:sz w:val="19"/>
                <w:szCs w:val="19"/>
                <w:color w:val="auto"/>
              </w:rPr>
            </w:pPr>
          </w:p>
        </w:tc>
        <w:tc>
          <w:tcPr>
            <w:tcW w:w="148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(58.0 )</w:t>
            </w:r>
          </w:p>
        </w:tc>
        <w:tc>
          <w:tcPr>
            <w:tcW w:w="240" w:type="dxa"/>
            <w:vAlign w:val="bottom"/>
          </w:tcPr>
          <w:p>
            <w:pPr>
              <w:spacing w:after="0"/>
              <w:rPr>
                <w:sz w:val="19"/>
                <w:szCs w:val="19"/>
                <w:color w:val="auto"/>
              </w:rPr>
            </w:pPr>
          </w:p>
        </w:tc>
        <w:tc>
          <w:tcPr>
            <w:tcW w:w="1580" w:type="dxa"/>
            <w:vAlign w:val="bottom"/>
            <w:gridSpan w:val="2"/>
          </w:tcPr>
          <w:p>
            <w:pPr>
              <w:jc w:val="right"/>
              <w:ind w:right="101"/>
              <w:spacing w:after="0" w:line="229" w:lineRule="exact"/>
              <w:rPr>
                <w:sz w:val="20"/>
                <w:szCs w:val="20"/>
                <w:color w:val="auto"/>
              </w:rPr>
            </w:pPr>
            <w:r>
              <w:rPr>
                <w:rFonts w:ascii="Calibri" w:cs="Calibri" w:eastAsia="Calibri" w:hAnsi="Calibri"/>
                <w:sz w:val="20"/>
                <w:szCs w:val="20"/>
                <w:color w:val="auto"/>
              </w:rPr>
              <w:t>(52.8 )</w:t>
            </w:r>
          </w:p>
        </w:tc>
        <w:tc>
          <w:tcPr>
            <w:tcW w:w="360" w:type="dxa"/>
            <w:vAlign w:val="bottom"/>
          </w:tcPr>
          <w:p>
            <w:pPr>
              <w:spacing w:after="0"/>
              <w:rPr>
                <w:sz w:val="19"/>
                <w:szCs w:val="19"/>
                <w:color w:val="auto"/>
              </w:rPr>
            </w:pPr>
          </w:p>
        </w:tc>
        <w:tc>
          <w:tcPr>
            <w:tcW w:w="156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32"/>
              <w:spacing w:after="0" w:line="229" w:lineRule="exact"/>
              <w:rPr>
                <w:sz w:val="20"/>
                <w:szCs w:val="20"/>
                <w:color w:val="auto"/>
              </w:rPr>
            </w:pPr>
            <w:r>
              <w:rPr>
                <w:rFonts w:ascii="Calibri" w:cs="Calibri" w:eastAsia="Calibri" w:hAnsi="Calibri"/>
                <w:sz w:val="20"/>
                <w:szCs w:val="20"/>
                <w:color w:val="auto"/>
              </w:rPr>
              <w:t>—</w:t>
            </w:r>
          </w:p>
        </w:tc>
      </w:tr>
      <w:tr>
        <w:trPr>
          <w:trHeight w:val="230"/>
        </w:trPr>
        <w:tc>
          <w:tcPr>
            <w:tcW w:w="394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Amortzaton of:</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40" w:type="dxa"/>
            <w:vAlign w:val="bottom"/>
          </w:tcPr>
          <w:p>
            <w:pPr>
              <w:ind w:left="200"/>
              <w:spacing w:after="0" w:line="229" w:lineRule="exact"/>
              <w:rPr>
                <w:sz w:val="20"/>
                <w:szCs w:val="20"/>
                <w:color w:val="auto"/>
              </w:rPr>
            </w:pPr>
            <w:r>
              <w:rPr>
                <w:rFonts w:ascii="Calibri" w:cs="Calibri" w:eastAsia="Calibri" w:hAnsi="Calibri"/>
                <w:sz w:val="20"/>
                <w:szCs w:val="20"/>
                <w:color w:val="auto"/>
              </w:rPr>
              <w:t>Prior service cost (credit)</w:t>
            </w:r>
          </w:p>
        </w:tc>
        <w:tc>
          <w:tcPr>
            <w:tcW w:w="3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line="229" w:lineRule="exact"/>
              <w:rPr>
                <w:sz w:val="20"/>
                <w:szCs w:val="20"/>
                <w:color w:val="auto"/>
              </w:rPr>
            </w:pPr>
            <w:r>
              <w:rPr>
                <w:rFonts w:ascii="Calibri" w:cs="Calibri" w:eastAsia="Calibri" w:hAnsi="Calibri"/>
                <w:sz w:val="20"/>
                <w:szCs w:val="20"/>
                <w:color w:val="auto"/>
              </w:rPr>
              <w:t>0.5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01"/>
              <w:spacing w:after="0" w:line="229" w:lineRule="exact"/>
              <w:rPr>
                <w:sz w:val="20"/>
                <w:szCs w:val="20"/>
                <w:color w:val="auto"/>
              </w:rPr>
            </w:pPr>
            <w:r>
              <w:rPr>
                <w:rFonts w:ascii="Calibri" w:cs="Calibri" w:eastAsia="Calibri" w:hAnsi="Calibri"/>
                <w:sz w:val="20"/>
                <w:szCs w:val="20"/>
                <w:color w:val="auto"/>
              </w:rPr>
              <w:t>(0.5 )</w:t>
            </w:r>
          </w:p>
        </w:tc>
        <w:tc>
          <w:tcPr>
            <w:tcW w:w="360" w:type="dxa"/>
            <w:vAlign w:val="bottom"/>
          </w:tcPr>
          <w:p>
            <w:pPr>
              <w:spacing w:after="0"/>
              <w:rPr>
                <w:sz w:val="19"/>
                <w:szCs w:val="19"/>
                <w:color w:val="auto"/>
              </w:rPr>
            </w:pPr>
          </w:p>
        </w:tc>
        <w:tc>
          <w:tcPr>
            <w:tcW w:w="138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(0.5 )</w:t>
            </w:r>
          </w:p>
        </w:tc>
      </w:tr>
      <w:tr>
        <w:trPr>
          <w:trHeight w:val="229"/>
        </w:trPr>
        <w:tc>
          <w:tcPr>
            <w:tcW w:w="394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Actuarial loss (gain)</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9.2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1"/>
              <w:spacing w:after="0" w:line="229" w:lineRule="exact"/>
              <w:rPr>
                <w:sz w:val="20"/>
                <w:szCs w:val="20"/>
                <w:color w:val="auto"/>
              </w:rPr>
            </w:pPr>
            <w:r>
              <w:rPr>
                <w:rFonts w:ascii="Calibri" w:cs="Calibri" w:eastAsia="Calibri" w:hAnsi="Calibri"/>
                <w:sz w:val="20"/>
                <w:szCs w:val="20"/>
                <w:color w:val="auto"/>
              </w:rPr>
              <w:t>(0.2 )</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(0.1 )</w:t>
            </w:r>
          </w:p>
        </w:tc>
      </w:tr>
      <w:tr>
        <w:trPr>
          <w:trHeight w:val="230"/>
        </w:trPr>
        <w:tc>
          <w:tcPr>
            <w:tcW w:w="3940" w:type="dxa"/>
            <w:vAlign w:val="bottom"/>
          </w:tcPr>
          <w:p>
            <w:pPr>
              <w:ind w:left="20"/>
              <w:spacing w:after="0" w:line="229" w:lineRule="exact"/>
              <w:rPr>
                <w:sz w:val="20"/>
                <w:szCs w:val="20"/>
                <w:color w:val="auto"/>
              </w:rPr>
            </w:pPr>
            <w:r>
              <w:rPr>
                <w:rFonts w:ascii="Calibri" w:cs="Calibri" w:eastAsia="Calibri" w:hAnsi="Calibri"/>
                <w:sz w:val="20"/>
                <w:szCs w:val="20"/>
                <w:color w:val="auto"/>
              </w:rPr>
              <w:t>Setlement charge</w:t>
            </w:r>
          </w:p>
        </w:tc>
        <w:tc>
          <w:tcPr>
            <w:tcW w:w="3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4.5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156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32"/>
              <w:spacing w:after="0" w:line="229" w:lineRule="exact"/>
              <w:rPr>
                <w:sz w:val="20"/>
                <w:szCs w:val="20"/>
                <w:color w:val="auto"/>
              </w:rPr>
            </w:pPr>
            <w:r>
              <w:rPr>
                <w:rFonts w:ascii="Calibri" w:cs="Calibri" w:eastAsia="Calibri" w:hAnsi="Calibri"/>
                <w:sz w:val="20"/>
                <w:szCs w:val="20"/>
                <w:color w:val="auto"/>
              </w:rPr>
              <w:t>—</w:t>
            </w:r>
          </w:p>
        </w:tc>
      </w:tr>
      <w:tr>
        <w:trPr>
          <w:trHeight w:val="263"/>
        </w:trPr>
        <w:tc>
          <w:tcPr>
            <w:tcW w:w="394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Net periodic beneft cost (credit)</w:t>
            </w:r>
          </w:p>
        </w:tc>
        <w:tc>
          <w:tcPr>
            <w:tcW w:w="340" w:type="dxa"/>
            <w:vAlign w:val="bottom"/>
            <w:tcBorders>
              <w:top w:val="single" w:sz="8" w:color="auto"/>
              <w:bottom w:val="single" w:sz="8" w:color="auto"/>
            </w:tcBorders>
            <w:shd w:val="clear" w:color="auto" w:fill="CFF0FC"/>
          </w:tcPr>
          <w:p>
            <w:pPr>
              <w:jc w:val="right"/>
              <w:ind w:right="121"/>
              <w:spacing w:after="0" w:line="223" w:lineRule="exact"/>
              <w:rPr>
                <w:sz w:val="20"/>
                <w:szCs w:val="20"/>
                <w:color w:val="auto"/>
              </w:rPr>
            </w:pPr>
            <w:r>
              <w:rPr>
                <w:rFonts w:ascii="Calibri" w:cs="Calibri" w:eastAsia="Calibri" w:hAnsi="Calibri"/>
                <w:sz w:val="20"/>
                <w:szCs w:val="20"/>
                <w:color w:val="auto"/>
                <w:w w:val="98"/>
              </w:rPr>
              <w:t>$</w:t>
            </w:r>
          </w:p>
        </w:tc>
        <w:tc>
          <w:tcPr>
            <w:tcW w:w="11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20.2</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21"/>
              <w:spacing w:after="0" w:line="223" w:lineRule="exact"/>
              <w:rPr>
                <w:sz w:val="20"/>
                <w:szCs w:val="20"/>
                <w:color w:val="auto"/>
              </w:rPr>
            </w:pPr>
            <w:r>
              <w:rPr>
                <w:rFonts w:ascii="Calibri" w:cs="Calibri" w:eastAsia="Calibri" w:hAnsi="Calibri"/>
                <w:sz w:val="20"/>
                <w:szCs w:val="20"/>
                <w:color w:val="auto"/>
                <w:w w:val="98"/>
              </w:rPr>
              <w:t>$</w:t>
            </w:r>
          </w:p>
        </w:tc>
        <w:tc>
          <w:tcPr>
            <w:tcW w:w="13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18.3</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12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(0.5</w:t>
            </w:r>
          </w:p>
        </w:tc>
        <w:tc>
          <w:tcPr>
            <w:tcW w:w="280" w:type="dxa"/>
            <w:vAlign w:val="bottom"/>
            <w:tcBorders>
              <w:bottom w:val="single" w:sz="8" w:color="CFF0FC"/>
            </w:tcBorders>
            <w:shd w:val="clear" w:color="auto" w:fill="CFF0FC"/>
          </w:tcPr>
          <w:p>
            <w:pPr>
              <w:jc w:val="right"/>
              <w:ind w:right="101"/>
              <w:spacing w:after="0" w:line="223" w:lineRule="exact"/>
              <w:rPr>
                <w:sz w:val="20"/>
                <w:szCs w:val="20"/>
                <w:color w:val="auto"/>
              </w:rPr>
            </w:pPr>
            <w:r>
              <w:rPr>
                <w:rFonts w:ascii="Calibri" w:cs="Calibri" w:eastAsia="Calibri" w:hAnsi="Calibri"/>
                <w:sz w:val="20"/>
                <w:szCs w:val="20"/>
                <w:color w:val="auto"/>
                <w:w w:val="98"/>
              </w:rPr>
              <w:t>)</w:t>
            </w:r>
          </w:p>
        </w:tc>
        <w:tc>
          <w:tcPr>
            <w:tcW w:w="360" w:type="dxa"/>
            <w:vAlign w:val="bottom"/>
            <w:tcBorders>
              <w:top w:val="single" w:sz="8" w:color="auto"/>
              <w:bottom w:val="single" w:sz="8" w:color="auto"/>
            </w:tcBorders>
            <w:shd w:val="clear" w:color="auto" w:fill="CFF0FC"/>
          </w:tcPr>
          <w:p>
            <w:pPr>
              <w:jc w:val="right"/>
              <w:ind w:right="141"/>
              <w:spacing w:after="0" w:line="223" w:lineRule="exact"/>
              <w:rPr>
                <w:sz w:val="20"/>
                <w:szCs w:val="20"/>
                <w:color w:val="auto"/>
              </w:rPr>
            </w:pPr>
            <w:r>
              <w:rPr>
                <w:rFonts w:ascii="Calibri" w:cs="Calibri" w:eastAsia="Calibri" w:hAnsi="Calibri"/>
                <w:sz w:val="20"/>
                <w:szCs w:val="20"/>
                <w:color w:val="auto"/>
                <w:w w:val="98"/>
              </w:rPr>
              <w:t>$</w:t>
            </w:r>
          </w:p>
        </w:tc>
        <w:tc>
          <w:tcPr>
            <w:tcW w:w="12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8"/>
                <w:szCs w:val="18"/>
                <w:color w:val="auto"/>
                <w:w w:val="7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-1962150</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-1945005</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-1962150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-1945005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-1962150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-1945005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1" w:lineRule="exact"/>
        <w:rPr>
          <w:sz w:val="20"/>
          <w:szCs w:val="20"/>
          <w:color w:val="auto"/>
        </w:rPr>
      </w:pPr>
    </w:p>
    <w:p>
      <w:pPr>
        <w:jc w:val="both"/>
        <w:ind w:left="380"/>
        <w:spacing w:after="0" w:line="222" w:lineRule="auto"/>
        <w:rPr>
          <w:sz w:val="20"/>
          <w:szCs w:val="20"/>
          <w:color w:val="auto"/>
        </w:rPr>
      </w:pPr>
      <w:r>
        <w:rPr>
          <w:rFonts w:ascii="Calibri" w:cs="Calibri" w:eastAsia="Calibri" w:hAnsi="Calibri"/>
          <w:sz w:val="20"/>
          <w:szCs w:val="20"/>
          <w:color w:val="auto"/>
        </w:rPr>
        <w:t xml:space="preserve">The service cost component of net periodic beneft (credit) cost is included in </w:t>
      </w:r>
      <w:r>
        <w:rPr>
          <w:rFonts w:ascii="Calibri" w:cs="Calibri" w:eastAsia="Calibri" w:hAnsi="Calibri"/>
          <w:sz w:val="20"/>
          <w:szCs w:val="20"/>
          <w:i w:val="1"/>
          <w:iCs w:val="1"/>
          <w:color w:val="auto"/>
        </w:rPr>
        <w:t>Cost of revenues – products and services</w:t>
      </w:r>
      <w:r>
        <w:rPr>
          <w:rFonts w:ascii="Calibri" w:cs="Calibri" w:eastAsia="Calibri" w:hAnsi="Calibri"/>
          <w:sz w:val="20"/>
          <w:szCs w:val="20"/>
          <w:color w:val="auto"/>
        </w:rPr>
        <w:t xml:space="preserve"> and </w:t>
      </w:r>
      <w:r>
        <w:rPr>
          <w:rFonts w:ascii="Calibri" w:cs="Calibri" w:eastAsia="Calibri" w:hAnsi="Calibri"/>
          <w:sz w:val="20"/>
          <w:szCs w:val="20"/>
          <w:i w:val="1"/>
          <w:iCs w:val="1"/>
          <w:color w:val="auto"/>
        </w:rPr>
        <w:t>Selling,</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general &amp; administratve expenses</w:t>
      </w:r>
      <w:r>
        <w:rPr>
          <w:rFonts w:ascii="Calibri" w:cs="Calibri" w:eastAsia="Calibri" w:hAnsi="Calibri"/>
          <w:sz w:val="20"/>
          <w:szCs w:val="20"/>
          <w:color w:val="auto"/>
        </w:rPr>
        <w:t>. All other components are included in</w:t>
      </w:r>
      <w:r>
        <w:rPr>
          <w:rFonts w:ascii="Calibri" w:cs="Calibri" w:eastAsia="Calibri" w:hAnsi="Calibri"/>
          <w:sz w:val="20"/>
          <w:szCs w:val="20"/>
          <w:i w:val="1"/>
          <w:iCs w:val="1"/>
          <w:color w:val="auto"/>
        </w:rPr>
        <w:t xml:space="preserve"> Other nonoperatng income, net</w:t>
      </w:r>
      <w:r>
        <w:rPr>
          <w:rFonts w:ascii="Calibri" w:cs="Calibri" w:eastAsia="Calibri" w:hAnsi="Calibri"/>
          <w:sz w:val="20"/>
          <w:szCs w:val="20"/>
          <w:color w:val="auto"/>
        </w:rPr>
        <w:t>, in the consolidated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statements of earnings and comprehensive earnings.</w:t>
      </w:r>
    </w:p>
    <w:p>
      <w:pPr>
        <w:jc w:val="center"/>
        <w:spacing w:after="0" w:line="228" w:lineRule="auto"/>
        <w:rPr>
          <w:sz w:val="20"/>
          <w:szCs w:val="20"/>
          <w:color w:val="auto"/>
        </w:rPr>
      </w:pPr>
      <w:r>
        <w:rPr>
          <w:rFonts w:ascii="Calibri" w:cs="Calibri" w:eastAsia="Calibri" w:hAnsi="Calibri"/>
          <w:sz w:val="20"/>
          <w:szCs w:val="20"/>
          <w:color w:val="auto"/>
        </w:rPr>
        <w:t>Page 21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1" w:name="page22"/>
    <w:bookmarkEnd w:id="2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ind w:right="-19"/>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68" w:lineRule="exact"/>
        <w:rPr>
          <w:sz w:val="20"/>
          <w:szCs w:val="20"/>
          <w:color w:val="auto"/>
        </w:rPr>
      </w:pPr>
    </w:p>
    <w:p>
      <w:pPr>
        <w:ind w:left="380" w:right="7720" w:hanging="372"/>
        <w:spacing w:after="0" w:line="322" w:lineRule="auto"/>
        <w:tabs>
          <w:tab w:leader="none" w:pos="372"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Contngencies Legal and Administratve Proceedings</w:t>
      </w:r>
    </w:p>
    <w:p>
      <w:pPr>
        <w:spacing w:after="0" w:line="19" w:lineRule="exact"/>
        <w:rPr>
          <w:rFonts w:ascii="Calibri" w:cs="Calibri" w:eastAsia="Calibri" w:hAnsi="Calibri"/>
          <w:sz w:val="20"/>
          <w:szCs w:val="20"/>
          <w:b w:val="1"/>
          <w:bCs w:val="1"/>
          <w:color w:val="auto"/>
        </w:rPr>
      </w:pPr>
    </w:p>
    <w:p>
      <w:pPr>
        <w:jc w:val="both"/>
        <w:ind w:left="380"/>
        <w:spacing w:after="0" w:line="223"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engaged in certain legal and administratve proceedings incidental to its normal business actvites, including maters relatng to environmental protecton. The Company considers various factors in assessing the probable outcome of each mater, including but not limited to the nature of existng legal proceedings and claims, the asserted or possible damages, the jurisdicton and venue of the case and whether it is a jury trial, the progress of the case, existng law and precedent, the opinions or views of legal counsel and other advisers, the Company’s experience in similar cases and the experience of other companies, the facts available to the Company at the tme of assessment, and how the Company intends to respond to the proceeding or claim. The Company’s assessment of these factors may change over tme as proceedings or claims progress. The Company believes the probability is remote that the outcome of any currently pending legal or administratve proceeding will result in a material loss to the Company as a whole, based on currently available facts.</w:t>
      </w:r>
    </w:p>
    <w:p>
      <w:pPr>
        <w:spacing w:after="0" w:line="203"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Borrowing Arrangements with Afliate</w:t>
      </w:r>
    </w:p>
    <w:p>
      <w:pPr>
        <w:spacing w:after="0" w:line="103" w:lineRule="exact"/>
        <w:rPr>
          <w:rFonts w:ascii="Calibri" w:cs="Calibri" w:eastAsia="Calibri" w:hAnsi="Calibri"/>
          <w:sz w:val="20"/>
          <w:szCs w:val="20"/>
          <w:b w:val="1"/>
          <w:bCs w:val="1"/>
          <w:color w:val="auto"/>
        </w:rPr>
      </w:pPr>
    </w:p>
    <w:p>
      <w:pPr>
        <w:jc w:val="both"/>
        <w:ind w:left="380"/>
        <w:spacing w:after="0" w:line="226" w:lineRule="auto"/>
        <w:rPr>
          <w:rFonts w:ascii="Calibri" w:cs="Calibri" w:eastAsia="Calibri" w:hAnsi="Calibri"/>
          <w:sz w:val="20"/>
          <w:szCs w:val="20"/>
          <w:b w:val="1"/>
          <w:bCs w:val="1"/>
          <w:color w:val="auto"/>
        </w:rPr>
      </w:pPr>
      <w:r>
        <w:rPr>
          <w:rFonts w:ascii="Calibri" w:cs="Calibri" w:eastAsia="Calibri" w:hAnsi="Calibri"/>
          <w:sz w:val="20"/>
          <w:szCs w:val="20"/>
          <w:color w:val="auto"/>
        </w:rPr>
        <w:t>The Company is a guarantor with an unconsolidated afliate for a $15.0 million revolving line of credit agreement with Truist Bank that has a maturity date of March 2024, of which $3.6 million was outstanding at September 30, 2022. The afliate has agreed to reimburse and indemnify the Company for any payments and expenses the Company may incur from this agreement. The Company holds a lien on the afliate’s membership interest in a joint venture as collateral for payment under the revolving line of credit.</w:t>
      </w:r>
    </w:p>
    <w:p>
      <w:pPr>
        <w:spacing w:after="0" w:line="92" w:lineRule="exact"/>
        <w:rPr>
          <w:rFonts w:ascii="Calibri" w:cs="Calibri" w:eastAsia="Calibri" w:hAnsi="Calibri"/>
          <w:sz w:val="20"/>
          <w:szCs w:val="20"/>
          <w:b w:val="1"/>
          <w:bCs w:val="1"/>
          <w:color w:val="auto"/>
        </w:rPr>
      </w:pPr>
    </w:p>
    <w:p>
      <w:pPr>
        <w:jc w:val="both"/>
        <w:ind w:left="380"/>
        <w:spacing w:after="0" w:line="227" w:lineRule="auto"/>
        <w:rPr>
          <w:rFonts w:ascii="Calibri" w:cs="Calibri" w:eastAsia="Calibri" w:hAnsi="Calibri"/>
          <w:sz w:val="20"/>
          <w:szCs w:val="20"/>
          <w:b w:val="1"/>
          <w:bCs w:val="1"/>
          <w:color w:val="auto"/>
        </w:rPr>
      </w:pPr>
      <w:r>
        <w:rPr>
          <w:rFonts w:ascii="Calibri" w:cs="Calibri" w:eastAsia="Calibri" w:hAnsi="Calibri"/>
          <w:sz w:val="20"/>
          <w:szCs w:val="20"/>
          <w:color w:val="auto"/>
        </w:rPr>
        <w:t>In additon, the Company has a $6.0 million interest-only loan receivable, due December 31, 2024, outstanding from this unconsolidated afliate at September 30, 2022 and December 31, 2021. The interest rate is one-month LIBOR plus a current spread of 1.63%.</w:t>
      </w:r>
    </w:p>
    <w:p>
      <w:pPr>
        <w:spacing w:after="0" w:line="202"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Leters of Credit</w:t>
      </w:r>
    </w:p>
    <w:p>
      <w:pPr>
        <w:spacing w:after="0" w:line="103" w:lineRule="exact"/>
        <w:rPr>
          <w:rFonts w:ascii="Calibri" w:cs="Calibri" w:eastAsia="Calibri" w:hAnsi="Calibri"/>
          <w:sz w:val="20"/>
          <w:szCs w:val="20"/>
          <w:b w:val="1"/>
          <w:bCs w:val="1"/>
          <w:color w:val="auto"/>
        </w:rPr>
      </w:pPr>
    </w:p>
    <w:p>
      <w:pPr>
        <w:jc w:val="both"/>
        <w:ind w:left="380"/>
        <w:spacing w:after="0" w:line="222" w:lineRule="auto"/>
        <w:rPr>
          <w:rFonts w:ascii="Calibri" w:cs="Calibri" w:eastAsia="Calibri" w:hAnsi="Calibri"/>
          <w:sz w:val="20"/>
          <w:szCs w:val="20"/>
          <w:b w:val="1"/>
          <w:bCs w:val="1"/>
          <w:color w:val="auto"/>
        </w:rPr>
      </w:pPr>
      <w:r>
        <w:rPr>
          <w:rFonts w:ascii="Calibri" w:cs="Calibri" w:eastAsia="Calibri" w:hAnsi="Calibri"/>
          <w:sz w:val="20"/>
          <w:szCs w:val="20"/>
          <w:color w:val="auto"/>
        </w:rPr>
        <w:t>In the normal course of business, the Company provides certain third partes with standby leter of credit agreements guaranteeing payment for certain insurance claims, contract performance and permit requirements. At September 30, 2022, the Company was contngently liable for $21.8 million in leters of credit.</w:t>
      </w:r>
    </w:p>
    <w:p>
      <w:pPr>
        <w:spacing w:after="0" w:line="311"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Business Segments</w:t>
      </w:r>
    </w:p>
    <w:p>
      <w:pPr>
        <w:spacing w:after="0" w:line="103" w:lineRule="exact"/>
        <w:rPr>
          <w:rFonts w:ascii="Calibri" w:cs="Calibri" w:eastAsia="Calibri" w:hAnsi="Calibri"/>
          <w:sz w:val="20"/>
          <w:szCs w:val="20"/>
          <w:b w:val="1"/>
          <w:bCs w:val="1"/>
          <w:color w:val="auto"/>
        </w:rPr>
      </w:pPr>
    </w:p>
    <w:p>
      <w:pPr>
        <w:jc w:val="both"/>
        <w:ind w:left="380"/>
        <w:spacing w:after="0" w:line="224" w:lineRule="auto"/>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contains two reportable segments: the East Group and the West Group. The Company also has a Magnesia Specialtes segment. The Company’s evaluaton of performance and allocaton of resources are based primarily on earnings from operatons. Consolidated earnings from operatons include total revenues less cost of revenues; selling, general and administratve expenses; acquisiton and integraton expenses; other operatng income and expenses, net; and exclude interest expense; other nonoperatng income and expenses, net; and income taxes. Corporate loss from operatons primarily includes depreciaton; expenses for corporate administratve functons; acquisiton and integraton expenses; and other nonrecurring income</w:t>
      </w:r>
    </w:p>
    <w:p>
      <w:pPr>
        <w:spacing w:after="0" w:line="1" w:lineRule="exact"/>
        <w:rPr>
          <w:sz w:val="20"/>
          <w:szCs w:val="20"/>
          <w:color w:val="auto"/>
        </w:rPr>
      </w:pPr>
    </w:p>
    <w:p>
      <w:pPr>
        <w:jc w:val="center"/>
        <w:ind w:left="640" w:right="60"/>
        <w:spacing w:after="0" w:line="225" w:lineRule="auto"/>
        <w:rPr>
          <w:sz w:val="20"/>
          <w:szCs w:val="20"/>
          <w:color w:val="auto"/>
        </w:rPr>
      </w:pPr>
      <w:r>
        <w:rPr>
          <w:rFonts w:ascii="Calibri" w:cs="Calibri" w:eastAsia="Calibri" w:hAnsi="Calibri"/>
          <w:sz w:val="20"/>
          <w:szCs w:val="20"/>
          <w:color w:val="auto"/>
        </w:rPr>
        <w:t>and expenses not reported in one of the operatng segments. All long-term debt and related interest expense are held at Corporate. Page 22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2" w:name="page23"/>
    <w:bookmarkEnd w:id="2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ind w:left="380"/>
        <w:spacing w:after="0" w:line="223" w:lineRule="auto"/>
        <w:rPr>
          <w:sz w:val="20"/>
          <w:szCs w:val="20"/>
          <w:color w:val="auto"/>
        </w:rPr>
      </w:pPr>
      <w:r>
        <w:rPr>
          <w:rFonts w:ascii="Calibri" w:cs="Calibri" w:eastAsia="Calibri" w:hAnsi="Calibri"/>
          <w:sz w:val="20"/>
          <w:szCs w:val="20"/>
          <w:color w:val="auto"/>
        </w:rPr>
        <w:t>The following table displays selected fnancial data for the Company’s reportable segments. Total revenues, as presented on the consolidated statements of earnings and comprehensive earnings, exclude intersegment revenues, which represent sales from one segment to another segment and are eliminated in consolidaton. Total revenues, product and services revenues, and earnings (loss) from operatons refect contnuing operatons only. For the nine months ended September 30, 2022, earnings from operatons for the West Group include a nonrecurring gain on a divestture of $151.9 million.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60" w:type="dxa"/>
            <w:vAlign w:val="bottom"/>
            <w:gridSpan w:val="5"/>
          </w:tcPr>
          <w:p>
            <w:pPr>
              <w:jc w:val="right"/>
              <w:ind w:right="961"/>
              <w:spacing w:after="0"/>
              <w:rPr>
                <w:sz w:val="20"/>
                <w:szCs w:val="20"/>
                <w:color w:val="auto"/>
              </w:rPr>
            </w:pPr>
            <w:r>
              <w:rPr>
                <w:rFonts w:ascii="Calibri" w:cs="Calibri" w:eastAsia="Calibri" w:hAnsi="Calibri"/>
                <w:sz w:val="20"/>
                <w:szCs w:val="20"/>
                <w:color w:val="auto"/>
              </w:rPr>
              <w:t>Three Months Ended</w:t>
            </w:r>
          </w:p>
        </w:tc>
        <w:tc>
          <w:tcPr>
            <w:tcW w:w="340" w:type="dxa"/>
            <w:vAlign w:val="bottom"/>
          </w:tcPr>
          <w:p>
            <w:pPr>
              <w:spacing w:after="0"/>
              <w:rPr>
                <w:sz w:val="21"/>
                <w:szCs w:val="21"/>
                <w:color w:val="auto"/>
              </w:rPr>
            </w:pPr>
          </w:p>
        </w:tc>
        <w:tc>
          <w:tcPr>
            <w:tcW w:w="3040" w:type="dxa"/>
            <w:vAlign w:val="bottom"/>
            <w:gridSpan w:val="5"/>
          </w:tcPr>
          <w:p>
            <w:pPr>
              <w:jc w:val="right"/>
              <w:ind w:right="920"/>
              <w:spacing w:after="0"/>
              <w:rPr>
                <w:sz w:val="20"/>
                <w:szCs w:val="20"/>
                <w:color w:val="auto"/>
              </w:rPr>
            </w:pPr>
            <w:r>
              <w:rPr>
                <w:rFonts w:ascii="Calibri" w:cs="Calibri" w:eastAsia="Calibri" w:hAnsi="Calibri"/>
                <w:sz w:val="20"/>
                <w:szCs w:val="20"/>
                <w:color w:val="auto"/>
              </w:rPr>
              <w:t>Nine Months Ended</w:t>
            </w:r>
          </w:p>
        </w:tc>
      </w:tr>
      <w:tr>
        <w:trPr>
          <w:trHeight w:val="247"/>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line="234" w:lineRule="exact"/>
              <w:rPr>
                <w:sz w:val="20"/>
                <w:szCs w:val="20"/>
                <w:color w:val="auto"/>
              </w:rPr>
            </w:pPr>
            <w:r>
              <w:rPr>
                <w:rFonts w:ascii="Calibri" w:cs="Calibri" w:eastAsia="Calibri" w:hAnsi="Calibri"/>
                <w:sz w:val="20"/>
                <w:szCs w:val="20"/>
                <w:color w:val="auto"/>
              </w:rPr>
              <w:t>September 30,</w:t>
            </w:r>
          </w:p>
        </w:tc>
        <w:tc>
          <w:tcPr>
            <w:tcW w:w="10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spacing w:after="0" w:line="234" w:lineRule="exact"/>
              <w:rPr>
                <w:sz w:val="20"/>
                <w:szCs w:val="20"/>
                <w:color w:val="auto"/>
              </w:rPr>
            </w:pPr>
            <w:r>
              <w:rPr>
                <w:rFonts w:ascii="Calibri" w:cs="Calibri" w:eastAsia="Calibri" w:hAnsi="Calibri"/>
                <w:sz w:val="20"/>
                <w:szCs w:val="20"/>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61"/>
              <w:spacing w:after="0" w:line="229" w:lineRule="exact"/>
              <w:rPr>
                <w:sz w:val="20"/>
                <w:szCs w:val="20"/>
                <w:color w:val="auto"/>
              </w:rPr>
            </w:pPr>
            <w:r>
              <w:rPr>
                <w:rFonts w:ascii="Calibri" w:cs="Calibri" w:eastAsia="Calibri" w:hAnsi="Calibri"/>
                <w:sz w:val="20"/>
                <w:szCs w:val="20"/>
                <w:color w:val="auto"/>
              </w:rPr>
              <w:t>2022</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1"/>
              <w:spacing w:after="0" w:line="229" w:lineRule="exact"/>
              <w:rPr>
                <w:sz w:val="20"/>
                <w:szCs w:val="20"/>
                <w:color w:val="auto"/>
              </w:rPr>
            </w:pPr>
            <w:r>
              <w:rPr>
                <w:rFonts w:ascii="Calibri" w:cs="Calibri" w:eastAsia="Calibri" w:hAnsi="Calibri"/>
                <w:sz w:val="20"/>
                <w:szCs w:val="20"/>
                <w:color w:val="auto"/>
              </w:rPr>
              <w:t>2021</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41"/>
              <w:spacing w:after="0" w:line="229" w:lineRule="exact"/>
              <w:rPr>
                <w:sz w:val="20"/>
                <w:szCs w:val="20"/>
                <w:color w:val="auto"/>
              </w:rPr>
            </w:pPr>
            <w:r>
              <w:rPr>
                <w:rFonts w:ascii="Calibri" w:cs="Calibri" w:eastAsia="Calibri" w:hAnsi="Calibri"/>
                <w:sz w:val="20"/>
                <w:szCs w:val="20"/>
                <w:color w:val="auto"/>
              </w:rPr>
              <w:t>2022</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1"/>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tcPr>
          <w:p>
            <w:pPr>
              <w:jc w:val="right"/>
              <w:ind w:right="21"/>
              <w:spacing w:after="0" w:line="214" w:lineRule="exact"/>
              <w:rPr>
                <w:sz w:val="20"/>
                <w:szCs w:val="20"/>
                <w:color w:val="auto"/>
              </w:rPr>
            </w:pPr>
            <w:r>
              <w:rPr>
                <w:rFonts w:ascii="Calibri" w:cs="Calibri" w:eastAsia="Calibri" w:hAnsi="Calibri"/>
                <w:sz w:val="20"/>
                <w:szCs w:val="20"/>
                <w:i w:val="1"/>
                <w:iCs w:val="1"/>
                <w:color w:val="auto"/>
                <w:w w:val="80"/>
              </w:rPr>
              <w:t>in</w:t>
            </w:r>
          </w:p>
        </w:tc>
        <w:tc>
          <w:tcPr>
            <w:tcW w:w="1500" w:type="dxa"/>
            <w:vAlign w:val="bottom"/>
            <w:gridSpan w:val="2"/>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Total revenues: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ind w:left="20"/>
              <w:spacing w:after="0" w:line="229" w:lineRule="exact"/>
              <w:rPr>
                <w:sz w:val="20"/>
                <w:szCs w:val="20"/>
                <w:color w:val="auto"/>
              </w:rPr>
            </w:pPr>
            <w:r>
              <w:rPr>
                <w:rFonts w:ascii="Calibri" w:cs="Calibri" w:eastAsia="Calibri" w:hAnsi="Calibri"/>
                <w:sz w:val="20"/>
                <w:szCs w:val="20"/>
                <w:color w:val="auto"/>
              </w:rPr>
              <w:t>East Group</w:t>
            </w:r>
          </w:p>
        </w:tc>
        <w:tc>
          <w:tcPr>
            <w:tcW w:w="320" w:type="dxa"/>
            <w:vAlign w:val="bottom"/>
          </w:tcPr>
          <w:p>
            <w:pPr>
              <w:jc w:val="right"/>
              <w:ind w:right="121"/>
              <w:spacing w:after="0" w:line="229" w:lineRule="exact"/>
              <w:rPr>
                <w:sz w:val="20"/>
                <w:szCs w:val="20"/>
                <w:color w:val="auto"/>
              </w:rPr>
            </w:pPr>
            <w:r>
              <w:rPr>
                <w:rFonts w:ascii="Calibri" w:cs="Calibri" w:eastAsia="Calibri" w:hAnsi="Calibri"/>
                <w:sz w:val="20"/>
                <w:szCs w:val="20"/>
                <w:color w:val="auto"/>
                <w:w w:val="78"/>
              </w:rPr>
              <w:t>$</w:t>
            </w:r>
          </w:p>
        </w:tc>
        <w:tc>
          <w:tcPr>
            <w:tcW w:w="1200" w:type="dxa"/>
            <w:vAlign w:val="bottom"/>
          </w:tcPr>
          <w:p>
            <w:pPr>
              <w:jc w:val="right"/>
              <w:spacing w:after="0" w:line="229" w:lineRule="exact"/>
              <w:rPr>
                <w:sz w:val="20"/>
                <w:szCs w:val="20"/>
                <w:color w:val="auto"/>
              </w:rPr>
            </w:pPr>
            <w:r>
              <w:rPr>
                <w:rFonts w:ascii="Calibri" w:cs="Calibri" w:eastAsia="Calibri" w:hAnsi="Calibri"/>
                <w:sz w:val="20"/>
                <w:szCs w:val="20"/>
                <w:color w:val="auto"/>
              </w:rPr>
              <w:t>773.6</w:t>
            </w:r>
          </w:p>
        </w:tc>
        <w:tc>
          <w:tcPr>
            <w:tcW w:w="300" w:type="dxa"/>
            <w:vAlign w:val="bottom"/>
          </w:tcPr>
          <w:p>
            <w:pPr>
              <w:spacing w:after="0"/>
              <w:rPr>
                <w:sz w:val="19"/>
                <w:szCs w:val="19"/>
                <w:color w:val="auto"/>
              </w:rPr>
            </w:pPr>
          </w:p>
        </w:tc>
        <w:tc>
          <w:tcPr>
            <w:tcW w:w="480" w:type="dxa"/>
            <w:vAlign w:val="bottom"/>
          </w:tcPr>
          <w:p>
            <w:pPr>
              <w:jc w:val="right"/>
              <w:ind w:right="261"/>
              <w:spacing w:after="0" w:line="229" w:lineRule="exact"/>
              <w:rPr>
                <w:sz w:val="20"/>
                <w:szCs w:val="20"/>
                <w:color w:val="auto"/>
              </w:rPr>
            </w:pPr>
            <w:r>
              <w:rPr>
                <w:rFonts w:ascii="Calibri" w:cs="Calibri" w:eastAsia="Calibri" w:hAnsi="Calibri"/>
                <w:sz w:val="20"/>
                <w:szCs w:val="20"/>
                <w:color w:val="auto"/>
                <w:w w:val="98"/>
              </w:rPr>
              <w:t>$</w:t>
            </w:r>
          </w:p>
        </w:tc>
        <w:tc>
          <w:tcPr>
            <w:tcW w:w="1020" w:type="dxa"/>
            <w:vAlign w:val="bottom"/>
          </w:tcPr>
          <w:p>
            <w:pPr>
              <w:jc w:val="right"/>
              <w:spacing w:after="0" w:line="229" w:lineRule="exact"/>
              <w:rPr>
                <w:sz w:val="20"/>
                <w:szCs w:val="20"/>
                <w:color w:val="auto"/>
              </w:rPr>
            </w:pPr>
            <w:r>
              <w:rPr>
                <w:rFonts w:ascii="Calibri" w:cs="Calibri" w:eastAsia="Calibri" w:hAnsi="Calibri"/>
                <w:sz w:val="20"/>
                <w:szCs w:val="20"/>
                <w:color w:val="auto"/>
              </w:rPr>
              <w:t>684.1</w:t>
            </w:r>
          </w:p>
        </w:tc>
        <w:tc>
          <w:tcPr>
            <w:tcW w:w="260" w:type="dxa"/>
            <w:vAlign w:val="bottom"/>
          </w:tcPr>
          <w:p>
            <w:pPr>
              <w:spacing w:after="0"/>
              <w:rPr>
                <w:sz w:val="19"/>
                <w:szCs w:val="19"/>
                <w:color w:val="auto"/>
              </w:rPr>
            </w:pPr>
          </w:p>
        </w:tc>
        <w:tc>
          <w:tcPr>
            <w:tcW w:w="340" w:type="dxa"/>
            <w:vAlign w:val="bottom"/>
          </w:tcPr>
          <w:p>
            <w:pPr>
              <w:ind w:left="20"/>
              <w:spacing w:after="0" w:line="229"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line="229" w:lineRule="exact"/>
              <w:rPr>
                <w:sz w:val="20"/>
                <w:szCs w:val="20"/>
                <w:color w:val="auto"/>
              </w:rPr>
            </w:pPr>
            <w:r>
              <w:rPr>
                <w:rFonts w:ascii="Calibri" w:cs="Calibri" w:eastAsia="Calibri" w:hAnsi="Calibri"/>
                <w:sz w:val="20"/>
                <w:szCs w:val="20"/>
                <w:color w:val="auto"/>
              </w:rPr>
              <w:t>1,866.9</w:t>
            </w:r>
          </w:p>
        </w:tc>
        <w:tc>
          <w:tcPr>
            <w:tcW w:w="280" w:type="dxa"/>
            <w:vAlign w:val="bottom"/>
          </w:tcPr>
          <w:p>
            <w:pPr>
              <w:spacing w:after="0"/>
              <w:rPr>
                <w:sz w:val="19"/>
                <w:szCs w:val="19"/>
                <w:color w:val="auto"/>
              </w:rPr>
            </w:pPr>
          </w:p>
        </w:tc>
        <w:tc>
          <w:tcPr>
            <w:tcW w:w="500" w:type="dxa"/>
            <w:vAlign w:val="bottom"/>
          </w:tcPr>
          <w:p>
            <w:pPr>
              <w:jc w:val="right"/>
              <w:ind w:right="301"/>
              <w:spacing w:after="0" w:line="229" w:lineRule="exact"/>
              <w:rPr>
                <w:sz w:val="20"/>
                <w:szCs w:val="20"/>
                <w:color w:val="auto"/>
              </w:rPr>
            </w:pPr>
            <w:r>
              <w:rPr>
                <w:rFonts w:ascii="Calibri" w:cs="Calibri" w:eastAsia="Calibri" w:hAnsi="Calibri"/>
                <w:sz w:val="20"/>
                <w:szCs w:val="20"/>
                <w:color w:val="auto"/>
                <w:w w:val="78"/>
              </w:rPr>
              <w:t>$</w:t>
            </w:r>
          </w:p>
        </w:tc>
        <w:tc>
          <w:tcPr>
            <w:tcW w:w="1000" w:type="dxa"/>
            <w:vAlign w:val="bottom"/>
          </w:tcPr>
          <w:p>
            <w:pPr>
              <w:jc w:val="right"/>
              <w:spacing w:after="0" w:line="229" w:lineRule="exact"/>
              <w:rPr>
                <w:sz w:val="20"/>
                <w:szCs w:val="20"/>
                <w:color w:val="auto"/>
              </w:rPr>
            </w:pPr>
            <w:r>
              <w:rPr>
                <w:rFonts w:ascii="Calibri" w:cs="Calibri" w:eastAsia="Calibri" w:hAnsi="Calibri"/>
                <w:sz w:val="20"/>
                <w:szCs w:val="20"/>
                <w:color w:val="auto"/>
              </w:rPr>
              <w:t>1,714.4</w:t>
            </w:r>
          </w:p>
        </w:tc>
        <w:tc>
          <w:tcPr>
            <w:tcW w:w="100" w:type="dxa"/>
            <w:vAlign w:val="bottom"/>
          </w:tcPr>
          <w:p>
            <w:pPr>
              <w:spacing w:after="0"/>
              <w:rPr>
                <w:sz w:val="19"/>
                <w:szCs w:val="19"/>
                <w:color w:val="auto"/>
              </w:rPr>
            </w:pPr>
          </w:p>
        </w:tc>
      </w:tr>
      <w:tr>
        <w:trPr>
          <w:trHeight w:val="229"/>
        </w:trPr>
        <w:tc>
          <w:tcPr>
            <w:tcW w:w="428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West Group</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962.4</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794.8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2,582.9</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1,978.2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28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32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Calibri" w:cs="Calibri" w:eastAsia="Calibri" w:hAnsi="Calibri"/>
                <w:sz w:val="20"/>
                <w:szCs w:val="20"/>
                <w:color w:val="auto"/>
              </w:rPr>
              <w:t>1,736.0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Calibri" w:cs="Calibri" w:eastAsia="Calibri" w:hAnsi="Calibri"/>
                <w:sz w:val="20"/>
                <w:szCs w:val="20"/>
                <w:color w:val="auto"/>
              </w:rPr>
              <w:t>1,478.9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Calibri" w:cs="Calibri" w:eastAsia="Calibri" w:hAnsi="Calibri"/>
                <w:sz w:val="20"/>
                <w:szCs w:val="20"/>
                <w:color w:val="auto"/>
              </w:rPr>
              <w:t>4,449.8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Calibri" w:cs="Calibri" w:eastAsia="Calibri" w:hAnsi="Calibri"/>
                <w:sz w:val="20"/>
                <w:szCs w:val="20"/>
                <w:color w:val="auto"/>
              </w:rPr>
              <w:t>3,692.6</w:t>
            </w:r>
          </w:p>
        </w:tc>
        <w:tc>
          <w:tcPr>
            <w:tcW w:w="100" w:type="dxa"/>
            <w:vAlign w:val="bottom"/>
          </w:tcPr>
          <w:p>
            <w:pPr>
              <w:spacing w:after="0"/>
              <w:rPr>
                <w:sz w:val="19"/>
                <w:szCs w:val="19"/>
                <w:color w:val="auto"/>
              </w:rPr>
            </w:pPr>
          </w:p>
        </w:tc>
      </w:tr>
      <w:tr>
        <w:trPr>
          <w:trHeight w:val="229"/>
        </w:trPr>
        <w:tc>
          <w:tcPr>
            <w:tcW w:w="428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75.7</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78.4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234.4</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225.0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280" w:type="dxa"/>
            <w:vAlign w:val="bottom"/>
          </w:tcPr>
          <w:p>
            <w:pPr>
              <w:ind w:left="20"/>
              <w:spacing w:after="0" w:line="223" w:lineRule="exact"/>
              <w:rPr>
                <w:sz w:val="20"/>
                <w:szCs w:val="20"/>
                <w:color w:val="auto"/>
              </w:rPr>
            </w:pPr>
            <w:r>
              <w:rPr>
                <w:rFonts w:ascii="Calibri" w:cs="Calibri" w:eastAsia="Calibri" w:hAnsi="Calibri"/>
                <w:sz w:val="20"/>
                <w:szCs w:val="20"/>
                <w:color w:val="auto"/>
              </w:rPr>
              <w:t>Total</w:t>
            </w:r>
          </w:p>
        </w:tc>
        <w:tc>
          <w:tcPr>
            <w:tcW w:w="320" w:type="dxa"/>
            <w:vAlign w:val="bottom"/>
            <w:tcBorders>
              <w:bottom w:val="single" w:sz="8" w:color="auto"/>
            </w:tcBorders>
          </w:tcPr>
          <w:p>
            <w:pPr>
              <w:jc w:val="right"/>
              <w:ind w:right="121"/>
              <w:spacing w:after="0" w:line="223"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1,811.7</w:t>
            </w:r>
          </w:p>
        </w:tc>
        <w:tc>
          <w:tcPr>
            <w:tcW w:w="300" w:type="dxa"/>
            <w:vAlign w:val="bottom"/>
          </w:tcPr>
          <w:p>
            <w:pPr>
              <w:spacing w:after="0"/>
              <w:rPr>
                <w:sz w:val="19"/>
                <w:szCs w:val="19"/>
                <w:color w:val="auto"/>
              </w:rPr>
            </w:pPr>
          </w:p>
        </w:tc>
        <w:tc>
          <w:tcPr>
            <w:tcW w:w="480" w:type="dxa"/>
            <w:vAlign w:val="bottom"/>
            <w:tcBorders>
              <w:bottom w:val="single" w:sz="8" w:color="auto"/>
            </w:tcBorders>
          </w:tcPr>
          <w:p>
            <w:pPr>
              <w:jc w:val="right"/>
              <w:ind w:right="261"/>
              <w:spacing w:after="0" w:line="223" w:lineRule="exact"/>
              <w:rPr>
                <w:sz w:val="20"/>
                <w:szCs w:val="20"/>
                <w:color w:val="auto"/>
              </w:rPr>
            </w:pPr>
            <w:r>
              <w:rPr>
                <w:rFonts w:ascii="Calibri" w:cs="Calibri" w:eastAsia="Calibri" w:hAnsi="Calibri"/>
                <w:sz w:val="20"/>
                <w:szCs w:val="20"/>
                <w:color w:val="auto"/>
                <w:w w:val="98"/>
              </w:rPr>
              <w:t>$</w:t>
            </w:r>
          </w:p>
        </w:tc>
        <w:tc>
          <w:tcPr>
            <w:tcW w:w="102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1,557.3</w:t>
            </w:r>
          </w:p>
        </w:tc>
        <w:tc>
          <w:tcPr>
            <w:tcW w:w="260" w:type="dxa"/>
            <w:vAlign w:val="bottom"/>
          </w:tcPr>
          <w:p>
            <w:pPr>
              <w:spacing w:after="0"/>
              <w:rPr>
                <w:sz w:val="19"/>
                <w:szCs w:val="19"/>
                <w:color w:val="auto"/>
              </w:rPr>
            </w:pPr>
          </w:p>
        </w:tc>
        <w:tc>
          <w:tcPr>
            <w:tcW w:w="340" w:type="dxa"/>
            <w:vAlign w:val="bottom"/>
            <w:tcBorders>
              <w:bottom w:val="single" w:sz="8" w:color="auto"/>
            </w:tcBorders>
          </w:tcPr>
          <w:p>
            <w:pPr>
              <w:ind w:left="20"/>
              <w:spacing w:after="0" w:line="223" w:lineRule="exact"/>
              <w:rPr>
                <w:sz w:val="20"/>
                <w:szCs w:val="20"/>
                <w:color w:val="auto"/>
              </w:rPr>
            </w:pPr>
            <w:r>
              <w:rPr>
                <w:rFonts w:ascii="Calibri" w:cs="Calibri" w:eastAsia="Calibri" w:hAnsi="Calibri"/>
                <w:sz w:val="20"/>
                <w:szCs w:val="20"/>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4,684.2</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301"/>
              <w:spacing w:after="0" w:line="223" w:lineRule="exact"/>
              <w:rPr>
                <w:sz w:val="20"/>
                <w:szCs w:val="20"/>
                <w:color w:val="auto"/>
              </w:rPr>
            </w:pPr>
            <w:r>
              <w:rPr>
                <w:rFonts w:ascii="Calibri" w:cs="Calibri" w:eastAsia="Calibri" w:hAnsi="Calibri"/>
                <w:sz w:val="20"/>
                <w:szCs w:val="20"/>
                <w:color w:val="auto"/>
                <w:w w:val="78"/>
              </w:rPr>
              <w:t>$</w:t>
            </w:r>
          </w:p>
        </w:tc>
        <w:tc>
          <w:tcPr>
            <w:tcW w:w="10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3,917.6</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80" w:type="dxa"/>
            <w:vAlign w:val="bottom"/>
          </w:tcPr>
          <w:p>
            <w:pPr>
              <w:ind w:left="20"/>
              <w:spacing w:after="0" w:line="229" w:lineRule="exact"/>
              <w:rPr>
                <w:sz w:val="20"/>
                <w:szCs w:val="20"/>
                <w:color w:val="auto"/>
              </w:rPr>
            </w:pPr>
            <w:r>
              <w:rPr>
                <w:rFonts w:ascii="Calibri" w:cs="Calibri" w:eastAsia="Calibri" w:hAnsi="Calibri"/>
                <w:sz w:val="20"/>
                <w:szCs w:val="20"/>
                <w:b w:val="1"/>
                <w:bCs w:val="1"/>
                <w:color w:val="auto"/>
              </w:rPr>
              <w:t>Products and services revenues: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East Group</w:t>
            </w:r>
          </w:p>
        </w:tc>
        <w:tc>
          <w:tcPr>
            <w:tcW w:w="320" w:type="dxa"/>
            <w:vAlign w:val="bottom"/>
            <w:shd w:val="clear" w:color="auto" w:fill="CFF0FC"/>
          </w:tcPr>
          <w:p>
            <w:pPr>
              <w:jc w:val="right"/>
              <w:ind w:right="121"/>
              <w:spacing w:after="0" w:line="229" w:lineRule="exact"/>
              <w:rPr>
                <w:sz w:val="20"/>
                <w:szCs w:val="20"/>
                <w:color w:val="auto"/>
              </w:rPr>
            </w:pPr>
            <w:r>
              <w:rPr>
                <w:rFonts w:ascii="Calibri" w:cs="Calibri" w:eastAsia="Calibri" w:hAnsi="Calibri"/>
                <w:sz w:val="20"/>
                <w:szCs w:val="20"/>
                <w:color w:val="auto"/>
                <w:w w:val="78"/>
              </w:rPr>
              <w:t>$</w:t>
            </w:r>
          </w:p>
        </w:tc>
        <w:tc>
          <w:tcPr>
            <w:tcW w:w="12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728.5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61"/>
              <w:spacing w:after="0" w:line="229" w:lineRule="exact"/>
              <w:rPr>
                <w:sz w:val="20"/>
                <w:szCs w:val="20"/>
                <w:color w:val="auto"/>
              </w:rPr>
            </w:pPr>
            <w:r>
              <w:rPr>
                <w:rFonts w:ascii="Calibri" w:cs="Calibri" w:eastAsia="Calibri" w:hAnsi="Calibri"/>
                <w:sz w:val="20"/>
                <w:szCs w:val="20"/>
                <w:color w:val="auto"/>
                <w:w w:val="98"/>
              </w:rPr>
              <w:t>$</w:t>
            </w:r>
          </w:p>
        </w:tc>
        <w:tc>
          <w:tcPr>
            <w:tcW w:w="10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641.8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w:t>
            </w:r>
          </w:p>
        </w:tc>
        <w:tc>
          <w:tcPr>
            <w:tcW w:w="1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1,755.5</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1"/>
              <w:spacing w:after="0" w:line="229" w:lineRule="exact"/>
              <w:rPr>
                <w:sz w:val="20"/>
                <w:szCs w:val="20"/>
                <w:color w:val="auto"/>
              </w:rPr>
            </w:pPr>
            <w:r>
              <w:rPr>
                <w:rFonts w:ascii="Calibri" w:cs="Calibri" w:eastAsia="Calibri" w:hAnsi="Calibri"/>
                <w:sz w:val="20"/>
                <w:szCs w:val="20"/>
                <w:color w:val="auto"/>
                <w:w w:val="78"/>
              </w:rPr>
              <w:t>$</w:t>
            </w:r>
          </w:p>
        </w:tc>
        <w:tc>
          <w:tcPr>
            <w:tcW w:w="10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1,610.9</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ind w:left="20"/>
              <w:spacing w:after="0" w:line="229" w:lineRule="exact"/>
              <w:rPr>
                <w:sz w:val="20"/>
                <w:szCs w:val="20"/>
                <w:color w:val="auto"/>
              </w:rPr>
            </w:pPr>
            <w:r>
              <w:rPr>
                <w:rFonts w:ascii="Calibri" w:cs="Calibri" w:eastAsia="Calibri" w:hAnsi="Calibri"/>
                <w:sz w:val="20"/>
                <w:szCs w:val="20"/>
                <w:color w:val="auto"/>
              </w:rPr>
              <w:t>West Group</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883.0</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749.0</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2,382.2</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1,861.9</w:t>
            </w:r>
          </w:p>
        </w:tc>
        <w:tc>
          <w:tcPr>
            <w:tcW w:w="100" w:type="dxa"/>
            <w:vAlign w:val="bottom"/>
          </w:tcPr>
          <w:p>
            <w:pPr>
              <w:spacing w:after="0"/>
              <w:rPr>
                <w:sz w:val="19"/>
                <w:szCs w:val="19"/>
                <w:color w:val="auto"/>
              </w:rPr>
            </w:pPr>
          </w:p>
        </w:tc>
      </w:tr>
      <w:tr>
        <w:trPr>
          <w:trHeight w:val="223"/>
        </w:trPr>
        <w:tc>
          <w:tcPr>
            <w:tcW w:w="428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1,611.5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1,390.8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4,137.7</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3,472.8</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69.0</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71.9</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214.4</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207.1</w:t>
            </w:r>
          </w:p>
        </w:tc>
        <w:tc>
          <w:tcPr>
            <w:tcW w:w="100" w:type="dxa"/>
            <w:vAlign w:val="bottom"/>
          </w:tcPr>
          <w:p>
            <w:pPr>
              <w:spacing w:after="0"/>
              <w:rPr>
                <w:sz w:val="19"/>
                <w:szCs w:val="19"/>
                <w:color w:val="auto"/>
              </w:rPr>
            </w:pPr>
          </w:p>
        </w:tc>
      </w:tr>
      <w:tr>
        <w:trPr>
          <w:trHeight w:val="263"/>
        </w:trPr>
        <w:tc>
          <w:tcPr>
            <w:tcW w:w="428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320" w:type="dxa"/>
            <w:vAlign w:val="bottom"/>
            <w:tcBorders>
              <w:bottom w:val="single" w:sz="8" w:color="auto"/>
            </w:tcBorders>
            <w:shd w:val="clear" w:color="auto" w:fill="CFF0FC"/>
          </w:tcPr>
          <w:p>
            <w:pPr>
              <w:jc w:val="right"/>
              <w:ind w:right="121"/>
              <w:spacing w:after="0" w:line="223" w:lineRule="exact"/>
              <w:rPr>
                <w:sz w:val="20"/>
                <w:szCs w:val="20"/>
                <w:color w:val="auto"/>
              </w:rPr>
            </w:pPr>
            <w:r>
              <w:rPr>
                <w:rFonts w:ascii="Calibri" w:cs="Calibri" w:eastAsia="Calibri" w:hAnsi="Calibri"/>
                <w:sz w:val="20"/>
                <w:szCs w:val="20"/>
                <w:color w:val="auto"/>
                <w:w w:val="78"/>
              </w:rPr>
              <w:t>$</w:t>
            </w:r>
          </w:p>
        </w:tc>
        <w:tc>
          <w:tcPr>
            <w:tcW w:w="120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1,680.5</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61"/>
              <w:spacing w:after="0" w:line="223" w:lineRule="exact"/>
              <w:rPr>
                <w:sz w:val="20"/>
                <w:szCs w:val="20"/>
                <w:color w:val="auto"/>
              </w:rPr>
            </w:pPr>
            <w:r>
              <w:rPr>
                <w:rFonts w:ascii="Calibri" w:cs="Calibri" w:eastAsia="Calibri" w:hAnsi="Calibri"/>
                <w:sz w:val="20"/>
                <w:szCs w:val="20"/>
                <w:color w:val="auto"/>
                <w:w w:val="98"/>
              </w:rPr>
              <w:t>$</w:t>
            </w:r>
          </w:p>
        </w:tc>
        <w:tc>
          <w:tcPr>
            <w:tcW w:w="102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1,462.7</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4,352.1</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01"/>
              <w:spacing w:after="0" w:line="223" w:lineRule="exact"/>
              <w:rPr>
                <w:sz w:val="20"/>
                <w:szCs w:val="20"/>
                <w:color w:val="auto"/>
              </w:rPr>
            </w:pPr>
            <w:r>
              <w:rPr>
                <w:rFonts w:ascii="Calibri" w:cs="Calibri" w:eastAsia="Calibri" w:hAnsi="Calibri"/>
                <w:sz w:val="20"/>
                <w:szCs w:val="20"/>
                <w:color w:val="auto"/>
                <w:w w:val="78"/>
              </w:rPr>
              <w:t>$</w:t>
            </w:r>
          </w:p>
        </w:tc>
        <w:tc>
          <w:tcPr>
            <w:tcW w:w="100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3,679.9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Earnings (Loss) from operatons: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ind w:left="20"/>
              <w:spacing w:after="0" w:line="229" w:lineRule="exact"/>
              <w:rPr>
                <w:sz w:val="20"/>
                <w:szCs w:val="20"/>
                <w:color w:val="auto"/>
              </w:rPr>
            </w:pPr>
            <w:r>
              <w:rPr>
                <w:rFonts w:ascii="Calibri" w:cs="Calibri" w:eastAsia="Calibri" w:hAnsi="Calibri"/>
                <w:sz w:val="20"/>
                <w:szCs w:val="20"/>
                <w:color w:val="auto"/>
              </w:rPr>
              <w:t>East Group</w:t>
            </w:r>
          </w:p>
        </w:tc>
        <w:tc>
          <w:tcPr>
            <w:tcW w:w="320" w:type="dxa"/>
            <w:vAlign w:val="bottom"/>
          </w:tcPr>
          <w:p>
            <w:pPr>
              <w:jc w:val="right"/>
              <w:ind w:right="121"/>
              <w:spacing w:after="0" w:line="229" w:lineRule="exact"/>
              <w:rPr>
                <w:sz w:val="20"/>
                <w:szCs w:val="20"/>
                <w:color w:val="auto"/>
              </w:rPr>
            </w:pPr>
            <w:r>
              <w:rPr>
                <w:rFonts w:ascii="Calibri" w:cs="Calibri" w:eastAsia="Calibri" w:hAnsi="Calibri"/>
                <w:sz w:val="20"/>
                <w:szCs w:val="20"/>
                <w:color w:val="auto"/>
                <w:w w:val="78"/>
              </w:rPr>
              <w:t>$</w:t>
            </w:r>
          </w:p>
        </w:tc>
        <w:tc>
          <w:tcPr>
            <w:tcW w:w="1200" w:type="dxa"/>
            <w:vAlign w:val="bottom"/>
          </w:tcPr>
          <w:p>
            <w:pPr>
              <w:jc w:val="right"/>
              <w:spacing w:after="0" w:line="229" w:lineRule="exact"/>
              <w:rPr>
                <w:sz w:val="20"/>
                <w:szCs w:val="20"/>
                <w:color w:val="auto"/>
              </w:rPr>
            </w:pPr>
            <w:r>
              <w:rPr>
                <w:rFonts w:ascii="Calibri" w:cs="Calibri" w:eastAsia="Calibri" w:hAnsi="Calibri"/>
                <w:sz w:val="20"/>
                <w:szCs w:val="20"/>
                <w:color w:val="auto"/>
              </w:rPr>
              <w:t>239.4</w:t>
            </w:r>
          </w:p>
        </w:tc>
        <w:tc>
          <w:tcPr>
            <w:tcW w:w="300" w:type="dxa"/>
            <w:vAlign w:val="bottom"/>
          </w:tcPr>
          <w:p>
            <w:pPr>
              <w:spacing w:after="0"/>
              <w:rPr>
                <w:sz w:val="19"/>
                <w:szCs w:val="19"/>
                <w:color w:val="auto"/>
              </w:rPr>
            </w:pPr>
          </w:p>
        </w:tc>
        <w:tc>
          <w:tcPr>
            <w:tcW w:w="480" w:type="dxa"/>
            <w:vAlign w:val="bottom"/>
          </w:tcPr>
          <w:p>
            <w:pPr>
              <w:jc w:val="right"/>
              <w:ind w:right="261"/>
              <w:spacing w:after="0" w:line="229" w:lineRule="exact"/>
              <w:rPr>
                <w:sz w:val="20"/>
                <w:szCs w:val="20"/>
                <w:color w:val="auto"/>
              </w:rPr>
            </w:pPr>
            <w:r>
              <w:rPr>
                <w:rFonts w:ascii="Calibri" w:cs="Calibri" w:eastAsia="Calibri" w:hAnsi="Calibri"/>
                <w:sz w:val="20"/>
                <w:szCs w:val="20"/>
                <w:color w:val="auto"/>
                <w:w w:val="98"/>
              </w:rPr>
              <w:t>$</w:t>
            </w:r>
          </w:p>
        </w:tc>
        <w:tc>
          <w:tcPr>
            <w:tcW w:w="1020" w:type="dxa"/>
            <w:vAlign w:val="bottom"/>
          </w:tcPr>
          <w:p>
            <w:pPr>
              <w:jc w:val="right"/>
              <w:spacing w:after="0" w:line="229" w:lineRule="exact"/>
              <w:rPr>
                <w:sz w:val="20"/>
                <w:szCs w:val="20"/>
                <w:color w:val="auto"/>
              </w:rPr>
            </w:pPr>
            <w:r>
              <w:rPr>
                <w:rFonts w:ascii="Calibri" w:cs="Calibri" w:eastAsia="Calibri" w:hAnsi="Calibri"/>
                <w:sz w:val="20"/>
                <w:szCs w:val="20"/>
                <w:color w:val="auto"/>
              </w:rPr>
              <w:t>205.8</w:t>
            </w:r>
          </w:p>
        </w:tc>
        <w:tc>
          <w:tcPr>
            <w:tcW w:w="260" w:type="dxa"/>
            <w:vAlign w:val="bottom"/>
          </w:tcPr>
          <w:p>
            <w:pPr>
              <w:spacing w:after="0"/>
              <w:rPr>
                <w:sz w:val="19"/>
                <w:szCs w:val="19"/>
                <w:color w:val="auto"/>
              </w:rPr>
            </w:pPr>
          </w:p>
        </w:tc>
        <w:tc>
          <w:tcPr>
            <w:tcW w:w="340" w:type="dxa"/>
            <w:vAlign w:val="bottom"/>
          </w:tcPr>
          <w:p>
            <w:pPr>
              <w:ind w:left="20"/>
              <w:spacing w:after="0" w:line="229"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spacing w:after="0" w:line="229" w:lineRule="exact"/>
              <w:rPr>
                <w:sz w:val="20"/>
                <w:szCs w:val="20"/>
                <w:color w:val="auto"/>
              </w:rPr>
            </w:pPr>
            <w:r>
              <w:rPr>
                <w:rFonts w:ascii="Calibri" w:cs="Calibri" w:eastAsia="Calibri" w:hAnsi="Calibri"/>
                <w:sz w:val="20"/>
                <w:szCs w:val="20"/>
                <w:color w:val="auto"/>
              </w:rPr>
              <w:t>478.0</w:t>
            </w:r>
          </w:p>
        </w:tc>
        <w:tc>
          <w:tcPr>
            <w:tcW w:w="280" w:type="dxa"/>
            <w:vAlign w:val="bottom"/>
          </w:tcPr>
          <w:p>
            <w:pPr>
              <w:spacing w:after="0"/>
              <w:rPr>
                <w:sz w:val="19"/>
                <w:szCs w:val="19"/>
                <w:color w:val="auto"/>
              </w:rPr>
            </w:pPr>
          </w:p>
        </w:tc>
        <w:tc>
          <w:tcPr>
            <w:tcW w:w="500" w:type="dxa"/>
            <w:vAlign w:val="bottom"/>
          </w:tcPr>
          <w:p>
            <w:pPr>
              <w:jc w:val="right"/>
              <w:ind w:right="301"/>
              <w:spacing w:after="0" w:line="229" w:lineRule="exact"/>
              <w:rPr>
                <w:sz w:val="20"/>
                <w:szCs w:val="20"/>
                <w:color w:val="auto"/>
              </w:rPr>
            </w:pPr>
            <w:r>
              <w:rPr>
                <w:rFonts w:ascii="Calibri" w:cs="Calibri" w:eastAsia="Calibri" w:hAnsi="Calibri"/>
                <w:sz w:val="20"/>
                <w:szCs w:val="20"/>
                <w:color w:val="auto"/>
                <w:w w:val="78"/>
              </w:rPr>
              <w:t>$</w:t>
            </w:r>
          </w:p>
        </w:tc>
        <w:tc>
          <w:tcPr>
            <w:tcW w:w="1000" w:type="dxa"/>
            <w:vAlign w:val="bottom"/>
          </w:tcPr>
          <w:p>
            <w:pPr>
              <w:jc w:val="right"/>
              <w:spacing w:after="0" w:line="229" w:lineRule="exact"/>
              <w:rPr>
                <w:sz w:val="20"/>
                <w:szCs w:val="20"/>
                <w:color w:val="auto"/>
              </w:rPr>
            </w:pPr>
            <w:r>
              <w:rPr>
                <w:rFonts w:ascii="Calibri" w:cs="Calibri" w:eastAsia="Calibri" w:hAnsi="Calibri"/>
                <w:sz w:val="20"/>
                <w:szCs w:val="20"/>
                <w:color w:val="auto"/>
              </w:rPr>
              <w:t>465.3</w:t>
            </w:r>
          </w:p>
        </w:tc>
        <w:tc>
          <w:tcPr>
            <w:tcW w:w="100" w:type="dxa"/>
            <w:vAlign w:val="bottom"/>
          </w:tcPr>
          <w:p>
            <w:pPr>
              <w:spacing w:after="0"/>
              <w:rPr>
                <w:sz w:val="19"/>
                <w:szCs w:val="19"/>
                <w:color w:val="auto"/>
              </w:rPr>
            </w:pPr>
          </w:p>
        </w:tc>
      </w:tr>
      <w:tr>
        <w:trPr>
          <w:trHeight w:val="229"/>
        </w:trPr>
        <w:tc>
          <w:tcPr>
            <w:tcW w:w="428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West Group</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159.7</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150.6</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477.2</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284.2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28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32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Calibri" w:cs="Calibri" w:eastAsia="Calibri" w:hAnsi="Calibri"/>
                <w:sz w:val="20"/>
                <w:szCs w:val="20"/>
                <w:color w:val="auto"/>
              </w:rPr>
              <w:t>399.1</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line="223" w:lineRule="exact"/>
              <w:rPr>
                <w:sz w:val="20"/>
                <w:szCs w:val="20"/>
                <w:color w:val="auto"/>
              </w:rPr>
            </w:pPr>
            <w:r>
              <w:rPr>
                <w:rFonts w:ascii="Calibri" w:cs="Calibri" w:eastAsia="Calibri" w:hAnsi="Calibri"/>
                <w:sz w:val="20"/>
                <w:szCs w:val="20"/>
                <w:color w:val="auto"/>
              </w:rPr>
              <w:t>356.4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Calibri" w:cs="Calibri" w:eastAsia="Calibri" w:hAnsi="Calibri"/>
                <w:sz w:val="20"/>
                <w:szCs w:val="20"/>
                <w:color w:val="auto"/>
              </w:rPr>
              <w:t>955.2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Calibri" w:cs="Calibri" w:eastAsia="Calibri" w:hAnsi="Calibri"/>
                <w:sz w:val="20"/>
                <w:szCs w:val="20"/>
                <w:color w:val="auto"/>
              </w:rPr>
              <w:t>749.5</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23.1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58.4</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69.8</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ind w:left="20"/>
              <w:spacing w:after="0" w:line="229" w:lineRule="exact"/>
              <w:rPr>
                <w:sz w:val="20"/>
                <w:szCs w:val="20"/>
                <w:color w:val="auto"/>
              </w:rPr>
            </w:pPr>
            <w:r>
              <w:rPr>
                <w:rFonts w:ascii="Calibri" w:cs="Calibri" w:eastAsia="Calibri" w:hAnsi="Calibri"/>
                <w:sz w:val="20"/>
                <w:szCs w:val="20"/>
                <w:color w:val="auto"/>
              </w:rPr>
              <w:t>Corporate</w:t>
            </w:r>
          </w:p>
        </w:tc>
        <w:tc>
          <w:tcPr>
            <w:tcW w:w="320" w:type="dxa"/>
            <w:vAlign w:val="bottom"/>
          </w:tcPr>
          <w:p>
            <w:pPr>
              <w:spacing w:after="0"/>
              <w:rPr>
                <w:sz w:val="19"/>
                <w:szCs w:val="19"/>
                <w:color w:val="auto"/>
              </w:rPr>
            </w:pPr>
          </w:p>
        </w:tc>
        <w:tc>
          <w:tcPr>
            <w:tcW w:w="150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(9.7 )</w:t>
            </w:r>
          </w:p>
        </w:tc>
        <w:tc>
          <w:tcPr>
            <w:tcW w:w="480" w:type="dxa"/>
            <w:vAlign w:val="bottom"/>
          </w:tcPr>
          <w:p>
            <w:pPr>
              <w:spacing w:after="0"/>
              <w:rPr>
                <w:sz w:val="19"/>
                <w:szCs w:val="19"/>
                <w:color w:val="auto"/>
              </w:rPr>
            </w:pPr>
          </w:p>
        </w:tc>
        <w:tc>
          <w:tcPr>
            <w:tcW w:w="1280" w:type="dxa"/>
            <w:vAlign w:val="bottom"/>
            <w:gridSpan w:val="2"/>
          </w:tcPr>
          <w:p>
            <w:pPr>
              <w:jc w:val="right"/>
              <w:ind w:right="101"/>
              <w:spacing w:after="0" w:line="229" w:lineRule="exact"/>
              <w:rPr>
                <w:sz w:val="20"/>
                <w:szCs w:val="20"/>
                <w:color w:val="auto"/>
              </w:rPr>
            </w:pPr>
            <w:r>
              <w:rPr>
                <w:rFonts w:ascii="Calibri" w:cs="Calibri" w:eastAsia="Calibri" w:hAnsi="Calibri"/>
                <w:sz w:val="20"/>
                <w:szCs w:val="20"/>
                <w:color w:val="auto"/>
              </w:rPr>
              <w:t>(22.6 )</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line="229" w:lineRule="exact"/>
              <w:rPr>
                <w:sz w:val="20"/>
                <w:szCs w:val="20"/>
                <w:color w:val="auto"/>
              </w:rPr>
            </w:pPr>
            <w:r>
              <w:rPr>
                <w:rFonts w:ascii="Calibri" w:cs="Calibri" w:eastAsia="Calibri" w:hAnsi="Calibri"/>
                <w:sz w:val="20"/>
                <w:szCs w:val="20"/>
                <w:color w:val="auto"/>
              </w:rPr>
              <w:t>(69.2 )</w:t>
            </w:r>
          </w:p>
        </w:tc>
        <w:tc>
          <w:tcPr>
            <w:tcW w:w="500" w:type="dxa"/>
            <w:vAlign w:val="bottom"/>
          </w:tcPr>
          <w:p>
            <w:pPr>
              <w:spacing w:after="0"/>
              <w:rPr>
                <w:sz w:val="19"/>
                <w:szCs w:val="19"/>
                <w:color w:val="auto"/>
              </w:rPr>
            </w:pPr>
          </w:p>
        </w:tc>
        <w:tc>
          <w:tcPr>
            <w:tcW w:w="110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(55.6 )</w:t>
            </w:r>
          </w:p>
        </w:tc>
      </w:tr>
      <w:tr>
        <w:trPr>
          <w:trHeight w:val="263"/>
        </w:trPr>
        <w:tc>
          <w:tcPr>
            <w:tcW w:w="428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320" w:type="dxa"/>
            <w:vAlign w:val="bottom"/>
            <w:tcBorders>
              <w:top w:val="single" w:sz="8" w:color="auto"/>
              <w:bottom w:val="single" w:sz="8" w:color="auto"/>
            </w:tcBorders>
            <w:shd w:val="clear" w:color="auto" w:fill="CFF0FC"/>
          </w:tcPr>
          <w:p>
            <w:pPr>
              <w:jc w:val="right"/>
              <w:ind w:right="121"/>
              <w:spacing w:after="0" w:line="223" w:lineRule="exact"/>
              <w:rPr>
                <w:sz w:val="20"/>
                <w:szCs w:val="20"/>
                <w:color w:val="auto"/>
              </w:rPr>
            </w:pPr>
            <w:r>
              <w:rPr>
                <w:rFonts w:ascii="Calibri" w:cs="Calibri" w:eastAsia="Calibri" w:hAnsi="Calibri"/>
                <w:sz w:val="20"/>
                <w:szCs w:val="20"/>
                <w:color w:val="auto"/>
                <w:w w:val="78"/>
              </w:rPr>
              <w:t>$</w:t>
            </w:r>
          </w:p>
        </w:tc>
        <w:tc>
          <w:tcPr>
            <w:tcW w:w="12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405.9</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61"/>
              <w:spacing w:after="0" w:line="223" w:lineRule="exact"/>
              <w:rPr>
                <w:sz w:val="20"/>
                <w:szCs w:val="20"/>
                <w:color w:val="auto"/>
              </w:rPr>
            </w:pPr>
            <w:r>
              <w:rPr>
                <w:rFonts w:ascii="Calibri" w:cs="Calibri" w:eastAsia="Calibri" w:hAnsi="Calibri"/>
                <w:sz w:val="20"/>
                <w:szCs w:val="20"/>
                <w:color w:val="auto"/>
                <w:w w:val="98"/>
              </w:rPr>
              <w:t>$</w:t>
            </w:r>
          </w:p>
        </w:tc>
        <w:tc>
          <w:tcPr>
            <w:tcW w:w="10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356.9</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1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944.4</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top w:val="single" w:sz="8" w:color="auto"/>
              <w:bottom w:val="single" w:sz="8" w:color="auto"/>
            </w:tcBorders>
            <w:shd w:val="clear" w:color="auto" w:fill="CFF0FC"/>
          </w:tcPr>
          <w:p>
            <w:pPr>
              <w:jc w:val="right"/>
              <w:ind w:right="301"/>
              <w:spacing w:after="0" w:line="223" w:lineRule="exact"/>
              <w:rPr>
                <w:sz w:val="20"/>
                <w:szCs w:val="20"/>
                <w:color w:val="auto"/>
              </w:rPr>
            </w:pPr>
            <w:r>
              <w:rPr>
                <w:rFonts w:ascii="Calibri" w:cs="Calibri" w:eastAsia="Calibri" w:hAnsi="Calibri"/>
                <w:sz w:val="20"/>
                <w:szCs w:val="20"/>
                <w:color w:val="auto"/>
                <w:w w:val="78"/>
              </w:rPr>
              <w:t>$</w:t>
            </w:r>
          </w:p>
        </w:tc>
        <w:tc>
          <w:tcPr>
            <w:tcW w:w="10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763.7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-2750820</wp:posOffset>
            </wp:positionV>
            <wp:extent cx="76835"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-2750820</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-2750820</wp:posOffset>
            </wp:positionV>
            <wp:extent cx="6858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-2451100</wp:posOffset>
            </wp:positionV>
            <wp:extent cx="76835"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-2451100</wp:posOffset>
            </wp:positionV>
            <wp:extent cx="6858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-2451100</wp:posOffset>
            </wp:positionV>
            <wp:extent cx="6858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-1233805</wp:posOffset>
            </wp:positionV>
            <wp:extent cx="345440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54400" cy="17145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-625475</wp:posOffset>
            </wp:positionV>
            <wp:extent cx="7683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-625475</wp:posOffset>
            </wp:positionV>
            <wp:extent cx="6858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-625475</wp:posOffset>
            </wp:positionV>
            <wp:extent cx="6858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188"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Revenues and Gross Proft</w:t>
      </w:r>
    </w:p>
    <w:p>
      <w:pPr>
        <w:spacing w:after="0" w:line="103" w:lineRule="exact"/>
        <w:rPr>
          <w:rFonts w:ascii="Calibri" w:cs="Calibri" w:eastAsia="Calibri" w:hAnsi="Calibri"/>
          <w:sz w:val="20"/>
          <w:szCs w:val="20"/>
          <w:b w:val="1"/>
          <w:bCs w:val="1"/>
          <w:color w:val="auto"/>
        </w:rPr>
      </w:pPr>
    </w:p>
    <w:p>
      <w:pPr>
        <w:jc w:val="both"/>
        <w:ind w:left="38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Building Materials business includes the aggregates, cement, ready mixed concrete and asphalt and paving product lines. Cement and ready mixed concrete product lines and paving services reside only in the West Group. The following table, which is reconciled to consolidated amounts, provides total revenues and gross proft (loss) by product line and refects contnuing operatons only.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80" w:type="dxa"/>
            <w:vAlign w:val="bottom"/>
            <w:gridSpan w:val="5"/>
          </w:tcPr>
          <w:p>
            <w:pPr>
              <w:jc w:val="right"/>
              <w:ind w:right="1141"/>
              <w:spacing w:after="0"/>
              <w:rPr>
                <w:sz w:val="20"/>
                <w:szCs w:val="20"/>
                <w:color w:val="auto"/>
              </w:rPr>
            </w:pPr>
            <w:r>
              <w:rPr>
                <w:rFonts w:ascii="Calibri" w:cs="Calibri" w:eastAsia="Calibri" w:hAnsi="Calibri"/>
                <w:sz w:val="20"/>
                <w:szCs w:val="20"/>
                <w:color w:val="auto"/>
              </w:rPr>
              <w:t>Three Months Ended</w:t>
            </w:r>
          </w:p>
        </w:tc>
        <w:tc>
          <w:tcPr>
            <w:tcW w:w="580" w:type="dxa"/>
            <w:vAlign w:val="bottom"/>
          </w:tcPr>
          <w:p>
            <w:pPr>
              <w:spacing w:after="0"/>
              <w:rPr>
                <w:sz w:val="21"/>
                <w:szCs w:val="21"/>
                <w:color w:val="auto"/>
              </w:rPr>
            </w:pPr>
          </w:p>
        </w:tc>
        <w:tc>
          <w:tcPr>
            <w:tcW w:w="2920" w:type="dxa"/>
            <w:vAlign w:val="bottom"/>
            <w:gridSpan w:val="5"/>
          </w:tcPr>
          <w:p>
            <w:pPr>
              <w:jc w:val="right"/>
              <w:ind w:right="980"/>
              <w:spacing w:after="0"/>
              <w:rPr>
                <w:sz w:val="20"/>
                <w:szCs w:val="20"/>
                <w:color w:val="auto"/>
              </w:rPr>
            </w:pPr>
            <w:r>
              <w:rPr>
                <w:rFonts w:ascii="Calibri" w:cs="Calibri" w:eastAsia="Calibri" w:hAnsi="Calibri"/>
                <w:sz w:val="20"/>
                <w:szCs w:val="20"/>
                <w:color w:val="auto"/>
              </w:rPr>
              <w:t>Nine Months Ended</w:t>
            </w:r>
          </w:p>
        </w:tc>
      </w:tr>
      <w:tr>
        <w:trPr>
          <w:trHeight w:val="247"/>
        </w:trPr>
        <w:tc>
          <w:tcPr>
            <w:tcW w:w="39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spacing w:after="0" w:line="234" w:lineRule="exact"/>
              <w:rPr>
                <w:sz w:val="20"/>
                <w:szCs w:val="20"/>
                <w:color w:val="auto"/>
              </w:rPr>
            </w:pPr>
            <w:r>
              <w:rPr>
                <w:rFonts w:ascii="Calibri" w:cs="Calibri" w:eastAsia="Calibri" w:hAnsi="Calibri"/>
                <w:sz w:val="20"/>
                <w:szCs w:val="20"/>
                <w:color w:val="auto"/>
              </w:rPr>
              <w:t>September 30,</w:t>
            </w:r>
          </w:p>
        </w:tc>
        <w:tc>
          <w:tcPr>
            <w:tcW w:w="10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line="234" w:lineRule="exact"/>
              <w:rPr>
                <w:sz w:val="20"/>
                <w:szCs w:val="20"/>
                <w:color w:val="auto"/>
              </w:rPr>
            </w:pPr>
            <w:r>
              <w:rPr>
                <w:rFonts w:ascii="Calibri" w:cs="Calibri" w:eastAsia="Calibri" w:hAnsi="Calibri"/>
                <w:sz w:val="20"/>
                <w:szCs w:val="20"/>
                <w:color w:val="auto"/>
              </w:rPr>
              <w:t>September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81"/>
              <w:spacing w:after="0" w:line="229" w:lineRule="exact"/>
              <w:rPr>
                <w:sz w:val="20"/>
                <w:szCs w:val="20"/>
                <w:color w:val="auto"/>
              </w:rPr>
            </w:pPr>
            <w:r>
              <w:rPr>
                <w:rFonts w:ascii="Calibri" w:cs="Calibri" w:eastAsia="Calibri" w:hAnsi="Calibri"/>
                <w:sz w:val="20"/>
                <w:szCs w:val="20"/>
                <w:color w:val="auto"/>
              </w:rPr>
              <w:t>2022</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1"/>
              <w:spacing w:after="0" w:line="229" w:lineRule="exact"/>
              <w:rPr>
                <w:sz w:val="20"/>
                <w:szCs w:val="20"/>
                <w:color w:val="auto"/>
              </w:rPr>
            </w:pPr>
            <w:r>
              <w:rPr>
                <w:rFonts w:ascii="Calibri" w:cs="Calibri" w:eastAsia="Calibri" w:hAnsi="Calibri"/>
                <w:sz w:val="20"/>
                <w:szCs w:val="20"/>
                <w:color w:val="auto"/>
              </w:rPr>
              <w:t>2021</w:t>
            </w:r>
          </w:p>
        </w:tc>
        <w:tc>
          <w:tcPr>
            <w:tcW w:w="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81"/>
              <w:spacing w:after="0" w:line="229" w:lineRule="exact"/>
              <w:rPr>
                <w:sz w:val="20"/>
                <w:szCs w:val="20"/>
                <w:color w:val="auto"/>
              </w:rPr>
            </w:pPr>
            <w:r>
              <w:rPr>
                <w:rFonts w:ascii="Calibri" w:cs="Calibri" w:eastAsia="Calibri" w:hAnsi="Calibri"/>
                <w:sz w:val="20"/>
                <w:szCs w:val="20"/>
                <w:color w:val="auto"/>
                <w:w w:val="93"/>
              </w:rPr>
              <w:t>2022</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1"/>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360" w:type="dxa"/>
            <w:vAlign w:val="bottom"/>
          </w:tcPr>
          <w:p>
            <w:pPr>
              <w:jc w:val="right"/>
              <w:ind w:right="81"/>
              <w:spacing w:after="0" w:line="214" w:lineRule="exact"/>
              <w:rPr>
                <w:sz w:val="20"/>
                <w:szCs w:val="20"/>
                <w:color w:val="auto"/>
              </w:rPr>
            </w:pPr>
            <w:r>
              <w:rPr>
                <w:rFonts w:ascii="Calibri" w:cs="Calibri" w:eastAsia="Calibri" w:hAnsi="Calibri"/>
                <w:sz w:val="20"/>
                <w:szCs w:val="20"/>
                <w:i w:val="1"/>
                <w:iCs w:val="1"/>
                <w:color w:val="auto"/>
              </w:rPr>
              <w:t>in</w:t>
            </w:r>
          </w:p>
        </w:tc>
        <w:tc>
          <w:tcPr>
            <w:tcW w:w="580" w:type="dxa"/>
            <w:vAlign w:val="bottom"/>
          </w:tcPr>
          <w:p>
            <w:pPr>
              <w:spacing w:after="0" w:line="223" w:lineRule="exact"/>
              <w:rPr>
                <w:sz w:val="20"/>
                <w:szCs w:val="20"/>
                <w:color w:val="auto"/>
              </w:rPr>
            </w:pPr>
            <w:r>
              <w:rPr>
                <w:rFonts w:ascii="Calibri" w:cs="Calibri" w:eastAsia="Calibri" w:hAnsi="Calibri"/>
                <w:sz w:val="20"/>
                <w:szCs w:val="20"/>
                <w:i w:val="1"/>
                <w:iCs w:val="1"/>
                <w:color w:val="auto"/>
                <w:w w:val="80"/>
              </w:rPr>
              <w:t>Millions)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Total revenues: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Products and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200"/>
              <w:spacing w:after="0" w:line="229" w:lineRule="exact"/>
              <w:rPr>
                <w:sz w:val="20"/>
                <w:szCs w:val="20"/>
                <w:color w:val="auto"/>
              </w:rPr>
            </w:pPr>
            <w:r>
              <w:rPr>
                <w:rFonts w:ascii="Calibri" w:cs="Calibri" w:eastAsia="Calibri" w:hAnsi="Calibri"/>
                <w:sz w:val="20"/>
                <w:szCs w:val="20"/>
                <w:color w:val="auto"/>
              </w:rPr>
              <w:t>Aggregates</w:t>
            </w:r>
          </w:p>
        </w:tc>
        <w:tc>
          <w:tcPr>
            <w:tcW w:w="360" w:type="dxa"/>
            <w:vAlign w:val="bottom"/>
          </w:tcPr>
          <w:p>
            <w:pPr>
              <w:jc w:val="right"/>
              <w:ind w:right="141"/>
              <w:spacing w:after="0" w:line="229" w:lineRule="exact"/>
              <w:rPr>
                <w:sz w:val="20"/>
                <w:szCs w:val="20"/>
                <w:color w:val="auto"/>
              </w:rPr>
            </w:pPr>
            <w:r>
              <w:rPr>
                <w:rFonts w:ascii="Calibri" w:cs="Calibri" w:eastAsia="Calibri" w:hAnsi="Calibri"/>
                <w:sz w:val="20"/>
                <w:szCs w:val="20"/>
                <w:color w:val="auto"/>
                <w:w w:val="98"/>
              </w:rPr>
              <w:t>$</w:t>
            </w:r>
          </w:p>
        </w:tc>
        <w:tc>
          <w:tcPr>
            <w:tcW w:w="1220" w:type="dxa"/>
            <w:vAlign w:val="bottom"/>
          </w:tcPr>
          <w:p>
            <w:pPr>
              <w:jc w:val="right"/>
              <w:spacing w:after="0" w:line="229" w:lineRule="exact"/>
              <w:rPr>
                <w:sz w:val="20"/>
                <w:szCs w:val="20"/>
                <w:color w:val="auto"/>
              </w:rPr>
            </w:pPr>
            <w:r>
              <w:rPr>
                <w:rFonts w:ascii="Calibri" w:cs="Calibri" w:eastAsia="Calibri" w:hAnsi="Calibri"/>
                <w:sz w:val="20"/>
                <w:szCs w:val="20"/>
                <w:color w:val="auto"/>
              </w:rPr>
              <w:t>1,015.7</w:t>
            </w:r>
          </w:p>
        </w:tc>
        <w:tc>
          <w:tcPr>
            <w:tcW w:w="300" w:type="dxa"/>
            <w:vAlign w:val="bottom"/>
          </w:tcPr>
          <w:p>
            <w:pPr>
              <w:spacing w:after="0"/>
              <w:rPr>
                <w:sz w:val="19"/>
                <w:szCs w:val="19"/>
                <w:color w:val="auto"/>
              </w:rPr>
            </w:pPr>
          </w:p>
        </w:tc>
        <w:tc>
          <w:tcPr>
            <w:tcW w:w="540" w:type="dxa"/>
            <w:vAlign w:val="bottom"/>
          </w:tcPr>
          <w:p>
            <w:pPr>
              <w:jc w:val="right"/>
              <w:ind w:right="321"/>
              <w:spacing w:after="0" w:line="229" w:lineRule="exact"/>
              <w:rPr>
                <w:sz w:val="20"/>
                <w:szCs w:val="20"/>
                <w:color w:val="auto"/>
              </w:rPr>
            </w:pPr>
            <w:r>
              <w:rPr>
                <w:rFonts w:ascii="Calibri" w:cs="Calibri" w:eastAsia="Calibri" w:hAnsi="Calibri"/>
                <w:sz w:val="20"/>
                <w:szCs w:val="20"/>
                <w:color w:val="auto"/>
                <w:w w:val="98"/>
              </w:rPr>
              <w:t>$</w:t>
            </w:r>
          </w:p>
        </w:tc>
        <w:tc>
          <w:tcPr>
            <w:tcW w:w="1060" w:type="dxa"/>
            <w:vAlign w:val="bottom"/>
          </w:tcPr>
          <w:p>
            <w:pPr>
              <w:jc w:val="right"/>
              <w:spacing w:after="0" w:line="229" w:lineRule="exact"/>
              <w:rPr>
                <w:sz w:val="20"/>
                <w:szCs w:val="20"/>
                <w:color w:val="auto"/>
              </w:rPr>
            </w:pPr>
            <w:r>
              <w:rPr>
                <w:rFonts w:ascii="Calibri" w:cs="Calibri" w:eastAsia="Calibri" w:hAnsi="Calibri"/>
                <w:sz w:val="20"/>
                <w:szCs w:val="20"/>
                <w:color w:val="auto"/>
              </w:rPr>
              <w:t>857.1</w:t>
            </w:r>
          </w:p>
        </w:tc>
        <w:tc>
          <w:tcPr>
            <w:tcW w:w="360" w:type="dxa"/>
            <w:vAlign w:val="bottom"/>
          </w:tcPr>
          <w:p>
            <w:pPr>
              <w:spacing w:after="0"/>
              <w:rPr>
                <w:sz w:val="19"/>
                <w:szCs w:val="19"/>
                <w:color w:val="auto"/>
              </w:rPr>
            </w:pPr>
          </w:p>
        </w:tc>
        <w:tc>
          <w:tcPr>
            <w:tcW w:w="580" w:type="dxa"/>
            <w:vAlign w:val="bottom"/>
          </w:tcPr>
          <w:p>
            <w:pPr>
              <w:ind w:left="20"/>
              <w:spacing w:after="0" w:line="229" w:lineRule="exact"/>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line="229" w:lineRule="exact"/>
              <w:rPr>
                <w:sz w:val="20"/>
                <w:szCs w:val="20"/>
                <w:color w:val="auto"/>
              </w:rPr>
            </w:pPr>
            <w:r>
              <w:rPr>
                <w:rFonts w:ascii="Calibri" w:cs="Calibri" w:eastAsia="Calibri" w:hAnsi="Calibri"/>
                <w:sz w:val="20"/>
                <w:szCs w:val="20"/>
                <w:color w:val="auto"/>
              </w:rPr>
              <w:t>2,656.8</w:t>
            </w:r>
          </w:p>
        </w:tc>
        <w:tc>
          <w:tcPr>
            <w:tcW w:w="260" w:type="dxa"/>
            <w:vAlign w:val="bottom"/>
          </w:tcPr>
          <w:p>
            <w:pPr>
              <w:spacing w:after="0"/>
              <w:rPr>
                <w:sz w:val="19"/>
                <w:szCs w:val="19"/>
                <w:color w:val="auto"/>
              </w:rPr>
            </w:pPr>
          </w:p>
        </w:tc>
        <w:tc>
          <w:tcPr>
            <w:tcW w:w="540" w:type="dxa"/>
            <w:vAlign w:val="bottom"/>
          </w:tcPr>
          <w:p>
            <w:pPr>
              <w:jc w:val="right"/>
              <w:ind w:right="321"/>
              <w:spacing w:after="0" w:line="229" w:lineRule="exact"/>
              <w:rPr>
                <w:sz w:val="20"/>
                <w:szCs w:val="20"/>
                <w:color w:val="auto"/>
              </w:rPr>
            </w:pPr>
            <w:r>
              <w:rPr>
                <w:rFonts w:ascii="Calibri" w:cs="Calibri" w:eastAsia="Calibri" w:hAnsi="Calibri"/>
                <w:sz w:val="20"/>
                <w:szCs w:val="20"/>
                <w:color w:val="auto"/>
                <w:w w:val="98"/>
              </w:rPr>
              <w:t>$</w:t>
            </w: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2,231.5</w:t>
            </w:r>
          </w:p>
        </w:tc>
        <w:tc>
          <w:tcPr>
            <w:tcW w:w="100" w:type="dxa"/>
            <w:vAlign w:val="bottom"/>
          </w:tcPr>
          <w:p>
            <w:pPr>
              <w:spacing w:after="0"/>
              <w:rPr>
                <w:sz w:val="19"/>
                <w:szCs w:val="19"/>
                <w:color w:val="auto"/>
              </w:rPr>
            </w:pPr>
          </w:p>
        </w:tc>
      </w:tr>
      <w:tr>
        <w:trPr>
          <w:trHeight w:val="229"/>
        </w:trPr>
        <w:tc>
          <w:tcPr>
            <w:tcW w:w="390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Cement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163.2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132.3</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455.4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358.4</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00"/>
              <w:spacing w:after="0" w:line="229" w:lineRule="exact"/>
              <w:rPr>
                <w:sz w:val="20"/>
                <w:szCs w:val="20"/>
                <w:color w:val="auto"/>
              </w:rPr>
            </w:pPr>
            <w:r>
              <w:rPr>
                <w:rFonts w:ascii="Calibri" w:cs="Calibri" w:eastAsia="Calibri" w:hAnsi="Calibri"/>
                <w:sz w:val="20"/>
                <w:szCs w:val="20"/>
                <w:color w:val="auto"/>
              </w:rPr>
              <w:t>Ready mixed concrete</w:t>
            </w:r>
          </w:p>
        </w:tc>
        <w:tc>
          <w:tcPr>
            <w:tcW w:w="3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Calibri" w:cs="Calibri" w:eastAsia="Calibri" w:hAnsi="Calibri"/>
                <w:sz w:val="20"/>
                <w:szCs w:val="20"/>
                <w:color w:val="auto"/>
              </w:rPr>
              <w:t>227.4</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Calibri" w:cs="Calibri" w:eastAsia="Calibri" w:hAnsi="Calibri"/>
                <w:sz w:val="20"/>
                <w:szCs w:val="20"/>
                <w:color w:val="auto"/>
              </w:rPr>
              <w:t>320.8</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Calibri" w:cs="Calibri" w:eastAsia="Calibri" w:hAnsi="Calibri"/>
                <w:sz w:val="20"/>
                <w:szCs w:val="20"/>
                <w:color w:val="auto"/>
              </w:rPr>
              <w:t>743.6</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824.5</w:t>
            </w:r>
          </w:p>
        </w:tc>
        <w:tc>
          <w:tcPr>
            <w:tcW w:w="100" w:type="dxa"/>
            <w:vAlign w:val="bottom"/>
          </w:tcPr>
          <w:p>
            <w:pPr>
              <w:spacing w:after="0"/>
              <w:rPr>
                <w:sz w:val="19"/>
                <w:szCs w:val="19"/>
                <w:color w:val="auto"/>
              </w:rPr>
            </w:pPr>
          </w:p>
        </w:tc>
      </w:tr>
      <w:tr>
        <w:trPr>
          <w:trHeight w:val="229"/>
        </w:trPr>
        <w:tc>
          <w:tcPr>
            <w:tcW w:w="390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Asphalt and paving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309.8</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195.9</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576.9</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343.5</w:t>
            </w: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200"/>
              <w:spacing w:after="0" w:line="229" w:lineRule="exact"/>
              <w:rPr>
                <w:sz w:val="20"/>
                <w:szCs w:val="20"/>
                <w:color w:val="auto"/>
              </w:rPr>
            </w:pPr>
            <w:r>
              <w:rPr>
                <w:rFonts w:ascii="Calibri" w:cs="Calibri" w:eastAsia="Calibri" w:hAnsi="Calibri"/>
                <w:sz w:val="20"/>
                <w:szCs w:val="20"/>
                <w:color w:val="auto"/>
              </w:rPr>
              <w:t>Less: interproduct revenues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(104.6 )</w:t>
            </w:r>
          </w:p>
        </w:tc>
        <w:tc>
          <w:tcPr>
            <w:tcW w:w="540" w:type="dxa"/>
            <w:vAlign w:val="bottom"/>
          </w:tcPr>
          <w:p>
            <w:pPr>
              <w:spacing w:after="0"/>
              <w:rPr>
                <w:sz w:val="19"/>
                <w:szCs w:val="19"/>
                <w:color w:val="auto"/>
              </w:rPr>
            </w:pPr>
          </w:p>
        </w:tc>
        <w:tc>
          <w:tcPr>
            <w:tcW w:w="142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(115.3 )</w:t>
            </w:r>
          </w:p>
        </w:tc>
        <w:tc>
          <w:tcPr>
            <w:tcW w:w="580" w:type="dxa"/>
            <w:vAlign w:val="bottom"/>
          </w:tcPr>
          <w:p>
            <w:pPr>
              <w:spacing w:after="0"/>
              <w:rPr>
                <w:sz w:val="19"/>
                <w:szCs w:val="19"/>
                <w:color w:val="auto"/>
              </w:rPr>
            </w:pPr>
          </w:p>
        </w:tc>
        <w:tc>
          <w:tcPr>
            <w:tcW w:w="1240" w:type="dxa"/>
            <w:vAlign w:val="bottom"/>
            <w:gridSpan w:val="2"/>
          </w:tcPr>
          <w:p>
            <w:pPr>
              <w:jc w:val="right"/>
              <w:ind w:right="200"/>
              <w:spacing w:after="0" w:line="229" w:lineRule="exact"/>
              <w:rPr>
                <w:sz w:val="20"/>
                <w:szCs w:val="20"/>
                <w:color w:val="auto"/>
              </w:rPr>
            </w:pPr>
            <w:r>
              <w:rPr>
                <w:rFonts w:ascii="Calibri" w:cs="Calibri" w:eastAsia="Calibri" w:hAnsi="Calibri"/>
                <w:sz w:val="20"/>
                <w:szCs w:val="20"/>
                <w:color w:val="auto"/>
              </w:rPr>
              <w:t>(295.0 )</w:t>
            </w:r>
          </w:p>
        </w:tc>
        <w:tc>
          <w:tcPr>
            <w:tcW w:w="540" w:type="dxa"/>
            <w:vAlign w:val="bottom"/>
          </w:tcPr>
          <w:p>
            <w:pPr>
              <w:spacing w:after="0"/>
              <w:rPr>
                <w:sz w:val="19"/>
                <w:szCs w:val="19"/>
                <w:color w:val="auto"/>
              </w:rPr>
            </w:pPr>
          </w:p>
        </w:tc>
        <w:tc>
          <w:tcPr>
            <w:tcW w:w="114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(285.1 )</w:t>
            </w:r>
          </w:p>
        </w:tc>
      </w:tr>
      <w:tr>
        <w:trPr>
          <w:trHeight w:val="223"/>
        </w:trPr>
        <w:tc>
          <w:tcPr>
            <w:tcW w:w="3900" w:type="dxa"/>
            <w:vAlign w:val="bottom"/>
            <w:shd w:val="clear" w:color="auto" w:fill="CFF0FC"/>
          </w:tcPr>
          <w:p>
            <w:pPr>
              <w:ind w:left="120"/>
              <w:spacing w:after="0" w:line="223" w:lineRule="exact"/>
              <w:rPr>
                <w:sz w:val="20"/>
                <w:szCs w:val="20"/>
                <w:color w:val="auto"/>
              </w:rPr>
            </w:pPr>
            <w:r>
              <w:rPr>
                <w:rFonts w:ascii="Calibri" w:cs="Calibri" w:eastAsia="Calibri" w:hAnsi="Calibri"/>
                <w:sz w:val="20"/>
                <w:szCs w:val="20"/>
                <w:color w:val="auto"/>
              </w:rPr>
              <w:t>Products and services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1,611.5</w:t>
            </w:r>
          </w:p>
        </w:tc>
        <w:tc>
          <w:tcPr>
            <w:tcW w:w="30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1,390.8</w:t>
            </w:r>
          </w:p>
        </w:tc>
        <w:tc>
          <w:tcPr>
            <w:tcW w:w="36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4,137.7</w:t>
            </w:r>
          </w:p>
        </w:tc>
        <w:tc>
          <w:tcPr>
            <w:tcW w:w="26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3,472.8</w:t>
            </w: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124.5</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88.1</w:t>
            </w:r>
          </w:p>
        </w:tc>
        <w:tc>
          <w:tcPr>
            <w:tcW w:w="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312.1</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219.8</w:t>
            </w:r>
          </w:p>
        </w:tc>
        <w:tc>
          <w:tcPr>
            <w:tcW w:w="100" w:type="dxa"/>
            <w:vAlign w:val="bottom"/>
          </w:tcPr>
          <w:p>
            <w:pPr>
              <w:spacing w:after="0"/>
              <w:rPr>
                <w:sz w:val="19"/>
                <w:szCs w:val="19"/>
                <w:color w:val="auto"/>
              </w:rPr>
            </w:pPr>
          </w:p>
        </w:tc>
      </w:tr>
      <w:tr>
        <w:trPr>
          <w:trHeight w:val="223"/>
        </w:trPr>
        <w:tc>
          <w:tcPr>
            <w:tcW w:w="390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1,736.0</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1,478.9</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4,449.8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3,692.6</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Products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69.0</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71.9</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214.4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207.1</w:t>
            </w: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6.7</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6.5</w:t>
            </w:r>
          </w:p>
        </w:tc>
        <w:tc>
          <w:tcPr>
            <w:tcW w:w="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20.0</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17.9</w:t>
            </w:r>
          </w:p>
        </w:tc>
        <w:tc>
          <w:tcPr>
            <w:tcW w:w="100" w:type="dxa"/>
            <w:vAlign w:val="bottom"/>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Magnesia Specialtes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75.7</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78.4</w:t>
            </w:r>
          </w:p>
        </w:tc>
        <w:tc>
          <w:tcPr>
            <w:tcW w:w="3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234.4</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225.0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900" w:type="dxa"/>
            <w:vAlign w:val="bottom"/>
          </w:tcPr>
          <w:p>
            <w:pPr>
              <w:ind w:left="20"/>
              <w:spacing w:after="0" w:line="223" w:lineRule="exact"/>
              <w:rPr>
                <w:sz w:val="20"/>
                <w:szCs w:val="20"/>
                <w:color w:val="auto"/>
              </w:rPr>
            </w:pPr>
            <w:r>
              <w:rPr>
                <w:rFonts w:ascii="Calibri" w:cs="Calibri" w:eastAsia="Calibri" w:hAnsi="Calibri"/>
                <w:sz w:val="20"/>
                <w:szCs w:val="20"/>
                <w:color w:val="auto"/>
              </w:rPr>
              <w:t>Total</w:t>
            </w:r>
          </w:p>
        </w:tc>
        <w:tc>
          <w:tcPr>
            <w:tcW w:w="360" w:type="dxa"/>
            <w:vAlign w:val="bottom"/>
            <w:tcBorders>
              <w:bottom w:val="single" w:sz="8" w:color="auto"/>
            </w:tcBorders>
          </w:tcPr>
          <w:p>
            <w:pPr>
              <w:jc w:val="right"/>
              <w:ind w:right="141"/>
              <w:spacing w:after="0" w:line="223" w:lineRule="exact"/>
              <w:rPr>
                <w:sz w:val="20"/>
                <w:szCs w:val="20"/>
                <w:color w:val="auto"/>
              </w:rPr>
            </w:pPr>
            <w:r>
              <w:rPr>
                <w:rFonts w:ascii="Calibri" w:cs="Calibri" w:eastAsia="Calibri" w:hAnsi="Calibri"/>
                <w:sz w:val="20"/>
                <w:szCs w:val="20"/>
                <w:color w:val="auto"/>
                <w:w w:val="98"/>
              </w:rPr>
              <w:t>$</w:t>
            </w:r>
          </w:p>
        </w:tc>
        <w:tc>
          <w:tcPr>
            <w:tcW w:w="122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1,811.7</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321"/>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1,557.3</w:t>
            </w:r>
          </w:p>
        </w:tc>
        <w:tc>
          <w:tcPr>
            <w:tcW w:w="360" w:type="dxa"/>
            <w:vAlign w:val="bottom"/>
          </w:tcPr>
          <w:p>
            <w:pPr>
              <w:spacing w:after="0"/>
              <w:rPr>
                <w:sz w:val="19"/>
                <w:szCs w:val="19"/>
                <w:color w:val="auto"/>
              </w:rPr>
            </w:pPr>
          </w:p>
        </w:tc>
        <w:tc>
          <w:tcPr>
            <w:tcW w:w="580" w:type="dxa"/>
            <w:vAlign w:val="bottom"/>
            <w:tcBorders>
              <w:bottom w:val="single" w:sz="8" w:color="auto"/>
            </w:tcBorders>
          </w:tcPr>
          <w:p>
            <w:pPr>
              <w:ind w:left="20"/>
              <w:spacing w:after="0" w:line="223" w:lineRule="exact"/>
              <w:rPr>
                <w:sz w:val="20"/>
                <w:szCs w:val="20"/>
                <w:color w:val="auto"/>
              </w:rPr>
            </w:pPr>
            <w:r>
              <w:rPr>
                <w:rFonts w:ascii="Calibri" w:cs="Calibri" w:eastAsia="Calibri" w:hAnsi="Calibri"/>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4,684.2</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21"/>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3,917.6</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3900" w:type="dxa"/>
            <w:vAlign w:val="bottom"/>
          </w:tcPr>
          <w:p>
            <w:pPr>
              <w:ind w:left="20"/>
              <w:spacing w:after="0" w:line="229" w:lineRule="exact"/>
              <w:rPr>
                <w:sz w:val="20"/>
                <w:szCs w:val="20"/>
                <w:color w:val="auto"/>
              </w:rPr>
            </w:pPr>
            <w:r>
              <w:rPr>
                <w:rFonts w:ascii="Calibri" w:cs="Calibri" w:eastAsia="Calibri" w:hAnsi="Calibri"/>
                <w:sz w:val="20"/>
                <w:szCs w:val="20"/>
                <w:b w:val="1"/>
                <w:bCs w:val="1"/>
                <w:color w:val="auto"/>
              </w:rPr>
              <w:t>Gross proft (loss):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0"/>
              <w:spacing w:after="0" w:line="229" w:lineRule="exact"/>
              <w:rPr>
                <w:sz w:val="20"/>
                <w:szCs w:val="20"/>
                <w:color w:val="auto"/>
              </w:rPr>
            </w:pPr>
            <w:r>
              <w:rPr>
                <w:rFonts w:ascii="Calibri" w:cs="Calibri" w:eastAsia="Calibri" w:hAnsi="Calibri"/>
                <w:sz w:val="20"/>
                <w:szCs w:val="20"/>
                <w:color w:val="auto"/>
              </w:rPr>
              <w:t>Products and services: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Aggregates</w:t>
            </w:r>
          </w:p>
        </w:tc>
        <w:tc>
          <w:tcPr>
            <w:tcW w:w="360" w:type="dxa"/>
            <w:vAlign w:val="bottom"/>
            <w:shd w:val="clear" w:color="auto" w:fill="CFF0FC"/>
          </w:tcPr>
          <w:p>
            <w:pPr>
              <w:jc w:val="right"/>
              <w:ind w:right="141"/>
              <w:spacing w:after="0" w:line="229" w:lineRule="exact"/>
              <w:rPr>
                <w:sz w:val="20"/>
                <w:szCs w:val="20"/>
                <w:color w:val="auto"/>
              </w:rPr>
            </w:pPr>
            <w:r>
              <w:rPr>
                <w:rFonts w:ascii="Calibri" w:cs="Calibri" w:eastAsia="Calibri" w:hAnsi="Calibri"/>
                <w:sz w:val="20"/>
                <w:szCs w:val="20"/>
                <w:color w:val="auto"/>
                <w:w w:val="98"/>
              </w:rPr>
              <w:t>$</w:t>
            </w:r>
          </w:p>
        </w:tc>
        <w:tc>
          <w:tcPr>
            <w:tcW w:w="12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330.3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1"/>
              <w:spacing w:after="0" w:line="229" w:lineRule="exact"/>
              <w:rPr>
                <w:sz w:val="20"/>
                <w:szCs w:val="20"/>
                <w:color w:val="auto"/>
              </w:rPr>
            </w:pPr>
            <w:r>
              <w:rPr>
                <w:rFonts w:ascii="Calibri" w:cs="Calibri" w:eastAsia="Calibri" w:hAnsi="Calibri"/>
                <w:sz w:val="20"/>
                <w:szCs w:val="20"/>
                <w:color w:val="auto"/>
                <w:w w:val="98"/>
              </w:rPr>
              <w:t>$</w:t>
            </w: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292.9</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w:t>
            </w: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741.2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1"/>
              <w:spacing w:after="0" w:line="229" w:lineRule="exact"/>
              <w:rPr>
                <w:sz w:val="20"/>
                <w:szCs w:val="20"/>
                <w:color w:val="auto"/>
              </w:rPr>
            </w:pPr>
            <w:r>
              <w:rPr>
                <w:rFonts w:ascii="Calibri" w:cs="Calibri" w:eastAsia="Calibri" w:hAnsi="Calibri"/>
                <w:sz w:val="20"/>
                <w:szCs w:val="20"/>
                <w:color w:val="auto"/>
                <w:w w:val="98"/>
              </w:rPr>
              <w:t>$</w:t>
            </w: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687.7</w:t>
            </w: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200"/>
              <w:spacing w:after="0" w:line="229" w:lineRule="exact"/>
              <w:rPr>
                <w:sz w:val="20"/>
                <w:szCs w:val="20"/>
                <w:color w:val="auto"/>
              </w:rPr>
            </w:pPr>
            <w:r>
              <w:rPr>
                <w:rFonts w:ascii="Calibri" w:cs="Calibri" w:eastAsia="Calibri" w:hAnsi="Calibri"/>
                <w:sz w:val="20"/>
                <w:szCs w:val="20"/>
                <w:color w:val="auto"/>
              </w:rPr>
              <w:t>Cement</w:t>
            </w:r>
          </w:p>
        </w:tc>
        <w:tc>
          <w:tcPr>
            <w:tcW w:w="36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Calibri" w:cs="Calibri" w:eastAsia="Calibri" w:hAnsi="Calibri"/>
                <w:sz w:val="20"/>
                <w:szCs w:val="20"/>
                <w:color w:val="auto"/>
              </w:rPr>
              <w:t>67.7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Calibri" w:cs="Calibri" w:eastAsia="Calibri" w:hAnsi="Calibri"/>
                <w:sz w:val="20"/>
                <w:szCs w:val="20"/>
                <w:color w:val="auto"/>
              </w:rPr>
              <w:t>49.9</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Calibri" w:cs="Calibri" w:eastAsia="Calibri" w:hAnsi="Calibri"/>
                <w:sz w:val="20"/>
                <w:szCs w:val="20"/>
                <w:color w:val="auto"/>
              </w:rPr>
              <w:t>146.1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101.3</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Ready mixed concrete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18.7</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31.4</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54.1</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69.9</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00"/>
              <w:spacing w:after="0" w:line="229" w:lineRule="exact"/>
              <w:rPr>
                <w:sz w:val="20"/>
                <w:szCs w:val="20"/>
                <w:color w:val="auto"/>
              </w:rPr>
            </w:pPr>
            <w:r>
              <w:rPr>
                <w:rFonts w:ascii="Calibri" w:cs="Calibri" w:eastAsia="Calibri" w:hAnsi="Calibri"/>
                <w:sz w:val="20"/>
                <w:szCs w:val="20"/>
                <w:color w:val="auto"/>
              </w:rPr>
              <w:t>Asphalt and paving services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50.5</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38.9</w:t>
            </w:r>
          </w:p>
        </w:tc>
        <w:tc>
          <w:tcPr>
            <w:tcW w:w="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63.6</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59.4</w:t>
            </w:r>
          </w:p>
        </w:tc>
        <w:tc>
          <w:tcPr>
            <w:tcW w:w="100" w:type="dxa"/>
            <w:vAlign w:val="bottom"/>
          </w:tcPr>
          <w:p>
            <w:pPr>
              <w:spacing w:after="0"/>
              <w:rPr>
                <w:sz w:val="19"/>
                <w:szCs w:val="19"/>
                <w:color w:val="auto"/>
              </w:rPr>
            </w:pPr>
          </w:p>
        </w:tc>
      </w:tr>
      <w:tr>
        <w:trPr>
          <w:trHeight w:val="223"/>
        </w:trPr>
        <w:tc>
          <w:tcPr>
            <w:tcW w:w="3900" w:type="dxa"/>
            <w:vAlign w:val="bottom"/>
            <w:shd w:val="clear" w:color="auto" w:fill="CFF0FC"/>
          </w:tcPr>
          <w:p>
            <w:pPr>
              <w:ind w:left="120"/>
              <w:spacing w:after="0" w:line="223" w:lineRule="exact"/>
              <w:rPr>
                <w:sz w:val="20"/>
                <w:szCs w:val="20"/>
                <w:color w:val="auto"/>
              </w:rPr>
            </w:pPr>
            <w:r>
              <w:rPr>
                <w:rFonts w:ascii="Calibri" w:cs="Calibri" w:eastAsia="Calibri" w:hAnsi="Calibri"/>
                <w:sz w:val="20"/>
                <w:szCs w:val="20"/>
                <w:color w:val="auto"/>
              </w:rPr>
              <w:t>Products and services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467.2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413.1</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1,005.0</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918.3</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2.1</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1.3</w:t>
            </w:r>
          </w:p>
        </w:tc>
        <w:tc>
          <w:tcPr>
            <w:tcW w:w="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1.7</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1.7</w:t>
            </w:r>
          </w:p>
        </w:tc>
        <w:tc>
          <w:tcPr>
            <w:tcW w:w="100" w:type="dxa"/>
            <w:vAlign w:val="bottom"/>
          </w:tcPr>
          <w:p>
            <w:pPr>
              <w:spacing w:after="0"/>
              <w:rPr>
                <w:sz w:val="19"/>
                <w:szCs w:val="19"/>
                <w:color w:val="auto"/>
              </w:rPr>
            </w:pPr>
          </w:p>
        </w:tc>
      </w:tr>
      <w:tr>
        <w:trPr>
          <w:trHeight w:val="223"/>
        </w:trPr>
        <w:tc>
          <w:tcPr>
            <w:tcW w:w="390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469.3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414.4</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1,006.7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920.0</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0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Products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28.1</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74.3</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84.4</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(1.0 )</w:t>
            </w:r>
          </w:p>
        </w:tc>
        <w:tc>
          <w:tcPr>
            <w:tcW w:w="540" w:type="dxa"/>
            <w:vAlign w:val="bottom"/>
          </w:tcPr>
          <w:p>
            <w:pPr>
              <w:spacing w:after="0"/>
              <w:rPr>
                <w:sz w:val="19"/>
                <w:szCs w:val="19"/>
                <w:color w:val="auto"/>
              </w:rPr>
            </w:pPr>
          </w:p>
        </w:tc>
        <w:tc>
          <w:tcPr>
            <w:tcW w:w="142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(1.1 )</w:t>
            </w:r>
          </w:p>
        </w:tc>
        <w:tc>
          <w:tcPr>
            <w:tcW w:w="580" w:type="dxa"/>
            <w:vAlign w:val="bottom"/>
          </w:tcPr>
          <w:p>
            <w:pPr>
              <w:spacing w:after="0"/>
              <w:rPr>
                <w:sz w:val="19"/>
                <w:szCs w:val="19"/>
                <w:color w:val="auto"/>
              </w:rPr>
            </w:pPr>
          </w:p>
        </w:tc>
        <w:tc>
          <w:tcPr>
            <w:tcW w:w="1240" w:type="dxa"/>
            <w:vAlign w:val="bottom"/>
            <w:gridSpan w:val="2"/>
          </w:tcPr>
          <w:p>
            <w:pPr>
              <w:jc w:val="right"/>
              <w:ind w:right="200"/>
              <w:spacing w:after="0" w:line="229" w:lineRule="exact"/>
              <w:rPr>
                <w:sz w:val="20"/>
                <w:szCs w:val="20"/>
                <w:color w:val="auto"/>
              </w:rPr>
            </w:pPr>
            <w:r>
              <w:rPr>
                <w:rFonts w:ascii="Calibri" w:cs="Calibri" w:eastAsia="Calibri" w:hAnsi="Calibri"/>
                <w:sz w:val="20"/>
                <w:szCs w:val="20"/>
                <w:color w:val="auto"/>
              </w:rPr>
              <w:t>(3.4 )</w:t>
            </w:r>
          </w:p>
        </w:tc>
        <w:tc>
          <w:tcPr>
            <w:tcW w:w="540" w:type="dxa"/>
            <w:vAlign w:val="bottom"/>
          </w:tcPr>
          <w:p>
            <w:pPr>
              <w:spacing w:after="0"/>
              <w:rPr>
                <w:sz w:val="19"/>
                <w:szCs w:val="19"/>
                <w:color w:val="auto"/>
              </w:rPr>
            </w:pPr>
          </w:p>
        </w:tc>
        <w:tc>
          <w:tcPr>
            <w:tcW w:w="114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(3.0 )</w:t>
            </w:r>
          </w:p>
        </w:tc>
      </w:tr>
      <w:tr>
        <w:trPr>
          <w:trHeight w:val="223"/>
        </w:trPr>
        <w:tc>
          <w:tcPr>
            <w:tcW w:w="390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Magnesia Specialtes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20.6</w:t>
            </w:r>
          </w:p>
        </w:tc>
        <w:tc>
          <w:tcPr>
            <w:tcW w:w="30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27.0</w:t>
            </w:r>
          </w:p>
        </w:tc>
        <w:tc>
          <w:tcPr>
            <w:tcW w:w="36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70.9</w:t>
            </w:r>
          </w:p>
        </w:tc>
        <w:tc>
          <w:tcPr>
            <w:tcW w:w="26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81.4</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0"/>
              <w:spacing w:after="0" w:line="229" w:lineRule="exact"/>
              <w:rPr>
                <w:sz w:val="20"/>
                <w:szCs w:val="20"/>
                <w:color w:val="auto"/>
              </w:rPr>
            </w:pPr>
            <w:r>
              <w:rPr>
                <w:rFonts w:ascii="Calibri" w:cs="Calibri" w:eastAsia="Calibri" w:hAnsi="Calibri"/>
                <w:sz w:val="20"/>
                <w:szCs w:val="20"/>
                <w:color w:val="auto"/>
              </w:rPr>
              <w:t>Corporate</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(2.1 )</w:t>
            </w: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Calibri" w:cs="Calibri" w:eastAsia="Calibri" w:hAnsi="Calibri"/>
                <w:sz w:val="20"/>
                <w:szCs w:val="20"/>
                <w:color w:val="auto"/>
              </w:rPr>
              <w:t>0.5</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tcPr>
          <w:p>
            <w:pPr>
              <w:jc w:val="right"/>
              <w:ind w:right="200"/>
              <w:spacing w:after="0" w:line="229" w:lineRule="exact"/>
              <w:rPr>
                <w:sz w:val="20"/>
                <w:szCs w:val="20"/>
                <w:color w:val="auto"/>
              </w:rPr>
            </w:pPr>
            <w:r>
              <w:rPr>
                <w:rFonts w:ascii="Calibri" w:cs="Calibri" w:eastAsia="Calibri" w:hAnsi="Calibri"/>
                <w:sz w:val="20"/>
                <w:szCs w:val="20"/>
                <w:color w:val="auto"/>
              </w:rPr>
              <w:t>(8.5 )</w:t>
            </w:r>
          </w:p>
        </w:tc>
        <w:tc>
          <w:tcPr>
            <w:tcW w:w="54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Calibri" w:cs="Calibri" w:eastAsia="Calibri" w:hAnsi="Calibri"/>
                <w:sz w:val="20"/>
                <w:szCs w:val="20"/>
                <w:color w:val="auto"/>
              </w:rPr>
              <w:t>0.3</w:t>
            </w:r>
          </w:p>
        </w:tc>
        <w:tc>
          <w:tcPr>
            <w:tcW w:w="100" w:type="dxa"/>
            <w:vAlign w:val="bottom"/>
          </w:tcPr>
          <w:p>
            <w:pPr>
              <w:spacing w:after="0"/>
              <w:rPr>
                <w:sz w:val="19"/>
                <w:szCs w:val="19"/>
                <w:color w:val="auto"/>
              </w:rPr>
            </w:pPr>
          </w:p>
        </w:tc>
      </w:tr>
      <w:tr>
        <w:trPr>
          <w:trHeight w:val="263"/>
        </w:trPr>
        <w:tc>
          <w:tcPr>
            <w:tcW w:w="390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360" w:type="dxa"/>
            <w:vAlign w:val="bottom"/>
            <w:tcBorders>
              <w:top w:val="single" w:sz="8" w:color="auto"/>
              <w:bottom w:val="single" w:sz="8" w:color="auto"/>
            </w:tcBorders>
            <w:shd w:val="clear" w:color="auto" w:fill="CFF0FC"/>
          </w:tcPr>
          <w:p>
            <w:pPr>
              <w:jc w:val="right"/>
              <w:ind w:right="141"/>
              <w:spacing w:after="0" w:line="223" w:lineRule="exact"/>
              <w:rPr>
                <w:sz w:val="20"/>
                <w:szCs w:val="20"/>
                <w:color w:val="auto"/>
              </w:rPr>
            </w:pPr>
            <w:r>
              <w:rPr>
                <w:rFonts w:ascii="Calibri" w:cs="Calibri" w:eastAsia="Calibri" w:hAnsi="Calibri"/>
                <w:sz w:val="20"/>
                <w:szCs w:val="20"/>
                <w:color w:val="auto"/>
                <w:w w:val="98"/>
              </w:rPr>
              <w:t>$</w:t>
            </w:r>
          </w:p>
        </w:tc>
        <w:tc>
          <w:tcPr>
            <w:tcW w:w="122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487.8</w:t>
            </w:r>
          </w:p>
        </w:tc>
        <w:tc>
          <w:tcPr>
            <w:tcW w:w="30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top w:val="single" w:sz="8" w:color="auto"/>
              <w:bottom w:val="single" w:sz="8" w:color="auto"/>
            </w:tcBorders>
            <w:shd w:val="clear" w:color="auto" w:fill="CFF0FC"/>
          </w:tcPr>
          <w:p>
            <w:pPr>
              <w:jc w:val="right"/>
              <w:ind w:right="321"/>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441.9</w:t>
            </w:r>
          </w:p>
        </w:tc>
        <w:tc>
          <w:tcPr>
            <w:tcW w:w="36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98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1,069.1</w:t>
            </w:r>
          </w:p>
        </w:tc>
        <w:tc>
          <w:tcPr>
            <w:tcW w:w="26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top w:val="single" w:sz="8" w:color="auto"/>
              <w:bottom w:val="single" w:sz="8" w:color="auto"/>
            </w:tcBorders>
            <w:shd w:val="clear" w:color="auto" w:fill="CFF0FC"/>
          </w:tcPr>
          <w:p>
            <w:pPr>
              <w:jc w:val="right"/>
              <w:ind w:right="321"/>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1,001.7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-2716530</wp:posOffset>
            </wp:positionV>
            <wp:extent cx="76835" cy="180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-2716530</wp:posOffset>
            </wp:positionV>
            <wp:extent cx="6858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-2716530</wp:posOffset>
            </wp:positionV>
            <wp:extent cx="68580" cy="1803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1803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4" w:name="page25"/>
    <w:bookmarkEnd w:id="2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(UNAUDITED) NOTES TO CONSOLIDATED FINANCIAL STATEMENTS</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13. Supplemental Cash Flow Informaton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20" w:type="dxa"/>
            <w:vAlign w:val="bottom"/>
          </w:tcPr>
          <w:p>
            <w:pPr>
              <w:ind w:left="380"/>
              <w:spacing w:after="0"/>
              <w:rPr>
                <w:sz w:val="20"/>
                <w:szCs w:val="20"/>
                <w:color w:val="auto"/>
              </w:rPr>
            </w:pPr>
            <w:r>
              <w:rPr>
                <w:rFonts w:ascii="Calibri" w:cs="Calibri" w:eastAsia="Calibri" w:hAnsi="Calibri"/>
                <w:sz w:val="20"/>
                <w:szCs w:val="20"/>
                <w:color w:val="auto"/>
              </w:rPr>
              <w:t>Noncash investng and fnancing actvites are as follows: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1"/>
        </w:trPr>
        <w:tc>
          <w:tcPr>
            <w:tcW w:w="7420" w:type="dxa"/>
            <w:vAlign w:val="bottom"/>
          </w:tcPr>
          <w:p>
            <w:pPr>
              <w:spacing w:after="0"/>
              <w:rPr>
                <w:sz w:val="24"/>
                <w:szCs w:val="24"/>
                <w:color w:val="auto"/>
              </w:rPr>
            </w:pPr>
          </w:p>
        </w:tc>
        <w:tc>
          <w:tcPr>
            <w:tcW w:w="3140" w:type="dxa"/>
            <w:vAlign w:val="bottom"/>
            <w:gridSpan w:val="4"/>
          </w:tcPr>
          <w:p>
            <w:pPr>
              <w:jc w:val="center"/>
              <w:ind w:left="461"/>
              <w:spacing w:after="0"/>
              <w:rPr>
                <w:sz w:val="20"/>
                <w:szCs w:val="20"/>
                <w:color w:val="auto"/>
              </w:rPr>
            </w:pPr>
            <w:r>
              <w:rPr>
                <w:rFonts w:ascii="Calibri" w:cs="Calibri" w:eastAsia="Calibri" w:hAnsi="Calibri"/>
                <w:sz w:val="20"/>
                <w:szCs w:val="20"/>
                <w:color w:val="auto"/>
              </w:rPr>
              <w:t>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7"/>
        </w:trPr>
        <w:tc>
          <w:tcPr>
            <w:tcW w:w="74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right="381"/>
              <w:spacing w:after="0" w:line="234" w:lineRule="exact"/>
              <w:rPr>
                <w:sz w:val="20"/>
                <w:szCs w:val="20"/>
                <w:color w:val="auto"/>
              </w:rPr>
            </w:pPr>
            <w:r>
              <w:rPr>
                <w:rFonts w:ascii="Calibri" w:cs="Calibri" w:eastAsia="Calibri" w:hAnsi="Calibri"/>
                <w:sz w:val="20"/>
                <w:szCs w:val="20"/>
                <w:color w:val="auto"/>
              </w:rPr>
              <w:t>September 30,</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420" w:type="dxa"/>
            <w:vAlign w:val="bottom"/>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2022</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Borders>
              <w:bottom w:val="single" w:sz="8" w:color="auto"/>
            </w:tcBorders>
          </w:tcPr>
          <w:p>
            <w:pPr>
              <w:ind w:left="660"/>
              <w:spacing w:after="0" w:line="229" w:lineRule="exact"/>
              <w:rPr>
                <w:sz w:val="20"/>
                <w:szCs w:val="20"/>
                <w:color w:val="auto"/>
              </w:rPr>
            </w:pPr>
            <w:r>
              <w:rPr>
                <w:rFonts w:ascii="Calibri" w:cs="Calibri" w:eastAsia="Calibri" w:hAnsi="Calibri"/>
                <w:sz w:val="20"/>
                <w:szCs w:val="20"/>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line="223" w:lineRule="exact"/>
              <w:rPr>
                <w:sz w:val="20"/>
                <w:szCs w:val="20"/>
                <w:color w:val="auto"/>
              </w:rPr>
            </w:pPr>
            <w:r>
              <w:rPr>
                <w:rFonts w:ascii="Calibri" w:cs="Calibri" w:eastAsia="Calibri" w:hAnsi="Calibri"/>
                <w:sz w:val="20"/>
                <w:szCs w:val="20"/>
                <w:i w:val="1"/>
                <w:iCs w:val="1"/>
                <w:color w:val="auto"/>
                <w:w w:val="98"/>
              </w:rPr>
              <w:t>(Dollars</w:t>
            </w:r>
          </w:p>
        </w:tc>
        <w:tc>
          <w:tcPr>
            <w:tcW w:w="280" w:type="dxa"/>
            <w:vAlign w:val="bottom"/>
          </w:tcPr>
          <w:p>
            <w:pPr>
              <w:jc w:val="right"/>
              <w:spacing w:after="0" w:line="214" w:lineRule="exact"/>
              <w:rPr>
                <w:sz w:val="20"/>
                <w:szCs w:val="20"/>
                <w:color w:val="auto"/>
              </w:rPr>
            </w:pPr>
            <w:r>
              <w:rPr>
                <w:rFonts w:ascii="Calibri" w:cs="Calibri" w:eastAsia="Calibri" w:hAnsi="Calibri"/>
                <w:sz w:val="20"/>
                <w:szCs w:val="20"/>
                <w:i w:val="1"/>
                <w:iCs w:val="1"/>
                <w:color w:val="auto"/>
              </w:rPr>
              <w:t>in</w:t>
            </w:r>
          </w:p>
        </w:tc>
        <w:tc>
          <w:tcPr>
            <w:tcW w:w="1160" w:type="dxa"/>
            <w:vAlign w:val="bottom"/>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7420" w:type="dxa"/>
            <w:vAlign w:val="bottom"/>
            <w:shd w:val="clear" w:color="auto" w:fill="CFF0FC"/>
          </w:tcPr>
          <w:p>
            <w:pPr>
              <w:ind w:left="200"/>
              <w:spacing w:after="0" w:line="178" w:lineRule="exact"/>
              <w:rPr>
                <w:sz w:val="20"/>
                <w:szCs w:val="20"/>
                <w:color w:val="auto"/>
              </w:rPr>
            </w:pPr>
            <w:r>
              <w:rPr>
                <w:rFonts w:ascii="Calibri" w:cs="Calibri" w:eastAsia="Calibri" w:hAnsi="Calibri"/>
                <w:sz w:val="19"/>
                <w:szCs w:val="19"/>
                <w:color w:val="auto"/>
              </w:rPr>
              <w:t>Right-of-use assets obtained in exchange for</w:t>
            </w:r>
          </w:p>
        </w:tc>
        <w:tc>
          <w:tcPr>
            <w:tcW w:w="10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67"/>
        </w:trPr>
        <w:tc>
          <w:tcPr>
            <w:tcW w:w="7420" w:type="dxa"/>
            <w:vAlign w:val="bottom"/>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new fnance lease liabilites</w:t>
            </w:r>
          </w:p>
        </w:tc>
        <w:tc>
          <w:tcPr>
            <w:tcW w:w="1060" w:type="dxa"/>
            <w:vAlign w:val="bottom"/>
            <w:shd w:val="clear" w:color="auto" w:fill="CFF0FC"/>
          </w:tcPr>
          <w:p>
            <w:pPr>
              <w:jc w:val="right"/>
              <w:ind w:right="841"/>
              <w:spacing w:after="0"/>
              <w:rPr>
                <w:sz w:val="20"/>
                <w:szCs w:val="20"/>
                <w:color w:val="auto"/>
              </w:rPr>
            </w:pPr>
            <w:r>
              <w:rPr>
                <w:rFonts w:ascii="Calibri" w:cs="Calibri" w:eastAsia="Calibri" w:hAnsi="Calibri"/>
                <w:sz w:val="20"/>
                <w:szCs w:val="20"/>
                <w:color w:val="auto"/>
                <w:w w:val="98"/>
              </w:rPr>
              <w:t>$</w:t>
            </w:r>
          </w:p>
        </w:tc>
        <w:tc>
          <w:tcPr>
            <w:tcW w:w="64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10.2</w:t>
            </w:r>
          </w:p>
        </w:tc>
        <w:tc>
          <w:tcPr>
            <w:tcW w:w="28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0"/>
                <w:szCs w:val="20"/>
                <w:color w:val="auto"/>
              </w:rPr>
            </w:pPr>
            <w:r>
              <w:rPr>
                <w:rFonts w:ascii="Calibri" w:cs="Calibri" w:eastAsia="Calibri" w:hAnsi="Calibri"/>
                <w:sz w:val="20"/>
                <w:szCs w:val="20"/>
                <w:color w:val="auto"/>
              </w:rPr>
              <w:t>$</w:t>
            </w:r>
          </w:p>
        </w:tc>
        <w:tc>
          <w:tcPr>
            <w:tcW w:w="5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177.8</w:t>
            </w:r>
          </w:p>
        </w:tc>
        <w:tc>
          <w:tcPr>
            <w:tcW w:w="100" w:type="dxa"/>
            <w:vAlign w:val="bottom"/>
            <w:shd w:val="clear" w:color="auto" w:fill="CFF0FC"/>
          </w:tcPr>
          <w:p>
            <w:pPr>
              <w:spacing w:after="0"/>
              <w:rPr>
                <w:sz w:val="23"/>
                <w:szCs w:val="23"/>
                <w:color w:val="auto"/>
              </w:rPr>
            </w:pPr>
          </w:p>
        </w:tc>
      </w:tr>
      <w:tr>
        <w:trPr>
          <w:trHeight w:val="178"/>
        </w:trPr>
        <w:tc>
          <w:tcPr>
            <w:tcW w:w="7420" w:type="dxa"/>
            <w:vAlign w:val="bottom"/>
          </w:tcPr>
          <w:p>
            <w:pPr>
              <w:ind w:left="200"/>
              <w:spacing w:after="0" w:line="178" w:lineRule="exact"/>
              <w:rPr>
                <w:sz w:val="20"/>
                <w:szCs w:val="20"/>
                <w:color w:val="auto"/>
              </w:rPr>
            </w:pPr>
            <w:r>
              <w:rPr>
                <w:rFonts w:ascii="Calibri" w:cs="Calibri" w:eastAsia="Calibri" w:hAnsi="Calibri"/>
                <w:sz w:val="19"/>
                <w:szCs w:val="19"/>
                <w:color w:val="auto"/>
              </w:rPr>
              <w:t>Right-of-use assets obtained in exchange for new</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8"/>
        </w:trPr>
        <w:tc>
          <w:tcPr>
            <w:tcW w:w="7420" w:type="dxa"/>
            <w:vAlign w:val="bottom"/>
          </w:tcPr>
          <w:p>
            <w:pPr>
              <w:ind w:left="340"/>
              <w:spacing w:after="0" w:line="234" w:lineRule="exact"/>
              <w:rPr>
                <w:sz w:val="20"/>
                <w:szCs w:val="20"/>
                <w:color w:val="auto"/>
              </w:rPr>
            </w:pPr>
            <w:r>
              <w:rPr>
                <w:rFonts w:ascii="Calibri" w:cs="Calibri" w:eastAsia="Calibri" w:hAnsi="Calibri"/>
                <w:sz w:val="20"/>
                <w:szCs w:val="20"/>
                <w:color w:val="auto"/>
              </w:rPr>
              <w:t>operatng lease liabilites</w:t>
            </w:r>
          </w:p>
        </w:tc>
        <w:tc>
          <w:tcPr>
            <w:tcW w:w="1060" w:type="dxa"/>
            <w:vAlign w:val="bottom"/>
          </w:tcPr>
          <w:p>
            <w:pPr>
              <w:jc w:val="right"/>
              <w:ind w:right="841"/>
              <w:spacing w:after="0"/>
              <w:rPr>
                <w:sz w:val="20"/>
                <w:szCs w:val="20"/>
                <w:color w:val="auto"/>
              </w:rPr>
            </w:pPr>
            <w:r>
              <w:rPr>
                <w:rFonts w:ascii="Calibri" w:cs="Calibri" w:eastAsia="Calibri" w:hAnsi="Calibri"/>
                <w:sz w:val="20"/>
                <w:szCs w:val="20"/>
                <w:color w:val="auto"/>
                <w:w w:val="98"/>
              </w:rPr>
              <w:t>$</w:t>
            </w:r>
          </w:p>
        </w:tc>
        <w:tc>
          <w:tcPr>
            <w:tcW w:w="640" w:type="dxa"/>
            <w:vAlign w:val="bottom"/>
          </w:tcPr>
          <w:p>
            <w:pPr>
              <w:jc w:val="right"/>
              <w:spacing w:after="0"/>
              <w:rPr>
                <w:sz w:val="20"/>
                <w:szCs w:val="20"/>
                <w:color w:val="auto"/>
              </w:rPr>
            </w:pPr>
            <w:r>
              <w:rPr>
                <w:rFonts w:ascii="Calibri" w:cs="Calibri" w:eastAsia="Calibri" w:hAnsi="Calibri"/>
                <w:sz w:val="20"/>
                <w:szCs w:val="20"/>
                <w:color w:val="auto"/>
              </w:rPr>
              <w:t>23.4</w:t>
            </w:r>
          </w:p>
        </w:tc>
        <w:tc>
          <w:tcPr>
            <w:tcW w:w="280" w:type="dxa"/>
            <w:vAlign w:val="bottom"/>
          </w:tcPr>
          <w:p>
            <w:pPr>
              <w:spacing w:after="0"/>
              <w:rPr>
                <w:sz w:val="22"/>
                <w:szCs w:val="22"/>
                <w:color w:val="auto"/>
              </w:rPr>
            </w:pPr>
          </w:p>
        </w:tc>
        <w:tc>
          <w:tcPr>
            <w:tcW w:w="1160" w:type="dxa"/>
            <w:vAlign w:val="bottom"/>
          </w:tcPr>
          <w:p>
            <w:pPr>
              <w:spacing w:after="0"/>
              <w:rPr>
                <w:sz w:val="20"/>
                <w:szCs w:val="20"/>
                <w:color w:val="auto"/>
              </w:rPr>
            </w:pPr>
            <w:r>
              <w:rPr>
                <w:rFonts w:ascii="Calibri" w:cs="Calibri" w:eastAsia="Calibri" w:hAnsi="Calibri"/>
                <w:sz w:val="20"/>
                <w:szCs w:val="20"/>
                <w:color w:val="auto"/>
              </w:rPr>
              <w:t>$</w:t>
            </w:r>
          </w:p>
        </w:tc>
        <w:tc>
          <w:tcPr>
            <w:tcW w:w="580" w:type="dxa"/>
            <w:vAlign w:val="bottom"/>
          </w:tcPr>
          <w:p>
            <w:pPr>
              <w:jc w:val="right"/>
              <w:spacing w:after="0"/>
              <w:rPr>
                <w:sz w:val="20"/>
                <w:szCs w:val="20"/>
                <w:color w:val="auto"/>
              </w:rPr>
            </w:pPr>
            <w:r>
              <w:rPr>
                <w:rFonts w:ascii="Calibri" w:cs="Calibri" w:eastAsia="Calibri" w:hAnsi="Calibri"/>
                <w:sz w:val="20"/>
                <w:szCs w:val="20"/>
                <w:color w:val="auto"/>
              </w:rPr>
              <w:t>17.3</w:t>
            </w:r>
          </w:p>
        </w:tc>
        <w:tc>
          <w:tcPr>
            <w:tcW w:w="100" w:type="dxa"/>
            <w:vAlign w:val="bottom"/>
          </w:tcPr>
          <w:p>
            <w:pPr>
              <w:spacing w:after="0"/>
              <w:rPr>
                <w:sz w:val="22"/>
                <w:szCs w:val="22"/>
                <w:color w:val="auto"/>
              </w:rPr>
            </w:pPr>
          </w:p>
        </w:tc>
      </w:tr>
      <w:tr>
        <w:trPr>
          <w:trHeight w:val="239"/>
        </w:trPr>
        <w:tc>
          <w:tcPr>
            <w:tcW w:w="7420" w:type="dxa"/>
            <w:vAlign w:val="bottom"/>
            <w:shd w:val="clear" w:color="auto" w:fill="CFF0FC"/>
          </w:tcPr>
          <w:p>
            <w:pPr>
              <w:ind w:left="200"/>
              <w:spacing w:after="0" w:line="240" w:lineRule="exact"/>
              <w:rPr>
                <w:sz w:val="20"/>
                <w:szCs w:val="20"/>
                <w:color w:val="auto"/>
              </w:rPr>
            </w:pPr>
            <w:r>
              <w:rPr>
                <w:rFonts w:ascii="Calibri" w:cs="Calibri" w:eastAsia="Calibri" w:hAnsi="Calibri"/>
                <w:sz w:val="20"/>
                <w:szCs w:val="20"/>
                <w:color w:val="auto"/>
              </w:rPr>
              <w:t>Accrued liabilites for purchases of property, plant and equipment</w:t>
            </w:r>
          </w:p>
        </w:tc>
        <w:tc>
          <w:tcPr>
            <w:tcW w:w="1060" w:type="dxa"/>
            <w:vAlign w:val="bottom"/>
            <w:shd w:val="clear" w:color="auto" w:fill="CFF0FC"/>
          </w:tcPr>
          <w:p>
            <w:pPr>
              <w:jc w:val="right"/>
              <w:ind w:right="841"/>
              <w:spacing w:after="0" w:line="240" w:lineRule="exact"/>
              <w:rPr>
                <w:sz w:val="20"/>
                <w:szCs w:val="20"/>
                <w:color w:val="auto"/>
              </w:rPr>
            </w:pPr>
            <w:r>
              <w:rPr>
                <w:rFonts w:ascii="Calibri" w:cs="Calibri" w:eastAsia="Calibri" w:hAnsi="Calibri"/>
                <w:sz w:val="20"/>
                <w:szCs w:val="20"/>
                <w:color w:val="auto"/>
                <w:w w:val="98"/>
              </w:rPr>
              <w:t>$</w:t>
            </w:r>
          </w:p>
        </w:tc>
        <w:tc>
          <w:tcPr>
            <w:tcW w:w="64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51.8</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line="240" w:lineRule="exact"/>
              <w:rPr>
                <w:sz w:val="20"/>
                <w:szCs w:val="20"/>
                <w:color w:val="auto"/>
              </w:rPr>
            </w:pPr>
            <w:r>
              <w:rPr>
                <w:rFonts w:ascii="Calibri" w:cs="Calibri" w:eastAsia="Calibri" w:hAnsi="Calibri"/>
                <w:sz w:val="20"/>
                <w:szCs w:val="20"/>
                <w:color w:val="auto"/>
              </w:rPr>
              <w:t>$</w:t>
            </w:r>
          </w:p>
        </w:tc>
        <w:tc>
          <w:tcPr>
            <w:tcW w:w="5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28.6</w:t>
            </w:r>
          </w:p>
        </w:tc>
        <w:tc>
          <w:tcPr>
            <w:tcW w:w="100" w:type="dxa"/>
            <w:vAlign w:val="bottom"/>
            <w:shd w:val="clear" w:color="auto" w:fill="CFF0FC"/>
          </w:tcPr>
          <w:p>
            <w:pPr>
              <w:spacing w:after="0"/>
              <w:rPr>
                <w:sz w:val="20"/>
                <w:szCs w:val="20"/>
                <w:color w:val="auto"/>
              </w:rPr>
            </w:pPr>
          </w:p>
        </w:tc>
      </w:tr>
      <w:tr>
        <w:trPr>
          <w:trHeight w:val="230"/>
        </w:trPr>
        <w:tc>
          <w:tcPr>
            <w:tcW w:w="7420" w:type="dxa"/>
            <w:vAlign w:val="bottom"/>
          </w:tcPr>
          <w:p>
            <w:pPr>
              <w:ind w:left="200"/>
              <w:spacing w:after="0" w:line="229" w:lineRule="exact"/>
              <w:rPr>
                <w:sz w:val="20"/>
                <w:szCs w:val="20"/>
                <w:color w:val="auto"/>
              </w:rPr>
            </w:pPr>
            <w:r>
              <w:rPr>
                <w:rFonts w:ascii="Calibri" w:cs="Calibri" w:eastAsia="Calibri" w:hAnsi="Calibri"/>
                <w:sz w:val="20"/>
                <w:szCs w:val="20"/>
                <w:color w:val="auto"/>
              </w:rPr>
              <w:t>Remeasurement of operatng lease right-of-use assets</w:t>
            </w:r>
          </w:p>
        </w:tc>
        <w:tc>
          <w:tcPr>
            <w:tcW w:w="1060" w:type="dxa"/>
            <w:vAlign w:val="bottom"/>
          </w:tcPr>
          <w:p>
            <w:pPr>
              <w:jc w:val="right"/>
              <w:ind w:right="841"/>
              <w:spacing w:after="0" w:line="229" w:lineRule="exact"/>
              <w:rPr>
                <w:sz w:val="20"/>
                <w:szCs w:val="20"/>
                <w:color w:val="auto"/>
              </w:rPr>
            </w:pPr>
            <w:r>
              <w:rPr>
                <w:rFonts w:ascii="Calibri" w:cs="Calibri" w:eastAsia="Calibri" w:hAnsi="Calibri"/>
                <w:sz w:val="20"/>
                <w:szCs w:val="20"/>
                <w:color w:val="auto"/>
                <w:w w:val="98"/>
              </w:rPr>
              <w:t>$</w:t>
            </w:r>
          </w:p>
        </w:tc>
        <w:tc>
          <w:tcPr>
            <w:tcW w:w="920" w:type="dxa"/>
            <w:vAlign w:val="bottom"/>
            <w:gridSpan w:val="2"/>
          </w:tcPr>
          <w:p>
            <w:pPr>
              <w:jc w:val="right"/>
              <w:ind w:right="101"/>
              <w:spacing w:after="0" w:line="229" w:lineRule="exact"/>
              <w:rPr>
                <w:sz w:val="20"/>
                <w:szCs w:val="20"/>
                <w:color w:val="auto"/>
              </w:rPr>
            </w:pPr>
            <w:r>
              <w:rPr>
                <w:rFonts w:ascii="Calibri" w:cs="Calibri" w:eastAsia="Calibri" w:hAnsi="Calibri"/>
                <w:sz w:val="20"/>
                <w:szCs w:val="20"/>
                <w:color w:val="auto"/>
              </w:rPr>
              <w:t>(4.9 )</w:t>
            </w:r>
          </w:p>
        </w:tc>
        <w:tc>
          <w:tcPr>
            <w:tcW w:w="1160" w:type="dxa"/>
            <w:vAlign w:val="bottom"/>
          </w:tcPr>
          <w:p>
            <w:pPr>
              <w:spacing w:after="0" w:line="229" w:lineRule="exact"/>
              <w:rPr>
                <w:sz w:val="20"/>
                <w:szCs w:val="20"/>
                <w:color w:val="auto"/>
              </w:rPr>
            </w:pPr>
            <w:r>
              <w:rPr>
                <w:rFonts w:ascii="Calibri" w:cs="Calibri" w:eastAsia="Calibri" w:hAnsi="Calibri"/>
                <w:sz w:val="20"/>
                <w:szCs w:val="20"/>
                <w:color w:val="auto"/>
              </w:rPr>
              <w:t>$</w:t>
            </w:r>
          </w:p>
        </w:tc>
        <w:tc>
          <w:tcPr>
            <w:tcW w:w="68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(12.4 )</w:t>
            </w:r>
          </w:p>
        </w:tc>
      </w:tr>
      <w:tr>
        <w:trPr>
          <w:trHeight w:val="229"/>
        </w:trPr>
        <w:tc>
          <w:tcPr>
            <w:tcW w:w="742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Remeasurement of fnance lease right-of-use assets</w:t>
            </w:r>
          </w:p>
        </w:tc>
        <w:tc>
          <w:tcPr>
            <w:tcW w:w="1060" w:type="dxa"/>
            <w:vAlign w:val="bottom"/>
            <w:shd w:val="clear" w:color="auto" w:fill="CFF0FC"/>
          </w:tcPr>
          <w:p>
            <w:pPr>
              <w:jc w:val="right"/>
              <w:ind w:right="841"/>
              <w:spacing w:after="0" w:line="229" w:lineRule="exact"/>
              <w:rPr>
                <w:sz w:val="20"/>
                <w:szCs w:val="20"/>
                <w:color w:val="auto"/>
              </w:rPr>
            </w:pPr>
            <w:r>
              <w:rPr>
                <w:rFonts w:ascii="Calibri" w:cs="Calibri" w:eastAsia="Calibri" w:hAnsi="Calibri"/>
                <w:sz w:val="20"/>
                <w:szCs w:val="20"/>
                <w:color w:val="auto"/>
                <w:w w:val="98"/>
              </w:rPr>
              <w:t>$</w:t>
            </w:r>
          </w:p>
        </w:tc>
        <w:tc>
          <w:tcPr>
            <w:tcW w:w="920" w:type="dxa"/>
            <w:vAlign w:val="bottom"/>
            <w:gridSpan w:val="2"/>
            <w:shd w:val="clear" w:color="auto" w:fill="CFF0FC"/>
          </w:tcPr>
          <w:p>
            <w:pPr>
              <w:jc w:val="right"/>
              <w:ind w:right="101"/>
              <w:spacing w:after="0" w:line="229" w:lineRule="exact"/>
              <w:rPr>
                <w:sz w:val="20"/>
                <w:szCs w:val="20"/>
                <w:color w:val="auto"/>
              </w:rPr>
            </w:pPr>
            <w:r>
              <w:rPr>
                <w:rFonts w:ascii="Calibri" w:cs="Calibri" w:eastAsia="Calibri" w:hAnsi="Calibri"/>
                <w:sz w:val="20"/>
                <w:szCs w:val="20"/>
                <w:color w:val="auto"/>
              </w:rPr>
              <w:t>(11.4 )</w:t>
            </w:r>
          </w:p>
        </w:tc>
        <w:tc>
          <w:tcPr>
            <w:tcW w:w="1160" w:type="dxa"/>
            <w:vAlign w:val="bottom"/>
            <w:shd w:val="clear" w:color="auto" w:fill="CFF0FC"/>
          </w:tcPr>
          <w:p>
            <w:pPr>
              <w:spacing w:after="0" w:line="229" w:lineRule="exact"/>
              <w:rPr>
                <w:sz w:val="20"/>
                <w:szCs w:val="20"/>
                <w:color w:val="auto"/>
              </w:rPr>
            </w:pPr>
            <w:r>
              <w:rPr>
                <w:rFonts w:ascii="Calibri" w:cs="Calibri" w:eastAsia="Calibri" w:hAnsi="Calibri"/>
                <w:sz w:val="20"/>
                <w:szCs w:val="20"/>
                <w:color w:val="auto"/>
              </w:rPr>
              <w:t>$</w:t>
            </w:r>
          </w:p>
        </w:tc>
        <w:tc>
          <w:tcPr>
            <w:tcW w:w="680" w:type="dxa"/>
            <w:vAlign w:val="bottom"/>
            <w:gridSpan w:val="2"/>
            <w:shd w:val="clear" w:color="auto" w:fill="CFF0FC"/>
          </w:tcPr>
          <w:p>
            <w:pPr>
              <w:jc w:val="right"/>
              <w:ind w:right="120"/>
              <w:spacing w:after="0" w:line="229" w:lineRule="exact"/>
              <w:rPr>
                <w:sz w:val="20"/>
                <w:szCs w:val="20"/>
                <w:color w:val="auto"/>
              </w:rPr>
            </w:pPr>
            <w:r>
              <w:rPr>
                <w:rFonts w:ascii="Calibri" w:cs="Calibri" w:eastAsia="Calibri" w:hAnsi="Calibri"/>
                <w:sz w:val="20"/>
                <w:szCs w:val="20"/>
                <w:color w:val="auto"/>
              </w:rPr>
              <w:t>—</w:t>
            </w:r>
          </w:p>
        </w:tc>
      </w:tr>
    </w:tbl>
    <w:p>
      <w:pPr>
        <w:spacing w:after="0" w:line="138" w:lineRule="exact"/>
        <w:rPr>
          <w:sz w:val="20"/>
          <w:szCs w:val="20"/>
          <w:color w:val="auto"/>
        </w:rPr>
      </w:pPr>
    </w:p>
    <w:p>
      <w:pPr>
        <w:jc w:val="both"/>
        <w:ind w:left="380" w:right="20"/>
        <w:spacing w:after="0" w:line="227" w:lineRule="auto"/>
        <w:rPr>
          <w:sz w:val="20"/>
          <w:szCs w:val="20"/>
          <w:color w:val="auto"/>
        </w:rPr>
      </w:pPr>
      <w:r>
        <w:rPr>
          <w:rFonts w:ascii="Calibri" w:cs="Calibri" w:eastAsia="Calibri" w:hAnsi="Calibri"/>
          <w:sz w:val="20"/>
          <w:szCs w:val="20"/>
          <w:color w:val="auto"/>
        </w:rPr>
        <w:t>For the nine months ended September 30, 2021, the right-of-use assets obtained in exchange for new fnance lease liabilites balance were primarily atributable to the lease of the new corporate headquarters, producton equipment, and leases assumed as part of the Tiller acquisiton.</w:t>
      </w:r>
    </w:p>
    <w:p>
      <w:pPr>
        <w:spacing w:after="0" w:line="94"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Supplemental disclosures of cash fow informaton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gridSpan w:val="3"/>
          </w:tcPr>
          <w:p>
            <w:pPr>
              <w:jc w:val="center"/>
              <w:spacing w:after="0"/>
              <w:rPr>
                <w:sz w:val="20"/>
                <w:szCs w:val="20"/>
                <w:color w:val="auto"/>
              </w:rPr>
            </w:pPr>
            <w:r>
              <w:rPr>
                <w:rFonts w:ascii="Calibri" w:cs="Calibri" w:eastAsia="Calibri" w:hAnsi="Calibri"/>
                <w:sz w:val="20"/>
                <w:szCs w:val="20"/>
                <w:color w:val="auto"/>
              </w:rPr>
              <w:t>Nine Months Ended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7"/>
        </w:trPr>
        <w:tc>
          <w:tcPr>
            <w:tcW w:w="72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line="234" w:lineRule="exact"/>
              <w:rPr>
                <w:sz w:val="20"/>
                <w:szCs w:val="20"/>
                <w:color w:val="auto"/>
              </w:rPr>
            </w:pPr>
            <w:r>
              <w:rPr>
                <w:rFonts w:ascii="Calibri" w:cs="Calibri" w:eastAsia="Calibri" w:hAnsi="Calibri"/>
                <w:sz w:val="20"/>
                <w:szCs w:val="20"/>
                <w:color w:val="auto"/>
              </w:rPr>
              <w:t>September 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280" w:type="dxa"/>
            <w:vAlign w:val="bottom"/>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2022</w:t>
            </w: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1"/>
              <w:spacing w:after="0" w:line="229" w:lineRule="exact"/>
              <w:rPr>
                <w:sz w:val="20"/>
                <w:szCs w:val="20"/>
                <w:color w:val="auto"/>
              </w:rPr>
            </w:pPr>
            <w:r>
              <w:rPr>
                <w:rFonts w:ascii="Calibri" w:cs="Calibri" w:eastAsia="Calibri" w:hAnsi="Calibri"/>
                <w:sz w:val="20"/>
                <w:szCs w:val="20"/>
                <w:color w:val="auto"/>
                <w:w w:val="93"/>
              </w:rPr>
              <w:t>2021</w:t>
            </w:r>
          </w:p>
        </w:tc>
        <w:tc>
          <w:tcPr>
            <w:tcW w:w="10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center"/>
              <w:spacing w:after="0" w:line="223" w:lineRule="exact"/>
              <w:rPr>
                <w:sz w:val="20"/>
                <w:szCs w:val="20"/>
                <w:color w:val="auto"/>
              </w:rPr>
            </w:pPr>
            <w:r>
              <w:rPr>
                <w:rFonts w:ascii="Calibri" w:cs="Calibri" w:eastAsia="Calibri" w:hAnsi="Calibri"/>
                <w:sz w:val="20"/>
                <w:szCs w:val="20"/>
                <w:i w:val="1"/>
                <w:iCs w:val="1"/>
                <w:color w:val="auto"/>
                <w:w w:val="86"/>
              </w:rPr>
              <w:t>(Dollars</w:t>
            </w:r>
          </w:p>
        </w:tc>
        <w:tc>
          <w:tcPr>
            <w:tcW w:w="360" w:type="dxa"/>
            <w:vAlign w:val="bottom"/>
          </w:tcPr>
          <w:p>
            <w:pPr>
              <w:ind w:left="160"/>
              <w:spacing w:after="0" w:line="214" w:lineRule="exact"/>
              <w:rPr>
                <w:sz w:val="20"/>
                <w:szCs w:val="20"/>
                <w:color w:val="auto"/>
              </w:rPr>
            </w:pPr>
            <w:r>
              <w:rPr>
                <w:rFonts w:ascii="Calibri" w:cs="Calibri" w:eastAsia="Calibri" w:hAnsi="Calibri"/>
                <w:sz w:val="20"/>
                <w:szCs w:val="20"/>
                <w:i w:val="1"/>
                <w:iCs w:val="1"/>
                <w:color w:val="auto"/>
              </w:rPr>
              <w:t>in</w:t>
            </w:r>
          </w:p>
        </w:tc>
        <w:tc>
          <w:tcPr>
            <w:tcW w:w="720" w:type="dxa"/>
            <w:vAlign w:val="bottom"/>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Cash paid for interest, net of capitalized amount</w:t>
            </w:r>
          </w:p>
        </w:tc>
        <w:tc>
          <w:tcPr>
            <w:tcW w:w="1060" w:type="dxa"/>
            <w:vAlign w:val="bottom"/>
            <w:shd w:val="clear" w:color="auto" w:fill="CFF0FC"/>
          </w:tcPr>
          <w:p>
            <w:pPr>
              <w:jc w:val="right"/>
              <w:ind w:right="861"/>
              <w:spacing w:after="0" w:line="229" w:lineRule="exact"/>
              <w:rPr>
                <w:sz w:val="20"/>
                <w:szCs w:val="20"/>
                <w:color w:val="auto"/>
              </w:rPr>
            </w:pPr>
            <w:r>
              <w:rPr>
                <w:rFonts w:ascii="Calibri" w:cs="Calibri" w:eastAsia="Calibri" w:hAnsi="Calibri"/>
                <w:sz w:val="20"/>
                <w:szCs w:val="20"/>
                <w:color w:val="auto"/>
                <w:w w:val="78"/>
              </w:rPr>
              <w:t>$</w:t>
            </w:r>
          </w:p>
        </w:tc>
        <w:tc>
          <w:tcPr>
            <w:tcW w:w="600" w:type="dxa"/>
            <w:vAlign w:val="bottom"/>
            <w:shd w:val="clear" w:color="auto" w:fill="CFF0FC"/>
          </w:tcPr>
          <w:p>
            <w:pPr>
              <w:jc w:val="center"/>
              <w:ind w:left="21"/>
              <w:spacing w:after="0" w:line="229" w:lineRule="exact"/>
              <w:rPr>
                <w:sz w:val="20"/>
                <w:szCs w:val="20"/>
                <w:color w:val="auto"/>
              </w:rPr>
            </w:pPr>
            <w:r>
              <w:rPr>
                <w:rFonts w:ascii="Calibri" w:cs="Calibri" w:eastAsia="Calibri" w:hAnsi="Calibri"/>
                <w:sz w:val="20"/>
                <w:szCs w:val="20"/>
                <w:color w:val="auto"/>
                <w:w w:val="96"/>
              </w:rPr>
              <w:t>126.3</w:t>
            </w:r>
          </w:p>
        </w:tc>
        <w:tc>
          <w:tcPr>
            <w:tcW w:w="1080" w:type="dxa"/>
            <w:vAlign w:val="bottom"/>
            <w:gridSpan w:val="2"/>
            <w:shd w:val="clear" w:color="auto" w:fill="CFF0FC"/>
          </w:tcPr>
          <w:p>
            <w:pPr>
              <w:ind w:left="380"/>
              <w:spacing w:after="0" w:line="229" w:lineRule="exact"/>
              <w:rPr>
                <w:sz w:val="20"/>
                <w:szCs w:val="20"/>
                <w:color w:val="auto"/>
              </w:rPr>
            </w:pPr>
            <w:r>
              <w:rPr>
                <w:rFonts w:ascii="Calibri" w:cs="Calibri" w:eastAsia="Calibri" w:hAnsi="Calibri"/>
                <w:sz w:val="20"/>
                <w:szCs w:val="20"/>
                <w:color w:val="auto"/>
              </w:rPr>
              <w:t>$</w:t>
            </w:r>
          </w:p>
        </w:tc>
        <w:tc>
          <w:tcPr>
            <w:tcW w:w="11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68.7</w:t>
            </w:r>
          </w:p>
        </w:tc>
        <w:tc>
          <w:tcPr>
            <w:tcW w:w="100" w:type="dxa"/>
            <w:vAlign w:val="bottom"/>
            <w:shd w:val="clear" w:color="auto" w:fill="CFF0FC"/>
          </w:tcPr>
          <w:p>
            <w:pPr>
              <w:spacing w:after="0"/>
              <w:rPr>
                <w:sz w:val="19"/>
                <w:szCs w:val="19"/>
                <w:color w:val="auto"/>
              </w:rPr>
            </w:pPr>
          </w:p>
        </w:tc>
      </w:tr>
      <w:tr>
        <w:trPr>
          <w:trHeight w:val="234"/>
        </w:trPr>
        <w:tc>
          <w:tcPr>
            <w:tcW w:w="7280" w:type="dxa"/>
            <w:vAlign w:val="bottom"/>
          </w:tcPr>
          <w:p>
            <w:pPr>
              <w:ind w:left="20"/>
              <w:spacing w:after="0" w:line="234" w:lineRule="exact"/>
              <w:rPr>
                <w:sz w:val="20"/>
                <w:szCs w:val="20"/>
                <w:color w:val="auto"/>
              </w:rPr>
            </w:pPr>
            <w:r>
              <w:rPr>
                <w:rFonts w:ascii="Calibri" w:cs="Calibri" w:eastAsia="Calibri" w:hAnsi="Calibri"/>
                <w:sz w:val="20"/>
                <w:szCs w:val="20"/>
                <w:color w:val="auto"/>
              </w:rPr>
              <w:t>Cash paid for income taxes, net of refunds</w:t>
            </w:r>
          </w:p>
        </w:tc>
        <w:tc>
          <w:tcPr>
            <w:tcW w:w="1060" w:type="dxa"/>
            <w:vAlign w:val="bottom"/>
          </w:tcPr>
          <w:p>
            <w:pPr>
              <w:jc w:val="right"/>
              <w:ind w:right="861"/>
              <w:spacing w:after="0" w:line="234" w:lineRule="exact"/>
              <w:rPr>
                <w:sz w:val="20"/>
                <w:szCs w:val="20"/>
                <w:color w:val="auto"/>
              </w:rPr>
            </w:pPr>
            <w:r>
              <w:rPr>
                <w:rFonts w:ascii="Calibri" w:cs="Calibri" w:eastAsia="Calibri" w:hAnsi="Calibri"/>
                <w:sz w:val="20"/>
                <w:szCs w:val="20"/>
                <w:color w:val="auto"/>
                <w:w w:val="78"/>
              </w:rPr>
              <w:t>$</w:t>
            </w:r>
          </w:p>
        </w:tc>
        <w:tc>
          <w:tcPr>
            <w:tcW w:w="600" w:type="dxa"/>
            <w:vAlign w:val="bottom"/>
          </w:tcPr>
          <w:p>
            <w:pPr>
              <w:jc w:val="center"/>
              <w:ind w:left="21"/>
              <w:spacing w:after="0" w:line="234" w:lineRule="exact"/>
              <w:rPr>
                <w:sz w:val="20"/>
                <w:szCs w:val="20"/>
                <w:color w:val="auto"/>
              </w:rPr>
            </w:pPr>
            <w:r>
              <w:rPr>
                <w:rFonts w:ascii="Calibri" w:cs="Calibri" w:eastAsia="Calibri" w:hAnsi="Calibri"/>
                <w:sz w:val="20"/>
                <w:szCs w:val="20"/>
                <w:color w:val="auto"/>
                <w:w w:val="96"/>
              </w:rPr>
              <w:t>160.0</w:t>
            </w:r>
          </w:p>
        </w:tc>
        <w:tc>
          <w:tcPr>
            <w:tcW w:w="1080" w:type="dxa"/>
            <w:vAlign w:val="bottom"/>
            <w:gridSpan w:val="2"/>
          </w:tcPr>
          <w:p>
            <w:pPr>
              <w:ind w:left="38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line="234" w:lineRule="exact"/>
              <w:rPr>
                <w:sz w:val="20"/>
                <w:szCs w:val="20"/>
                <w:color w:val="auto"/>
              </w:rPr>
            </w:pPr>
            <w:r>
              <w:rPr>
                <w:rFonts w:ascii="Calibri" w:cs="Calibri" w:eastAsia="Calibri" w:hAnsi="Calibri"/>
                <w:sz w:val="20"/>
                <w:szCs w:val="20"/>
                <w:color w:val="auto"/>
              </w:rPr>
              <w:t>101.1</w:t>
            </w:r>
          </w:p>
        </w:tc>
        <w:tc>
          <w:tcPr>
            <w:tcW w:w="100" w:type="dxa"/>
            <w:vAlign w:val="bottom"/>
          </w:tcPr>
          <w:p>
            <w:pPr>
              <w:spacing w:after="0"/>
              <w:rPr>
                <w:sz w:val="20"/>
                <w:szCs w:val="20"/>
                <w:color w:val="auto"/>
              </w:rPr>
            </w:pPr>
          </w:p>
        </w:tc>
      </w:tr>
    </w:tbl>
    <w:p>
      <w:pPr>
        <w:spacing w:after="0" w:line="133" w:lineRule="exact"/>
        <w:rPr>
          <w:sz w:val="20"/>
          <w:szCs w:val="20"/>
          <w:color w:val="auto"/>
        </w:rPr>
      </w:pPr>
    </w:p>
    <w:p>
      <w:pPr>
        <w:jc w:val="both"/>
        <w:ind w:left="380"/>
        <w:spacing w:after="0" w:line="227" w:lineRule="auto"/>
        <w:rPr>
          <w:sz w:val="20"/>
          <w:szCs w:val="20"/>
          <w:color w:val="auto"/>
        </w:rPr>
      </w:pPr>
      <w:r>
        <w:rPr>
          <w:rFonts w:ascii="Calibri" w:cs="Calibri" w:eastAsia="Calibri" w:hAnsi="Calibri"/>
          <w:sz w:val="20"/>
          <w:szCs w:val="20"/>
          <w:color w:val="auto"/>
        </w:rPr>
        <w:t xml:space="preserve">During the nine months ended September 30, 2021, the Company received proceeds of $13.9 million, related to its company-owned life insurance policies. The proceeds are included in the </w:t>
      </w:r>
      <w:r>
        <w:rPr>
          <w:rFonts w:ascii="Calibri" w:cs="Calibri" w:eastAsia="Calibri" w:hAnsi="Calibri"/>
          <w:sz w:val="20"/>
          <w:szCs w:val="20"/>
          <w:i w:val="1"/>
          <w:iCs w:val="1"/>
          <w:color w:val="auto"/>
        </w:rPr>
        <w:t>Investments in life insurance contracts, net</w:t>
      </w:r>
      <w:r>
        <w:rPr>
          <w:rFonts w:ascii="Calibri" w:cs="Calibri" w:eastAsia="Calibri" w:hAnsi="Calibri"/>
          <w:sz w:val="20"/>
          <w:szCs w:val="20"/>
          <w:color w:val="auto"/>
        </w:rPr>
        <w:t>, in the investng actvites of the consolidated statements of cash fows.</w:t>
      </w:r>
    </w:p>
    <w:p>
      <w:pPr>
        <w:spacing w:after="0" w:line="310" w:lineRule="exact"/>
        <w:rPr>
          <w:sz w:val="20"/>
          <w:szCs w:val="20"/>
          <w:color w:val="auto"/>
        </w:rPr>
      </w:pPr>
    </w:p>
    <w:p>
      <w:pPr>
        <w:ind w:left="380" w:hanging="372"/>
        <w:spacing w:after="0"/>
        <w:tabs>
          <w:tab w:leader="none" w:pos="38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Operatng Income, Net</w:t>
      </w:r>
    </w:p>
    <w:p>
      <w:pPr>
        <w:spacing w:after="0" w:line="103" w:lineRule="exact"/>
        <w:rPr>
          <w:rFonts w:ascii="Calibri" w:cs="Calibri" w:eastAsia="Calibri" w:hAnsi="Calibri"/>
          <w:sz w:val="20"/>
          <w:szCs w:val="20"/>
          <w:b w:val="1"/>
          <w:bCs w:val="1"/>
          <w:color w:val="auto"/>
        </w:rPr>
      </w:pPr>
    </w:p>
    <w:p>
      <w:pPr>
        <w:jc w:val="both"/>
        <w:ind w:left="380"/>
        <w:spacing w:after="0" w:line="222" w:lineRule="auto"/>
        <w:rPr>
          <w:rFonts w:ascii="Calibri" w:cs="Calibri" w:eastAsia="Calibri" w:hAnsi="Calibri"/>
          <w:sz w:val="20"/>
          <w:szCs w:val="20"/>
          <w:b w:val="1"/>
          <w:bCs w:val="1"/>
          <w:color w:val="auto"/>
        </w:rPr>
      </w:pPr>
      <w:r>
        <w:rPr>
          <w:rFonts w:ascii="Calibri" w:cs="Calibri" w:eastAsia="Calibri" w:hAnsi="Calibri"/>
          <w:sz w:val="20"/>
          <w:szCs w:val="20"/>
          <w:color w:val="auto"/>
        </w:rPr>
        <w:t>For the nine months ended September 30, 2022, other operatng income, net, included a $151.9 million pretax gain on the divestture of the Colorado and Central Texas ready mixed concrete operatons. Other operatng income, net, for the nine months ended September 30, 2021 included a $12.3 million pretax gain on the sale of the Company’s former corporate headquarters.</w:t>
      </w:r>
    </w:p>
    <w:p>
      <w:pPr>
        <w:spacing w:after="0" w:line="311"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1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Nonoperatng Income, Net</w:t>
      </w:r>
    </w:p>
    <w:p>
      <w:pPr>
        <w:spacing w:after="0" w:line="103" w:lineRule="exact"/>
        <w:rPr>
          <w:rFonts w:ascii="Calibri" w:cs="Calibri" w:eastAsia="Calibri" w:hAnsi="Calibri"/>
          <w:sz w:val="20"/>
          <w:szCs w:val="20"/>
          <w:b w:val="1"/>
          <w:bCs w:val="1"/>
          <w:color w:val="auto"/>
        </w:rPr>
      </w:pPr>
    </w:p>
    <w:p>
      <w:pPr>
        <w:ind w:left="380" w:right="20"/>
        <w:spacing w:after="0" w:line="228" w:lineRule="auto"/>
        <w:rPr>
          <w:rFonts w:ascii="Calibri" w:cs="Calibri" w:eastAsia="Calibri" w:hAnsi="Calibri"/>
          <w:sz w:val="20"/>
          <w:szCs w:val="20"/>
          <w:b w:val="1"/>
          <w:bCs w:val="1"/>
          <w:color w:val="auto"/>
        </w:rPr>
      </w:pPr>
      <w:r>
        <w:rPr>
          <w:rFonts w:ascii="Calibri" w:cs="Calibri" w:eastAsia="Calibri" w:hAnsi="Calibri"/>
          <w:sz w:val="20"/>
          <w:szCs w:val="20"/>
          <w:color w:val="auto"/>
        </w:rPr>
        <w:t>Other nonoperatng income, net, for the nine months ended September 30, 2022 included a $12.0 million pretax gain related to the repurchase of the Company’s debt and higher interest income compared with the prior-year period.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5" w:name="page26"/>
    <w:bookmarkEnd w:id="2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Item 2. Management’s Discussion and Analysis of Financial Conditon and Results of Operatons.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OVERVIEW</w:t>
      </w:r>
    </w:p>
    <w:p>
      <w:pPr>
        <w:spacing w:after="0" w:line="10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Martn Marieta Materials, Inc. (the Company or Martn Marieta) is a natural resource-based building materials company. As of September 30, 2022, the Company supplies aggregates (crushed stone, sand and gravel) through its network of approximately 350 quarries, mines and distributon yards in 28 states, Canada and The Bahamas. Martn Marieta also provides cement and downstream products and services, namely, ready mixed concrete, asphalt and paving, in vertcally-integrated structured markets where the Company has a leading aggregates positon. In additon, the Company has one cement plant, cement distributon terminals and ready mixed concrete operatons in California that are classifed as assets held for sale and reported as discontnued operatons as of and for the nine months ended September 30, 2022.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169"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Company’s Building Materials business includes two reportable segments: the East Group and the West Group.</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BUILDING MATERIALS BUSINESS</w:t>
      </w:r>
    </w:p>
    <w:p>
      <w:pPr>
        <w:jc w:val="center"/>
        <w:spacing w:after="0" w:line="212" w:lineRule="auto"/>
        <w:rPr>
          <w:sz w:val="20"/>
          <w:szCs w:val="20"/>
          <w:color w:val="auto"/>
        </w:rPr>
      </w:pPr>
      <w:r>
        <w:rPr>
          <w:rFonts w:ascii="Calibri" w:cs="Calibri" w:eastAsia="Calibri" w:hAnsi="Calibri"/>
          <w:sz w:val="20"/>
          <w:szCs w:val="20"/>
          <w:b w:val="1"/>
          <w:bCs w:val="1"/>
          <w:color w:val="auto"/>
        </w:rPr>
        <w:t>(contnuing operatons only)</w:t>
      </w:r>
    </w:p>
    <w:tbl>
      <w:tblPr>
        <w:tblLayout w:type="fixed"/>
        <w:tblInd w:w="0" w:type="dxa"/>
        <w:tblCellMar>
          <w:top w:w="0" w:type="dxa"/>
          <w:left w:w="0" w:type="dxa"/>
          <w:bottom w:w="0" w:type="dxa"/>
          <w:right w:w="0" w:type="dxa"/>
        </w:tblCellMar>
      </w:tblPr>
      <w:tr>
        <w:trPr>
          <w:trHeight w:val="263"/>
        </w:trPr>
        <w:tc>
          <w:tcPr>
            <w:tcW w:w="216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20"/>
                <w:szCs w:val="20"/>
                <w:color w:val="auto"/>
              </w:rPr>
              <w:t>Reportable Segments</w:t>
            </w:r>
          </w:p>
        </w:tc>
        <w:tc>
          <w:tcPr>
            <w:tcW w:w="120" w:type="dxa"/>
            <w:vAlign w:val="bottom"/>
            <w:tcBorders>
              <w:top w:val="single" w:sz="8" w:color="auto"/>
            </w:tcBorders>
          </w:tcPr>
          <w:p>
            <w:pPr>
              <w:spacing w:after="0"/>
              <w:rPr>
                <w:sz w:val="22"/>
                <w:szCs w:val="22"/>
                <w:color w:val="auto"/>
              </w:rPr>
            </w:pPr>
          </w:p>
        </w:tc>
        <w:tc>
          <w:tcPr>
            <w:tcW w:w="448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20"/>
                <w:szCs w:val="20"/>
                <w:color w:val="auto"/>
              </w:rPr>
              <w:t>East Group</w:t>
            </w:r>
          </w:p>
        </w:tc>
        <w:tc>
          <w:tcPr>
            <w:tcW w:w="100" w:type="dxa"/>
            <w:vAlign w:val="bottom"/>
            <w:tcBorders>
              <w:top w:val="single" w:sz="8" w:color="auto"/>
            </w:tcBorders>
          </w:tcPr>
          <w:p>
            <w:pPr>
              <w:spacing w:after="0"/>
              <w:rPr>
                <w:sz w:val="22"/>
                <w:szCs w:val="22"/>
                <w:color w:val="auto"/>
              </w:rPr>
            </w:pPr>
          </w:p>
        </w:tc>
        <w:tc>
          <w:tcPr>
            <w:tcW w:w="438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20"/>
                <w:szCs w:val="20"/>
                <w:color w:val="auto"/>
              </w:rPr>
              <w:t>West Group</w:t>
            </w:r>
          </w:p>
        </w:tc>
      </w:tr>
      <w:tr>
        <w:trPr>
          <w:trHeight w:val="178"/>
        </w:trPr>
        <w:tc>
          <w:tcPr>
            <w:tcW w:w="2160" w:type="dxa"/>
            <w:vAlign w:val="bottom"/>
          </w:tcPr>
          <w:p>
            <w:pPr>
              <w:jc w:val="center"/>
              <w:spacing w:after="0" w:line="178" w:lineRule="exact"/>
              <w:rPr>
                <w:sz w:val="20"/>
                <w:szCs w:val="20"/>
                <w:color w:val="auto"/>
              </w:rPr>
            </w:pPr>
            <w:r>
              <w:rPr>
                <w:rFonts w:ascii="Calibri" w:cs="Calibri" w:eastAsia="Calibri" w:hAnsi="Calibri"/>
                <w:sz w:val="19"/>
                <w:szCs w:val="19"/>
                <w:color w:val="auto"/>
              </w:rPr>
              <w:t>Operatng Locatons</w:t>
            </w:r>
          </w:p>
        </w:tc>
        <w:tc>
          <w:tcPr>
            <w:tcW w:w="120" w:type="dxa"/>
            <w:vAlign w:val="bottom"/>
          </w:tcPr>
          <w:p>
            <w:pPr>
              <w:spacing w:after="0"/>
              <w:rPr>
                <w:sz w:val="15"/>
                <w:szCs w:val="15"/>
                <w:color w:val="auto"/>
              </w:rPr>
            </w:pPr>
          </w:p>
        </w:tc>
        <w:tc>
          <w:tcPr>
            <w:tcW w:w="4480" w:type="dxa"/>
            <w:vAlign w:val="bottom"/>
          </w:tcPr>
          <w:p>
            <w:pPr>
              <w:jc w:val="center"/>
              <w:spacing w:after="0" w:line="178" w:lineRule="exact"/>
              <w:rPr>
                <w:sz w:val="20"/>
                <w:szCs w:val="20"/>
                <w:color w:val="auto"/>
              </w:rPr>
            </w:pPr>
            <w:r>
              <w:rPr>
                <w:rFonts w:ascii="Calibri" w:cs="Calibri" w:eastAsia="Calibri" w:hAnsi="Calibri"/>
                <w:sz w:val="19"/>
                <w:szCs w:val="19"/>
                <w:color w:val="auto"/>
              </w:rPr>
              <w:t>Alabama, Florida, Georgia, Indiana, Iowa,</w:t>
            </w:r>
          </w:p>
        </w:tc>
        <w:tc>
          <w:tcPr>
            <w:tcW w:w="100" w:type="dxa"/>
            <w:vAlign w:val="bottom"/>
          </w:tcPr>
          <w:p>
            <w:pPr>
              <w:spacing w:after="0"/>
              <w:rPr>
                <w:sz w:val="15"/>
                <w:szCs w:val="15"/>
                <w:color w:val="auto"/>
              </w:rPr>
            </w:pPr>
          </w:p>
        </w:tc>
        <w:tc>
          <w:tcPr>
            <w:tcW w:w="4380" w:type="dxa"/>
            <w:vAlign w:val="bottom"/>
          </w:tcPr>
          <w:p>
            <w:pPr>
              <w:jc w:val="center"/>
              <w:spacing w:after="0" w:line="178" w:lineRule="exact"/>
              <w:rPr>
                <w:sz w:val="20"/>
                <w:szCs w:val="20"/>
                <w:color w:val="auto"/>
              </w:rPr>
            </w:pPr>
            <w:r>
              <w:rPr>
                <w:rFonts w:ascii="Calibri" w:cs="Calibri" w:eastAsia="Calibri" w:hAnsi="Calibri"/>
                <w:sz w:val="19"/>
                <w:szCs w:val="19"/>
                <w:color w:val="auto"/>
              </w:rPr>
              <w:t>Arizona, Arkansas, California, Colorado, Louisiana,</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jc w:val="center"/>
              <w:spacing w:after="0" w:line="203" w:lineRule="exact"/>
              <w:rPr>
                <w:sz w:val="20"/>
                <w:szCs w:val="20"/>
                <w:color w:val="auto"/>
              </w:rPr>
            </w:pPr>
            <w:r>
              <w:rPr>
                <w:rFonts w:ascii="Calibri" w:cs="Calibri" w:eastAsia="Calibri" w:hAnsi="Calibri"/>
                <w:sz w:val="20"/>
                <w:szCs w:val="20"/>
                <w:color w:val="auto"/>
                <w:w w:val="99"/>
              </w:rPr>
              <w:t>Kansas, Kentucky, Maryland,</w:t>
            </w:r>
          </w:p>
        </w:tc>
        <w:tc>
          <w:tcPr>
            <w:tcW w:w="100" w:type="dxa"/>
            <w:vAlign w:val="bottom"/>
          </w:tcPr>
          <w:p>
            <w:pPr>
              <w:spacing w:after="0"/>
              <w:rPr>
                <w:sz w:val="17"/>
                <w:szCs w:val="17"/>
                <w:color w:val="auto"/>
              </w:rPr>
            </w:pPr>
          </w:p>
        </w:tc>
        <w:tc>
          <w:tcPr>
            <w:tcW w:w="4380" w:type="dxa"/>
            <w:vAlign w:val="bottom"/>
          </w:tcPr>
          <w:p>
            <w:pPr>
              <w:jc w:val="center"/>
              <w:spacing w:after="0" w:line="203" w:lineRule="exact"/>
              <w:rPr>
                <w:sz w:val="20"/>
                <w:szCs w:val="20"/>
                <w:color w:val="auto"/>
              </w:rPr>
            </w:pPr>
            <w:r>
              <w:rPr>
                <w:rFonts w:ascii="Calibri" w:cs="Calibri" w:eastAsia="Calibri" w:hAnsi="Calibri"/>
                <w:sz w:val="20"/>
                <w:szCs w:val="20"/>
                <w:color w:val="auto"/>
                <w:w w:val="99"/>
              </w:rPr>
              <w:t>Oklahoma, Texas, Utah,</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jc w:val="center"/>
              <w:spacing w:after="0" w:line="203" w:lineRule="exact"/>
              <w:rPr>
                <w:sz w:val="20"/>
                <w:szCs w:val="20"/>
                <w:color w:val="auto"/>
              </w:rPr>
            </w:pPr>
            <w:r>
              <w:rPr>
                <w:rFonts w:ascii="Calibri" w:cs="Calibri" w:eastAsia="Calibri" w:hAnsi="Calibri"/>
                <w:sz w:val="20"/>
                <w:szCs w:val="20"/>
                <w:color w:val="auto"/>
              </w:rPr>
              <w:t>Minnesota, Missouri, Nebraska,</w:t>
            </w:r>
          </w:p>
        </w:tc>
        <w:tc>
          <w:tcPr>
            <w:tcW w:w="100" w:type="dxa"/>
            <w:vAlign w:val="bottom"/>
          </w:tcPr>
          <w:p>
            <w:pPr>
              <w:spacing w:after="0"/>
              <w:rPr>
                <w:sz w:val="17"/>
                <w:szCs w:val="17"/>
                <w:color w:val="auto"/>
              </w:rPr>
            </w:pPr>
          </w:p>
        </w:tc>
        <w:tc>
          <w:tcPr>
            <w:tcW w:w="4380" w:type="dxa"/>
            <w:vAlign w:val="bottom"/>
          </w:tcPr>
          <w:p>
            <w:pPr>
              <w:ind w:left="1060"/>
              <w:spacing w:after="0" w:line="203" w:lineRule="exact"/>
              <w:rPr>
                <w:sz w:val="20"/>
                <w:szCs w:val="20"/>
                <w:color w:val="auto"/>
              </w:rPr>
            </w:pPr>
            <w:r>
              <w:rPr>
                <w:rFonts w:ascii="Calibri" w:cs="Calibri" w:eastAsia="Calibri" w:hAnsi="Calibri"/>
                <w:sz w:val="20"/>
                <w:szCs w:val="20"/>
                <w:color w:val="auto"/>
              </w:rPr>
              <w:t>Washington and Wyoming</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Calibri" w:cs="Calibri" w:eastAsia="Calibri" w:hAnsi="Calibri"/>
                <w:sz w:val="20"/>
                <w:szCs w:val="20"/>
                <w:color w:val="auto"/>
              </w:rPr>
              <w:t>North Carolina, Ohio, Pennsylvania,</w:t>
            </w: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jc w:val="center"/>
              <w:spacing w:after="0" w:line="203" w:lineRule="exact"/>
              <w:rPr>
                <w:sz w:val="20"/>
                <w:szCs w:val="20"/>
                <w:color w:val="auto"/>
              </w:rPr>
            </w:pPr>
            <w:r>
              <w:rPr>
                <w:rFonts w:ascii="Calibri" w:cs="Calibri" w:eastAsia="Calibri" w:hAnsi="Calibri"/>
                <w:sz w:val="20"/>
                <w:szCs w:val="20"/>
                <w:color w:val="auto"/>
              </w:rPr>
              <w:t>South Carolina, Tennessee, Virginia,</w:t>
            </w: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jc w:val="center"/>
              <w:spacing w:after="0" w:line="234" w:lineRule="exact"/>
              <w:rPr>
                <w:sz w:val="20"/>
                <w:szCs w:val="20"/>
                <w:color w:val="auto"/>
              </w:rPr>
            </w:pPr>
            <w:r>
              <w:rPr>
                <w:rFonts w:ascii="Calibri" w:cs="Calibri" w:eastAsia="Calibri" w:hAnsi="Calibri"/>
                <w:sz w:val="20"/>
                <w:szCs w:val="20"/>
                <w:color w:val="auto"/>
              </w:rPr>
              <w:t>West Virginia, Nova Scota and The Bahamas</w:t>
            </w: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60"/>
        </w:trPr>
        <w:tc>
          <w:tcPr>
            <w:tcW w:w="2160" w:type="dxa"/>
            <w:vAlign w:val="bottom"/>
          </w:tcPr>
          <w:p>
            <w:pPr>
              <w:jc w:val="center"/>
              <w:spacing w:after="0"/>
              <w:rPr>
                <w:sz w:val="20"/>
                <w:szCs w:val="20"/>
                <w:color w:val="auto"/>
              </w:rPr>
            </w:pPr>
            <w:r>
              <w:rPr>
                <w:rFonts w:ascii="Calibri" w:cs="Calibri" w:eastAsia="Calibri" w:hAnsi="Calibri"/>
                <w:sz w:val="20"/>
                <w:szCs w:val="20"/>
                <w:color w:val="auto"/>
              </w:rPr>
              <w:t>Product Lines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Aggregates and Asphalt</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Aggregates, Cement, Ready</w:t>
            </w: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line="234" w:lineRule="exact"/>
              <w:rPr>
                <w:sz w:val="20"/>
                <w:szCs w:val="20"/>
                <w:color w:val="auto"/>
              </w:rPr>
            </w:pPr>
            <w:r>
              <w:rPr>
                <w:rFonts w:ascii="Calibri" w:cs="Calibri" w:eastAsia="Calibri" w:hAnsi="Calibri"/>
                <w:sz w:val="20"/>
                <w:szCs w:val="20"/>
                <w:color w:val="auto"/>
              </w:rPr>
              <w:t>Mixed Concrete, Asphalt and Paving Services</w:t>
            </w:r>
          </w:p>
        </w:tc>
      </w:tr>
      <w:tr>
        <w:trPr>
          <w:trHeight w:val="360"/>
        </w:trPr>
        <w:tc>
          <w:tcPr>
            <w:tcW w:w="2160" w:type="dxa"/>
            <w:vAlign w:val="bottom"/>
          </w:tcPr>
          <w:p>
            <w:pPr>
              <w:jc w:val="center"/>
              <w:spacing w:after="0"/>
              <w:rPr>
                <w:sz w:val="20"/>
                <w:szCs w:val="20"/>
                <w:color w:val="auto"/>
              </w:rPr>
            </w:pPr>
            <w:r>
              <w:rPr>
                <w:rFonts w:ascii="Calibri" w:cs="Calibri" w:eastAsia="Calibri" w:hAnsi="Calibri"/>
                <w:sz w:val="20"/>
                <w:szCs w:val="20"/>
                <w:color w:val="auto"/>
                <w:w w:val="99"/>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Quarries, Mines, Asphalt Plants and</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rPr>
              <w:t>Quarries, Mines, Cement Plants, Asphalt Plants,</w:t>
            </w:r>
          </w:p>
        </w:tc>
      </w:tr>
      <w:tr>
        <w:trPr>
          <w:trHeight w:val="203"/>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jc w:val="center"/>
              <w:spacing w:after="0" w:line="203" w:lineRule="exact"/>
              <w:rPr>
                <w:sz w:val="20"/>
                <w:szCs w:val="20"/>
                <w:color w:val="auto"/>
              </w:rPr>
            </w:pPr>
            <w:r>
              <w:rPr>
                <w:rFonts w:ascii="Calibri" w:cs="Calibri" w:eastAsia="Calibri" w:hAnsi="Calibri"/>
                <w:sz w:val="20"/>
                <w:szCs w:val="20"/>
                <w:color w:val="auto"/>
              </w:rPr>
              <w:t>Distributon Facilites</w:t>
            </w:r>
          </w:p>
        </w:tc>
        <w:tc>
          <w:tcPr>
            <w:tcW w:w="100" w:type="dxa"/>
            <w:vAlign w:val="bottom"/>
          </w:tcPr>
          <w:p>
            <w:pPr>
              <w:spacing w:after="0"/>
              <w:rPr>
                <w:sz w:val="17"/>
                <w:szCs w:val="17"/>
                <w:color w:val="auto"/>
              </w:rPr>
            </w:pPr>
          </w:p>
        </w:tc>
        <w:tc>
          <w:tcPr>
            <w:tcW w:w="4380" w:type="dxa"/>
            <w:vAlign w:val="bottom"/>
          </w:tcPr>
          <w:p>
            <w:pPr>
              <w:jc w:val="center"/>
              <w:spacing w:after="0" w:line="203" w:lineRule="exact"/>
              <w:rPr>
                <w:sz w:val="20"/>
                <w:szCs w:val="20"/>
                <w:color w:val="auto"/>
              </w:rPr>
            </w:pPr>
            <w:r>
              <w:rPr>
                <w:rFonts w:ascii="Calibri" w:cs="Calibri" w:eastAsia="Calibri" w:hAnsi="Calibri"/>
                <w:sz w:val="20"/>
                <w:szCs w:val="20"/>
                <w:color w:val="auto"/>
              </w:rPr>
              <w:t>Ready Mixed Concrete Plants and</w:t>
            </w:r>
          </w:p>
        </w:tc>
      </w:t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line="234" w:lineRule="exact"/>
              <w:rPr>
                <w:sz w:val="20"/>
                <w:szCs w:val="20"/>
                <w:color w:val="auto"/>
              </w:rPr>
            </w:pPr>
            <w:r>
              <w:rPr>
                <w:rFonts w:ascii="Calibri" w:cs="Calibri" w:eastAsia="Calibri" w:hAnsi="Calibri"/>
                <w:sz w:val="20"/>
                <w:szCs w:val="20"/>
                <w:color w:val="auto"/>
              </w:rPr>
              <w:t>Distributon Facilites</w:t>
            </w:r>
          </w:p>
        </w:tc>
      </w:tr>
      <w:tr>
        <w:trPr>
          <w:trHeight w:val="392"/>
        </w:trPr>
        <w:tc>
          <w:tcPr>
            <w:tcW w:w="2160" w:type="dxa"/>
            <w:vAlign w:val="bottom"/>
          </w:tcPr>
          <w:p>
            <w:pPr>
              <w:ind w:left="100"/>
              <w:spacing w:after="0"/>
              <w:rPr>
                <w:sz w:val="20"/>
                <w:szCs w:val="20"/>
                <w:color w:val="auto"/>
              </w:rPr>
            </w:pPr>
            <w:r>
              <w:rPr>
                <w:rFonts w:ascii="Calibri" w:cs="Calibri" w:eastAsia="Calibri" w:hAnsi="Calibri"/>
                <w:sz w:val="20"/>
                <w:szCs w:val="20"/>
                <w:color w:val="auto"/>
              </w:rPr>
              <w:t>Modes of Transportaton</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Calibri" w:cs="Calibri" w:eastAsia="Calibri" w:hAnsi="Calibri"/>
                <w:sz w:val="20"/>
                <w:szCs w:val="20"/>
                <w:color w:val="auto"/>
              </w:rPr>
              <w:t>Truck, Rail and Ship</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Calibri" w:cs="Calibri" w:eastAsia="Calibri" w:hAnsi="Calibri"/>
                <w:sz w:val="20"/>
                <w:szCs w:val="20"/>
                <w:color w:val="auto"/>
                <w:w w:val="99"/>
              </w:rPr>
              <w:t>Truck and Rail</w:t>
            </w:r>
          </w:p>
        </w:tc>
      </w:tr>
    </w:tbl>
    <w:p>
      <w:pPr>
        <w:spacing w:after="0" w:line="200" w:lineRule="exact"/>
        <w:rPr>
          <w:sz w:val="20"/>
          <w:szCs w:val="20"/>
          <w:color w:val="auto"/>
        </w:rPr>
      </w:pPr>
    </w:p>
    <w:p>
      <w:pPr>
        <w:spacing w:after="0" w:line="308"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The Building Materials business is signifcantly afected by weather paterns and seasonal changes. Producton and shipment levels for aggregates, cement, ready mixed concrete and asphalt materials correlate with general constructon actvity levels, most of which occur in the spring, summer and fall. Thus, producton and shipment levels vary by quarter. Operatons concentrated in the northern and midwestern United States generally experience more severe winter weather conditons than operatons in the Southeast, Southwest and West. Excessive rainfall, and conversely excessive drought, can also jeopardize producton, shipments and proftability in all markets served by the Company. Due to the potentally signifcant impact of weather on the Company’s operatons, current-period results are not necessarily indicatve of expected performance for other interim periods or the full year.</w:t>
      </w:r>
    </w:p>
    <w:p>
      <w:pPr>
        <w:spacing w:after="0" w:line="19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6" w:name="page27"/>
    <w:bookmarkEnd w:id="2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198"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The Company has a Magnesia Specialtes business with manufacturing facilites in Manistee, Michigan, and Woodville, Ohio. The Magnesia Specialtes business produces magnesia-based chemicals products used in industrial, agricultural and environmental applicatons and dolomitc lime sold primarily to customers in the steel and mining industries.</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color w:val="auto"/>
        </w:rPr>
        <w:t>CRITICAL ACCOUNTING POLICIES</w:t>
      </w:r>
    </w:p>
    <w:p>
      <w:pPr>
        <w:spacing w:after="0" w:line="103"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The Company outlined its critcal accountng policies in its Annual Report on Form 10-K for the year ended December 31, 2021. There were no changes to the Company’s critcal accountng policies during the nine months ended September 30, 2022.</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RESULTS OF OPERATIONS</w:t>
      </w:r>
    </w:p>
    <w:p>
      <w:pPr>
        <w:spacing w:after="0" w:line="103"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Earnings from contnuing operatons before interest; income taxes; depreciaton, depleton and amortzaton; the earnings/loss from nonconsolidated equity afliates; acquisiton and integraton expenses; the impact of selling acquired inventory afer markup to fair value as part of acquisiton accountng; and the nonrecurring gain on the divestture of certain ready mixed concrete operatons (Adjusted EBITDA) is an indicator used by the Company and investors to evaluate the Company’s operatng performance from period to period. Adjusted EBITDA is not defned by accountng principles generally accepted in the United States (GAAP) and, as such, should not be construed as an alternatve to net earnings, earnings from operatons or cash provided by operatng actvites. However, the Company’s management believes that Adjusted EBITDA may provide additonal informaton with respect to the Company’s performance and is a measure used by management to evaluate the Company’s performance. Because Adjusted EBITDA excludes some, but not all, items that afect net earnings and may vary among companies, Adjusted EBITDA as presented by the Company may not be comparable with similarly ttled measures of other companies.</w:t>
      </w:r>
    </w:p>
    <w:p>
      <w:pPr>
        <w:spacing w:after="0" w:line="98" w:lineRule="exact"/>
        <w:rPr>
          <w:sz w:val="20"/>
          <w:szCs w:val="20"/>
          <w:color w:val="auto"/>
        </w:rPr>
      </w:pPr>
    </w:p>
    <w:p>
      <w:pPr>
        <w:spacing w:after="0"/>
        <w:rPr>
          <w:sz w:val="20"/>
          <w:szCs w:val="20"/>
          <w:color w:val="auto"/>
        </w:rPr>
      </w:pPr>
      <w:r>
        <w:rPr>
          <w:rFonts w:ascii="Calibri" w:cs="Calibri" w:eastAsia="Calibri" w:hAnsi="Calibri"/>
          <w:sz w:val="20"/>
          <w:szCs w:val="20"/>
          <w:color w:val="auto"/>
        </w:rPr>
        <w:t>A reconciliaton of net earnings from contnuing operatons atributable to Martn Marieta to Adjusted EBITDA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20" w:type="dxa"/>
            <w:vAlign w:val="bottom"/>
            <w:gridSpan w:val="4"/>
          </w:tcPr>
          <w:p>
            <w:pPr>
              <w:jc w:val="right"/>
              <w:ind w:right="381"/>
              <w:spacing w:after="0"/>
              <w:rPr>
                <w:sz w:val="20"/>
                <w:szCs w:val="20"/>
                <w:color w:val="auto"/>
              </w:rPr>
            </w:pPr>
            <w:r>
              <w:rPr>
                <w:rFonts w:ascii="Calibri" w:cs="Calibri" w:eastAsia="Calibri" w:hAnsi="Calibri"/>
                <w:sz w:val="20"/>
                <w:szCs w:val="20"/>
                <w:color w:val="auto"/>
              </w:rPr>
              <w:t>Three Months Ended</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4"/>
          </w:tcPr>
          <w:p>
            <w:pPr>
              <w:jc w:val="right"/>
              <w:ind w:right="421"/>
              <w:spacing w:after="0"/>
              <w:rPr>
                <w:sz w:val="20"/>
                <w:szCs w:val="20"/>
                <w:color w:val="auto"/>
              </w:rPr>
            </w:pPr>
            <w:r>
              <w:rPr>
                <w:rFonts w:ascii="Calibri" w:cs="Calibri" w:eastAsia="Calibri" w:hAnsi="Calibri"/>
                <w:sz w:val="20"/>
                <w:szCs w:val="20"/>
                <w:color w:val="auto"/>
              </w:rPr>
              <w:t>Nine Months Ended</w:t>
            </w:r>
          </w:p>
        </w:tc>
        <w:tc>
          <w:tcPr>
            <w:tcW w:w="100" w:type="dxa"/>
            <w:vAlign w:val="bottom"/>
          </w:tcPr>
          <w:p>
            <w:pPr>
              <w:spacing w:after="0"/>
              <w:rPr>
                <w:sz w:val="21"/>
                <w:szCs w:val="21"/>
                <w:color w:val="auto"/>
              </w:rPr>
            </w:pPr>
          </w:p>
        </w:tc>
      </w:tr>
      <w:tr>
        <w:trPr>
          <w:trHeight w:val="247"/>
        </w:trPr>
        <w:tc>
          <w:tcPr>
            <w:tcW w:w="5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tcPr>
          <w:p>
            <w:pPr>
              <w:jc w:val="right"/>
              <w:ind w:right="641"/>
              <w:spacing w:after="0" w:line="234" w:lineRule="exact"/>
              <w:rPr>
                <w:sz w:val="20"/>
                <w:szCs w:val="20"/>
                <w:color w:val="auto"/>
              </w:rPr>
            </w:pPr>
            <w:r>
              <w:rPr>
                <w:rFonts w:ascii="Calibri" w:cs="Calibri" w:eastAsia="Calibri" w:hAnsi="Calibri"/>
                <w:sz w:val="20"/>
                <w:szCs w:val="20"/>
                <w:color w:val="auto"/>
              </w:rPr>
              <w:t>September 30,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621"/>
              <w:spacing w:after="0" w:line="234" w:lineRule="exact"/>
              <w:rPr>
                <w:sz w:val="20"/>
                <w:szCs w:val="20"/>
                <w:color w:val="auto"/>
              </w:rPr>
            </w:pPr>
            <w:r>
              <w:rPr>
                <w:rFonts w:ascii="Calibri" w:cs="Calibri" w:eastAsia="Calibri" w:hAnsi="Calibri"/>
                <w:sz w:val="20"/>
                <w:szCs w:val="20"/>
                <w:color w:val="auto"/>
              </w:rPr>
              <w:t>September 30,</w:t>
            </w:r>
          </w:p>
        </w:tc>
        <w:tc>
          <w:tcPr>
            <w:tcW w:w="100" w:type="dxa"/>
            <w:vAlign w:val="bottom"/>
          </w:tcPr>
          <w:p>
            <w:pPr>
              <w:spacing w:after="0"/>
              <w:rPr>
                <w:sz w:val="21"/>
                <w:szCs w:val="21"/>
                <w:color w:val="auto"/>
              </w:rPr>
            </w:pPr>
          </w:p>
        </w:tc>
      </w:tr>
      <w:tr>
        <w:trPr>
          <w:trHeight w:val="230"/>
        </w:trPr>
        <w:tc>
          <w:tcPr>
            <w:tcW w:w="5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spacing w:after="0" w:line="214" w:lineRule="exact"/>
              <w:rPr>
                <w:sz w:val="20"/>
                <w:szCs w:val="20"/>
                <w:color w:val="auto"/>
              </w:rPr>
            </w:pPr>
            <w:r>
              <w:rPr>
                <w:rFonts w:ascii="Calibri" w:cs="Calibri" w:eastAsia="Calibri" w:hAnsi="Calibri"/>
                <w:sz w:val="20"/>
                <w:szCs w:val="20"/>
                <w:i w:val="1"/>
                <w:iCs w:val="1"/>
                <w:color w:val="auto"/>
              </w:rPr>
              <w:t>in</w:t>
            </w:r>
          </w:p>
        </w:tc>
        <w:tc>
          <w:tcPr>
            <w:tcW w:w="1200" w:type="dxa"/>
            <w:vAlign w:val="bottom"/>
            <w:gridSpan w:val="2"/>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5560" w:type="dxa"/>
            <w:vAlign w:val="bottom"/>
            <w:shd w:val="clear" w:color="auto" w:fill="CFF0FC"/>
          </w:tcPr>
          <w:p>
            <w:pPr>
              <w:ind w:left="20"/>
              <w:spacing w:after="0" w:line="192" w:lineRule="exact"/>
              <w:rPr>
                <w:sz w:val="20"/>
                <w:szCs w:val="20"/>
                <w:color w:val="auto"/>
              </w:rPr>
            </w:pPr>
            <w:r>
              <w:rPr>
                <w:rFonts w:ascii="Calibri" w:cs="Calibri" w:eastAsia="Calibri" w:hAnsi="Calibri"/>
                <w:sz w:val="20"/>
                <w:szCs w:val="20"/>
                <w:color w:val="auto"/>
              </w:rPr>
              <w:t>Net earnings from contnuing operatons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4"/>
        </w:trPr>
        <w:tc>
          <w:tcPr>
            <w:tcW w:w="556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atributable to Martn Marieta</w:t>
            </w:r>
          </w:p>
        </w:tc>
        <w:tc>
          <w:tcPr>
            <w:tcW w:w="260" w:type="dxa"/>
            <w:vAlign w:val="bottom"/>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291.2</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98"/>
              </w:rPr>
              <w:t>$</w:t>
            </w:r>
          </w:p>
        </w:tc>
        <w:tc>
          <w:tcPr>
            <w:tcW w:w="9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254.6</w:t>
            </w:r>
          </w:p>
        </w:tc>
        <w:tc>
          <w:tcPr>
            <w:tcW w:w="500" w:type="dxa"/>
            <w:vAlign w:val="bottom"/>
            <w:gridSpan w:val="2"/>
            <w:shd w:val="clear" w:color="auto" w:fill="CFF0FC"/>
          </w:tcPr>
          <w:p>
            <w:pPr>
              <w:ind w:left="260"/>
              <w:spacing w:after="0" w:line="234" w:lineRule="exact"/>
              <w:rPr>
                <w:sz w:val="20"/>
                <w:szCs w:val="20"/>
                <w:color w:val="auto"/>
              </w:rPr>
            </w:pPr>
            <w:r>
              <w:rPr>
                <w:rFonts w:ascii="Calibri" w:cs="Calibri" w:eastAsia="Calibri" w:hAnsi="Calibri"/>
                <w:sz w:val="20"/>
                <w:szCs w:val="20"/>
                <w:color w:val="auto"/>
              </w:rPr>
              <w:t>$</w:t>
            </w:r>
          </w:p>
        </w:tc>
        <w:tc>
          <w:tcPr>
            <w:tcW w:w="9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668.9</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41"/>
              <w:spacing w:after="0" w:line="234" w:lineRule="exact"/>
              <w:rPr>
                <w:sz w:val="20"/>
                <w:szCs w:val="20"/>
                <w:color w:val="auto"/>
              </w:rPr>
            </w:pPr>
            <w:r>
              <w:rPr>
                <w:rFonts w:ascii="Calibri" w:cs="Calibri" w:eastAsia="Calibri" w:hAnsi="Calibri"/>
                <w:sz w:val="20"/>
                <w:szCs w:val="20"/>
                <w:color w:val="auto"/>
                <w:w w:val="78"/>
              </w:rPr>
              <w:t>$</w:t>
            </w: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545.7</w:t>
            </w:r>
          </w:p>
        </w:tc>
        <w:tc>
          <w:tcPr>
            <w:tcW w:w="100" w:type="dxa"/>
            <w:vAlign w:val="bottom"/>
            <w:shd w:val="clear" w:color="auto" w:fill="CFF0FC"/>
          </w:tcPr>
          <w:p>
            <w:pPr>
              <w:spacing w:after="0"/>
              <w:rPr>
                <w:sz w:val="22"/>
                <w:szCs w:val="22"/>
                <w:color w:val="auto"/>
              </w:rPr>
            </w:pPr>
          </w:p>
        </w:tc>
      </w:tr>
      <w:tr>
        <w:trPr>
          <w:trHeight w:val="230"/>
        </w:trPr>
        <w:tc>
          <w:tcPr>
            <w:tcW w:w="5560" w:type="dxa"/>
            <w:vAlign w:val="bottom"/>
          </w:tcPr>
          <w:p>
            <w:pPr>
              <w:ind w:left="20"/>
              <w:spacing w:after="0" w:line="229" w:lineRule="exact"/>
              <w:rPr>
                <w:sz w:val="20"/>
                <w:szCs w:val="20"/>
                <w:color w:val="auto"/>
              </w:rPr>
            </w:pPr>
            <w:r>
              <w:rPr>
                <w:rFonts w:ascii="Calibri" w:cs="Calibri" w:eastAsia="Calibri" w:hAnsi="Calibri"/>
                <w:sz w:val="20"/>
                <w:szCs w:val="20"/>
                <w:color w:val="auto"/>
              </w:rPr>
              <w:t>Add back (Deduct):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6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Interest expense, net of interest income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38.8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121.5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99.6</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ind w:left="200"/>
              <w:spacing w:after="0" w:line="229" w:lineRule="exact"/>
              <w:rPr>
                <w:sz w:val="20"/>
                <w:szCs w:val="20"/>
                <w:color w:val="auto"/>
              </w:rPr>
            </w:pPr>
            <w:r>
              <w:rPr>
                <w:rFonts w:ascii="Calibri" w:cs="Calibri" w:eastAsia="Calibri" w:hAnsi="Calibri"/>
                <w:sz w:val="20"/>
                <w:szCs w:val="20"/>
                <w:color w:val="auto"/>
              </w:rPr>
              <w:t>Income tax expense for controlling interests</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Calibri" w:cs="Calibri" w:eastAsia="Calibri" w:hAnsi="Calibri"/>
                <w:sz w:val="20"/>
                <w:szCs w:val="20"/>
                <w:color w:val="auto"/>
              </w:rPr>
              <w:t>79.1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Calibri" w:cs="Calibri" w:eastAsia="Calibri" w:hAnsi="Calibri"/>
                <w:sz w:val="20"/>
                <w:szCs w:val="20"/>
                <w:color w:val="auto"/>
              </w:rPr>
              <w:t>63.6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Calibri" w:cs="Calibri" w:eastAsia="Calibri" w:hAnsi="Calibri"/>
                <w:sz w:val="20"/>
                <w:szCs w:val="20"/>
                <w:color w:val="auto"/>
              </w:rPr>
              <w:t>189.4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Calibri" w:cs="Calibri" w:eastAsia="Calibri" w:hAnsi="Calibri"/>
                <w:sz w:val="20"/>
                <w:szCs w:val="20"/>
                <w:color w:val="auto"/>
              </w:rPr>
              <w:t>141.7</w:t>
            </w:r>
          </w:p>
        </w:tc>
        <w:tc>
          <w:tcPr>
            <w:tcW w:w="100" w:type="dxa"/>
            <w:vAlign w:val="bottom"/>
          </w:tcPr>
          <w:p>
            <w:pPr>
              <w:spacing w:after="0"/>
              <w:rPr>
                <w:sz w:val="19"/>
                <w:szCs w:val="19"/>
                <w:color w:val="auto"/>
              </w:rPr>
            </w:pPr>
          </w:p>
        </w:tc>
      </w:tr>
      <w:tr>
        <w:trPr>
          <w:trHeight w:val="192"/>
        </w:trPr>
        <w:tc>
          <w:tcPr>
            <w:tcW w:w="5560" w:type="dxa"/>
            <w:vAlign w:val="bottom"/>
            <w:shd w:val="clear" w:color="auto" w:fill="CFF0FC"/>
          </w:tcPr>
          <w:p>
            <w:pPr>
              <w:ind w:left="200"/>
              <w:spacing w:after="0" w:line="192" w:lineRule="exact"/>
              <w:rPr>
                <w:sz w:val="20"/>
                <w:szCs w:val="20"/>
                <w:color w:val="auto"/>
              </w:rPr>
            </w:pPr>
            <w:r>
              <w:rPr>
                <w:rFonts w:ascii="Calibri" w:cs="Calibri" w:eastAsia="Calibri" w:hAnsi="Calibri"/>
                <w:sz w:val="20"/>
                <w:szCs w:val="20"/>
                <w:color w:val="auto"/>
              </w:rPr>
              <w:t>Depreciaton, depleton and amortzaton and</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5560" w:type="dxa"/>
            <w:vAlign w:val="bottom"/>
            <w:shd w:val="clear" w:color="auto" w:fill="CFF0FC"/>
          </w:tcPr>
          <w:p>
            <w:pPr>
              <w:ind w:left="340"/>
              <w:spacing w:after="0" w:line="203" w:lineRule="exact"/>
              <w:rPr>
                <w:sz w:val="20"/>
                <w:szCs w:val="20"/>
                <w:color w:val="auto"/>
              </w:rPr>
            </w:pPr>
            <w:r>
              <w:rPr>
                <w:rFonts w:ascii="Calibri" w:cs="Calibri" w:eastAsia="Calibri" w:hAnsi="Calibri"/>
                <w:sz w:val="20"/>
                <w:szCs w:val="20"/>
                <w:color w:val="auto"/>
              </w:rPr>
              <w:t>earnings/loss from nonconsolidated equity</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4"/>
        </w:trPr>
        <w:tc>
          <w:tcPr>
            <w:tcW w:w="5560" w:type="dxa"/>
            <w:vAlign w:val="bottom"/>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afliates</w:t>
            </w: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122.4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112.1</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374.6</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314.2</w:t>
            </w:r>
          </w:p>
        </w:tc>
        <w:tc>
          <w:tcPr>
            <w:tcW w:w="100" w:type="dxa"/>
            <w:vAlign w:val="bottom"/>
            <w:shd w:val="clear" w:color="auto" w:fill="CFF0FC"/>
          </w:tcPr>
          <w:p>
            <w:pPr>
              <w:spacing w:after="0"/>
              <w:rPr>
                <w:sz w:val="22"/>
                <w:szCs w:val="22"/>
                <w:color w:val="auto"/>
              </w:rPr>
            </w:pPr>
          </w:p>
        </w:tc>
      </w:tr>
      <w:tr>
        <w:trPr>
          <w:trHeight w:val="230"/>
        </w:trPr>
        <w:tc>
          <w:tcPr>
            <w:tcW w:w="5560" w:type="dxa"/>
            <w:vAlign w:val="bottom"/>
          </w:tcPr>
          <w:p>
            <w:pPr>
              <w:ind w:left="200"/>
              <w:spacing w:after="0" w:line="229" w:lineRule="exact"/>
              <w:rPr>
                <w:sz w:val="20"/>
                <w:szCs w:val="20"/>
                <w:color w:val="auto"/>
              </w:rPr>
            </w:pPr>
            <w:r>
              <w:rPr>
                <w:rFonts w:ascii="Calibri" w:cs="Calibri" w:eastAsia="Calibri" w:hAnsi="Calibri"/>
                <w:sz w:val="20"/>
                <w:szCs w:val="20"/>
                <w:color w:val="auto"/>
              </w:rPr>
              <w:t>Acquisiton and integraton expenses</w:t>
            </w:r>
          </w:p>
        </w:tc>
        <w:tc>
          <w:tcPr>
            <w:tcW w:w="26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Calibri" w:cs="Calibri" w:eastAsia="Calibri" w:hAnsi="Calibri"/>
                <w:sz w:val="20"/>
                <w:szCs w:val="20"/>
                <w:color w:val="auto"/>
              </w:rPr>
              <w:t>1.8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Calibri" w:cs="Calibri" w:eastAsia="Calibri" w:hAnsi="Calibri"/>
                <w:sz w:val="20"/>
                <w:szCs w:val="20"/>
                <w:color w:val="auto"/>
              </w:rPr>
              <w:t>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Calibri" w:cs="Calibri" w:eastAsia="Calibri" w:hAnsi="Calibri"/>
                <w:sz w:val="20"/>
                <w:szCs w:val="20"/>
                <w:color w:val="auto"/>
              </w:rPr>
              <w:t>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Calibri" w:cs="Calibri" w:eastAsia="Calibri" w:hAnsi="Calibri"/>
                <w:sz w:val="20"/>
                <w:szCs w:val="20"/>
                <w:color w:val="auto"/>
              </w:rPr>
              <w:t>18.0</w:t>
            </w:r>
          </w:p>
        </w:tc>
        <w:tc>
          <w:tcPr>
            <w:tcW w:w="100" w:type="dxa"/>
            <w:vAlign w:val="bottom"/>
          </w:tcPr>
          <w:p>
            <w:pPr>
              <w:spacing w:after="0"/>
              <w:rPr>
                <w:sz w:val="19"/>
                <w:szCs w:val="19"/>
                <w:color w:val="auto"/>
              </w:rPr>
            </w:pPr>
          </w:p>
        </w:tc>
      </w:tr>
      <w:tr>
        <w:trPr>
          <w:trHeight w:val="192"/>
        </w:trPr>
        <w:tc>
          <w:tcPr>
            <w:tcW w:w="5560" w:type="dxa"/>
            <w:vAlign w:val="bottom"/>
            <w:shd w:val="clear" w:color="auto" w:fill="CFF0FC"/>
          </w:tcPr>
          <w:p>
            <w:pPr>
              <w:ind w:left="200"/>
              <w:spacing w:after="0" w:line="192" w:lineRule="exact"/>
              <w:rPr>
                <w:sz w:val="20"/>
                <w:szCs w:val="20"/>
                <w:color w:val="auto"/>
              </w:rPr>
            </w:pPr>
            <w:r>
              <w:rPr>
                <w:rFonts w:ascii="Calibri" w:cs="Calibri" w:eastAsia="Calibri" w:hAnsi="Calibri"/>
                <w:sz w:val="20"/>
                <w:szCs w:val="20"/>
                <w:color w:val="auto"/>
              </w:rPr>
              <w:t>Impact of selling acquired inventory afer markup</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4"/>
        </w:trPr>
        <w:tc>
          <w:tcPr>
            <w:tcW w:w="5560" w:type="dxa"/>
            <w:vAlign w:val="bottom"/>
            <w:shd w:val="clear" w:color="auto" w:fill="CFF0FC"/>
          </w:tcPr>
          <w:p>
            <w:pPr>
              <w:ind w:left="340"/>
              <w:spacing w:after="0" w:line="234" w:lineRule="exact"/>
              <w:rPr>
                <w:sz w:val="20"/>
                <w:szCs w:val="20"/>
                <w:color w:val="auto"/>
              </w:rPr>
            </w:pPr>
            <w:r>
              <w:rPr>
                <w:rFonts w:ascii="Calibri" w:cs="Calibri" w:eastAsia="Calibri" w:hAnsi="Calibri"/>
                <w:sz w:val="20"/>
                <w:szCs w:val="20"/>
                <w:color w:val="auto"/>
              </w:rPr>
              <w:t>to fair value as a part of acquisiton accountng</w:t>
            </w:r>
          </w:p>
        </w:tc>
        <w:tc>
          <w:tcPr>
            <w:tcW w:w="2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8.1</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15.7</w:t>
            </w:r>
          </w:p>
        </w:tc>
        <w:tc>
          <w:tcPr>
            <w:tcW w:w="100" w:type="dxa"/>
            <w:vAlign w:val="bottom"/>
            <w:shd w:val="clear" w:color="auto" w:fill="CFF0FC"/>
          </w:tcPr>
          <w:p>
            <w:pPr>
              <w:spacing w:after="0"/>
              <w:rPr>
                <w:sz w:val="22"/>
                <w:szCs w:val="22"/>
                <w:color w:val="auto"/>
              </w:rPr>
            </w:pPr>
          </w:p>
        </w:tc>
      </w:tr>
      <w:tr>
        <w:trPr>
          <w:trHeight w:val="230"/>
        </w:trPr>
        <w:tc>
          <w:tcPr>
            <w:tcW w:w="5560" w:type="dxa"/>
            <w:vAlign w:val="bottom"/>
          </w:tcPr>
          <w:p>
            <w:pPr>
              <w:ind w:left="200"/>
              <w:spacing w:after="0" w:line="229" w:lineRule="exact"/>
              <w:rPr>
                <w:sz w:val="20"/>
                <w:szCs w:val="20"/>
                <w:color w:val="auto"/>
              </w:rPr>
            </w:pPr>
            <w:r>
              <w:rPr>
                <w:rFonts w:ascii="Calibri" w:cs="Calibri" w:eastAsia="Calibri" w:hAnsi="Calibri"/>
                <w:sz w:val="20"/>
                <w:szCs w:val="20"/>
                <w:color w:val="auto"/>
              </w:rPr>
              <w:t>Nonrecurring gain on divestture</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line="229" w:lineRule="exact"/>
              <w:rPr>
                <w:sz w:val="20"/>
                <w:szCs w:val="20"/>
                <w:color w:val="auto"/>
              </w:rPr>
            </w:pPr>
            <w:r>
              <w:rPr>
                <w:rFonts w:ascii="Calibri" w:cs="Calibri" w:eastAsia="Calibri" w:hAnsi="Calibri"/>
                <w:sz w:val="20"/>
                <w:szCs w:val="20"/>
                <w:color w:val="auto"/>
              </w:rPr>
              <w:t>(0.2 )</w:t>
            </w:r>
          </w:p>
        </w:tc>
        <w:tc>
          <w:tcPr>
            <w:tcW w:w="26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line="229" w:lineRule="exact"/>
              <w:rPr>
                <w:sz w:val="20"/>
                <w:szCs w:val="20"/>
                <w:color w:val="auto"/>
              </w:rPr>
            </w:pPr>
            <w:r>
              <w:rPr>
                <w:rFonts w:ascii="Calibri" w:cs="Calibri" w:eastAsia="Calibri" w:hAnsi="Calibri"/>
                <w:sz w:val="20"/>
                <w:szCs w:val="20"/>
                <w:color w:val="auto"/>
              </w:rPr>
              <w:t>(151.9 )</w:t>
            </w:r>
          </w:p>
        </w:tc>
        <w:tc>
          <w:tcPr>
            <w:tcW w:w="24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19"/>
                <w:szCs w:val="19"/>
                <w:color w:val="auto"/>
              </w:rPr>
            </w:pPr>
          </w:p>
        </w:tc>
      </w:tr>
      <w:tr>
        <w:trPr>
          <w:trHeight w:val="263"/>
        </w:trPr>
        <w:tc>
          <w:tcPr>
            <w:tcW w:w="556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Adjusted EBITDA</w:t>
            </w:r>
          </w:p>
        </w:tc>
        <w:tc>
          <w:tcPr>
            <w:tcW w:w="26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Calibri" w:cs="Calibri" w:eastAsia="Calibri" w:hAnsi="Calibri"/>
                <w:sz w:val="20"/>
                <w:szCs w:val="20"/>
                <w:color w:val="auto"/>
                <w:w w:val="98"/>
              </w:rPr>
              <w:t>$</w:t>
            </w:r>
          </w:p>
        </w:tc>
        <w:tc>
          <w:tcPr>
            <w:tcW w:w="9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533.1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Calibri" w:cs="Calibri" w:eastAsia="Calibri" w:hAnsi="Calibri"/>
                <w:sz w:val="20"/>
                <w:szCs w:val="20"/>
                <w:color w:val="auto"/>
                <w:w w:val="98"/>
              </w:rPr>
              <w:t>$</w:t>
            </w:r>
          </w:p>
        </w:tc>
        <w:tc>
          <w:tcPr>
            <w:tcW w:w="9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490.0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9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1,208.6</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41"/>
              <w:spacing w:after="0" w:line="223" w:lineRule="exact"/>
              <w:rPr>
                <w:sz w:val="20"/>
                <w:szCs w:val="20"/>
                <w:color w:val="auto"/>
              </w:rPr>
            </w:pPr>
            <w:r>
              <w:rPr>
                <w:rFonts w:ascii="Calibri" w:cs="Calibri" w:eastAsia="Calibri" w:hAnsi="Calibri"/>
                <w:sz w:val="20"/>
                <w:szCs w:val="20"/>
                <w:color w:val="auto"/>
                <w:w w:val="78"/>
              </w:rPr>
              <w:t>$</w:t>
            </w:r>
          </w:p>
        </w:tc>
        <w:tc>
          <w:tcPr>
            <w:tcW w:w="9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1,134.9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7" w:name="page28"/>
    <w:bookmarkEnd w:id="2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25"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Adjusted consolidated earnings from operatons and adjusted earnings per diluted share from contnuing operatons represent non-GAAP fnancial measures and exclude acquisiton and integraton expenses; the impact of selling acquired inventory afer its markup to fair value as part of acquisiton accountng; and the impact of the nonrecurring gain on the divestture of certain ready mixed concrete operatons. Management presents these measures for investors to evaluate and forecast the Company’s results, as the impact of these items are nonrecurring.</w:t>
      </w:r>
    </w:p>
    <w:p>
      <w:pPr>
        <w:spacing w:after="0" w:line="96" w:lineRule="exact"/>
        <w:rPr>
          <w:sz w:val="20"/>
          <w:szCs w:val="20"/>
          <w:color w:val="auto"/>
        </w:rPr>
      </w:pPr>
    </w:p>
    <w:p>
      <w:pPr>
        <w:spacing w:after="0"/>
        <w:rPr>
          <w:sz w:val="20"/>
          <w:szCs w:val="20"/>
          <w:color w:val="auto"/>
        </w:rPr>
      </w:pPr>
      <w:r>
        <w:rPr>
          <w:rFonts w:ascii="Calibri" w:cs="Calibri" w:eastAsia="Calibri" w:hAnsi="Calibri"/>
          <w:sz w:val="20"/>
          <w:szCs w:val="20"/>
          <w:color w:val="auto"/>
        </w:rPr>
        <w:t>A reconciliaton of consolidated earnings from operatons to adjusted consolidated earnings from operatons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4"/>
          </w:tcPr>
          <w:p>
            <w:pPr>
              <w:jc w:val="right"/>
              <w:ind w:right="501"/>
              <w:spacing w:after="0"/>
              <w:rPr>
                <w:sz w:val="20"/>
                <w:szCs w:val="20"/>
                <w:color w:val="auto"/>
              </w:rPr>
            </w:pPr>
            <w:r>
              <w:rPr>
                <w:rFonts w:ascii="Calibri" w:cs="Calibri" w:eastAsia="Calibri" w:hAnsi="Calibri"/>
                <w:sz w:val="20"/>
                <w:szCs w:val="20"/>
                <w:color w:val="auto"/>
              </w:rPr>
              <w:t>Three Months Ended</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501"/>
              <w:spacing w:after="0"/>
              <w:rPr>
                <w:sz w:val="20"/>
                <w:szCs w:val="20"/>
                <w:color w:val="auto"/>
              </w:rPr>
            </w:pPr>
            <w:r>
              <w:rPr>
                <w:rFonts w:ascii="Calibri" w:cs="Calibri" w:eastAsia="Calibri" w:hAnsi="Calibri"/>
                <w:sz w:val="20"/>
                <w:szCs w:val="20"/>
                <w:color w:val="auto"/>
              </w:rPr>
              <w:t>Nine Months Ended</w:t>
            </w:r>
          </w:p>
        </w:tc>
        <w:tc>
          <w:tcPr>
            <w:tcW w:w="100" w:type="dxa"/>
            <w:vAlign w:val="bottom"/>
          </w:tcPr>
          <w:p>
            <w:pPr>
              <w:spacing w:after="0"/>
              <w:rPr>
                <w:sz w:val="21"/>
                <w:szCs w:val="21"/>
                <w:color w:val="auto"/>
              </w:rPr>
            </w:pPr>
          </w:p>
        </w:tc>
      </w:tr>
      <w:tr>
        <w:trPr>
          <w:trHeight w:val="247"/>
        </w:trPr>
        <w:tc>
          <w:tcPr>
            <w:tcW w:w="5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761"/>
              <w:spacing w:after="0" w:line="234" w:lineRule="exact"/>
              <w:rPr>
                <w:sz w:val="20"/>
                <w:szCs w:val="20"/>
                <w:color w:val="auto"/>
              </w:rPr>
            </w:pPr>
            <w:r>
              <w:rPr>
                <w:rFonts w:ascii="Calibri" w:cs="Calibri" w:eastAsia="Calibri" w:hAnsi="Calibri"/>
                <w:sz w:val="20"/>
                <w:szCs w:val="20"/>
                <w:color w:val="auto"/>
              </w:rPr>
              <w:t>September 30,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701"/>
              <w:spacing w:after="0" w:line="234" w:lineRule="exact"/>
              <w:rPr>
                <w:sz w:val="20"/>
                <w:szCs w:val="20"/>
                <w:color w:val="auto"/>
              </w:rPr>
            </w:pPr>
            <w:r>
              <w:rPr>
                <w:rFonts w:ascii="Calibri" w:cs="Calibri" w:eastAsia="Calibri" w:hAnsi="Calibri"/>
                <w:sz w:val="20"/>
                <w:szCs w:val="20"/>
                <w:color w:val="auto"/>
              </w:rPr>
              <w:t>September 30,</w:t>
            </w:r>
          </w:p>
        </w:tc>
        <w:tc>
          <w:tcPr>
            <w:tcW w:w="100" w:type="dxa"/>
            <w:vAlign w:val="bottom"/>
          </w:tcPr>
          <w:p>
            <w:pPr>
              <w:spacing w:after="0"/>
              <w:rPr>
                <w:sz w:val="21"/>
                <w:szCs w:val="21"/>
                <w:color w:val="auto"/>
              </w:rPr>
            </w:pPr>
          </w:p>
        </w:tc>
      </w:tr>
      <w:tr>
        <w:trPr>
          <w:trHeight w:val="229"/>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1"/>
              <w:spacing w:after="0" w:line="229" w:lineRule="exact"/>
              <w:rPr>
                <w:sz w:val="20"/>
                <w:szCs w:val="20"/>
                <w:color w:val="auto"/>
              </w:rPr>
            </w:pPr>
            <w:r>
              <w:rPr>
                <w:rFonts w:ascii="Calibri" w:cs="Calibri" w:eastAsia="Calibri" w:hAnsi="Calibri"/>
                <w:sz w:val="20"/>
                <w:szCs w:val="20"/>
                <w:color w:val="auto"/>
              </w:rPr>
              <w:t>2022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1"/>
              <w:spacing w:after="0" w:line="229" w:lineRule="exact"/>
              <w:rPr>
                <w:sz w:val="20"/>
                <w:szCs w:val="20"/>
                <w:color w:val="auto"/>
              </w:rPr>
            </w:pPr>
            <w:r>
              <w:rPr>
                <w:rFonts w:ascii="Calibri" w:cs="Calibri" w:eastAsia="Calibri" w:hAnsi="Calibri"/>
                <w:sz w:val="20"/>
                <w:szCs w:val="20"/>
                <w:color w:val="auto"/>
              </w:rPr>
              <w:t>2021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1"/>
              <w:spacing w:after="0" w:line="229" w:lineRule="exact"/>
              <w:rPr>
                <w:sz w:val="20"/>
                <w:szCs w:val="20"/>
                <w:color w:val="auto"/>
              </w:rPr>
            </w:pPr>
            <w:r>
              <w:rPr>
                <w:rFonts w:ascii="Calibri" w:cs="Calibri" w:eastAsia="Calibri" w:hAnsi="Calibri"/>
                <w:sz w:val="20"/>
                <w:szCs w:val="20"/>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1"/>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300" w:type="dxa"/>
            <w:vAlign w:val="bottom"/>
          </w:tcPr>
          <w:p>
            <w:pPr>
              <w:spacing w:after="0" w:line="214" w:lineRule="exact"/>
              <w:rPr>
                <w:sz w:val="20"/>
                <w:szCs w:val="20"/>
                <w:color w:val="auto"/>
              </w:rPr>
            </w:pPr>
            <w:r>
              <w:rPr>
                <w:rFonts w:ascii="Calibri" w:cs="Calibri" w:eastAsia="Calibri" w:hAnsi="Calibri"/>
                <w:sz w:val="20"/>
                <w:szCs w:val="20"/>
                <w:i w:val="1"/>
                <w:iCs w:val="1"/>
                <w:color w:val="auto"/>
              </w:rPr>
              <w:t>in</w:t>
            </w:r>
          </w:p>
        </w:tc>
        <w:tc>
          <w:tcPr>
            <w:tcW w:w="1240" w:type="dxa"/>
            <w:vAlign w:val="bottom"/>
            <w:gridSpan w:val="2"/>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5080" w:type="dxa"/>
            <w:vAlign w:val="bottom"/>
            <w:shd w:val="clear" w:color="auto" w:fill="CFF0FC"/>
          </w:tcPr>
          <w:p>
            <w:pPr>
              <w:ind w:left="20"/>
              <w:spacing w:after="0" w:line="192" w:lineRule="exact"/>
              <w:rPr>
                <w:sz w:val="20"/>
                <w:szCs w:val="20"/>
                <w:color w:val="auto"/>
              </w:rPr>
            </w:pPr>
            <w:r>
              <w:rPr>
                <w:rFonts w:ascii="Calibri" w:cs="Calibri" w:eastAsia="Calibri" w:hAnsi="Calibri"/>
                <w:sz w:val="20"/>
                <w:szCs w:val="20"/>
                <w:color w:val="auto"/>
              </w:rPr>
              <w:t>Consolidated earnings from operatons in</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54"/>
        </w:trPr>
        <w:tc>
          <w:tcPr>
            <w:tcW w:w="508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accordance with GAAP</w:t>
            </w:r>
          </w:p>
        </w:tc>
        <w:tc>
          <w:tcPr>
            <w:tcW w:w="3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w w:val="98"/>
              </w:rPr>
              <w:t>$</w:t>
            </w:r>
          </w:p>
        </w:tc>
        <w:tc>
          <w:tcPr>
            <w:tcW w:w="104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405.9</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w w:val="98"/>
              </w:rPr>
              <w:t>$</w:t>
            </w:r>
          </w:p>
        </w:tc>
        <w:tc>
          <w:tcPr>
            <w:tcW w:w="10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356.9</w:t>
            </w:r>
          </w:p>
        </w:tc>
        <w:tc>
          <w:tcPr>
            <w:tcW w:w="560" w:type="dxa"/>
            <w:vAlign w:val="bottom"/>
            <w:gridSpan w:val="2"/>
            <w:shd w:val="clear" w:color="auto" w:fill="CFF0FC"/>
          </w:tcPr>
          <w:p>
            <w:pPr>
              <w:ind w:left="320"/>
              <w:spacing w:after="0" w:line="234" w:lineRule="exact"/>
              <w:rPr>
                <w:sz w:val="20"/>
                <w:szCs w:val="20"/>
                <w:color w:val="auto"/>
              </w:rPr>
            </w:pPr>
            <w:r>
              <w:rPr>
                <w:rFonts w:ascii="Calibri" w:cs="Calibri" w:eastAsia="Calibri" w:hAnsi="Calibri"/>
                <w:sz w:val="20"/>
                <w:szCs w:val="20"/>
                <w:color w:val="auto"/>
              </w:rPr>
              <w:t>$</w:t>
            </w:r>
          </w:p>
        </w:tc>
        <w:tc>
          <w:tcPr>
            <w:tcW w:w="98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944.4</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81"/>
              <w:spacing w:after="0" w:line="234" w:lineRule="exact"/>
              <w:rPr>
                <w:sz w:val="20"/>
                <w:szCs w:val="20"/>
                <w:color w:val="auto"/>
              </w:rPr>
            </w:pPr>
            <w:r>
              <w:rPr>
                <w:rFonts w:ascii="Calibri" w:cs="Calibri" w:eastAsia="Calibri" w:hAnsi="Calibri"/>
                <w:sz w:val="20"/>
                <w:szCs w:val="20"/>
                <w:color w:val="auto"/>
                <w:w w:val="98"/>
              </w:rPr>
              <w:t>$</w:t>
            </w:r>
          </w:p>
        </w:tc>
        <w:tc>
          <w:tcPr>
            <w:tcW w:w="10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763.7</w:t>
            </w:r>
          </w:p>
        </w:tc>
        <w:tc>
          <w:tcPr>
            <w:tcW w:w="100" w:type="dxa"/>
            <w:vAlign w:val="bottom"/>
            <w:shd w:val="clear" w:color="auto" w:fill="CFF0FC"/>
          </w:tcPr>
          <w:p>
            <w:pPr>
              <w:spacing w:after="0"/>
              <w:rPr>
                <w:sz w:val="22"/>
                <w:szCs w:val="22"/>
                <w:color w:val="auto"/>
              </w:rPr>
            </w:pPr>
          </w:p>
        </w:tc>
      </w:tr>
      <w:tr>
        <w:trPr>
          <w:trHeight w:val="230"/>
        </w:trPr>
        <w:tc>
          <w:tcPr>
            <w:tcW w:w="5080" w:type="dxa"/>
            <w:vAlign w:val="bottom"/>
          </w:tcPr>
          <w:p>
            <w:pPr>
              <w:ind w:left="20"/>
              <w:spacing w:after="0" w:line="229" w:lineRule="exact"/>
              <w:rPr>
                <w:sz w:val="20"/>
                <w:szCs w:val="20"/>
                <w:color w:val="auto"/>
              </w:rPr>
            </w:pPr>
            <w:r>
              <w:rPr>
                <w:rFonts w:ascii="Calibri" w:cs="Calibri" w:eastAsia="Calibri" w:hAnsi="Calibri"/>
                <w:sz w:val="20"/>
                <w:szCs w:val="20"/>
                <w:color w:val="auto"/>
              </w:rPr>
              <w:t>Add back (Deduct):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Acquisiton and integraton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18.0</w:t>
            </w:r>
          </w:p>
        </w:tc>
        <w:tc>
          <w:tcPr>
            <w:tcW w:w="100" w:type="dxa"/>
            <w:vAlign w:val="bottom"/>
            <w:shd w:val="clear" w:color="auto" w:fill="CFF0FC"/>
          </w:tcPr>
          <w:p>
            <w:pPr>
              <w:spacing w:after="0"/>
              <w:rPr>
                <w:sz w:val="19"/>
                <w:szCs w:val="19"/>
                <w:color w:val="auto"/>
              </w:rPr>
            </w:pPr>
          </w:p>
        </w:tc>
      </w:tr>
      <w:tr>
        <w:trPr>
          <w:trHeight w:val="192"/>
        </w:trPr>
        <w:tc>
          <w:tcPr>
            <w:tcW w:w="5080" w:type="dxa"/>
            <w:vAlign w:val="bottom"/>
          </w:tcPr>
          <w:p>
            <w:pPr>
              <w:ind w:left="120"/>
              <w:spacing w:after="0" w:line="192" w:lineRule="exact"/>
              <w:rPr>
                <w:sz w:val="20"/>
                <w:szCs w:val="20"/>
                <w:color w:val="auto"/>
              </w:rPr>
            </w:pPr>
            <w:r>
              <w:rPr>
                <w:rFonts w:ascii="Calibri" w:cs="Calibri" w:eastAsia="Calibri" w:hAnsi="Calibri"/>
                <w:sz w:val="20"/>
                <w:szCs w:val="20"/>
                <w:color w:val="auto"/>
              </w:rPr>
              <w:t>Impact of selling acquired inventory afer its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080" w:type="dxa"/>
            <w:vAlign w:val="bottom"/>
          </w:tcPr>
          <w:p>
            <w:pPr>
              <w:ind w:left="240"/>
              <w:spacing w:after="0" w:line="203" w:lineRule="exact"/>
              <w:rPr>
                <w:sz w:val="20"/>
                <w:szCs w:val="20"/>
                <w:color w:val="auto"/>
              </w:rPr>
            </w:pPr>
            <w:r>
              <w:rPr>
                <w:rFonts w:ascii="Calibri" w:cs="Calibri" w:eastAsia="Calibri" w:hAnsi="Calibri"/>
                <w:sz w:val="20"/>
                <w:szCs w:val="20"/>
                <w:color w:val="auto"/>
              </w:rPr>
              <w:t>markup to fair value as part of acquisiton</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080" w:type="dxa"/>
            <w:vAlign w:val="bottom"/>
          </w:tcPr>
          <w:p>
            <w:pPr>
              <w:ind w:left="240"/>
              <w:spacing w:after="0" w:line="234" w:lineRule="exact"/>
              <w:rPr>
                <w:sz w:val="20"/>
                <w:szCs w:val="20"/>
                <w:color w:val="auto"/>
              </w:rPr>
            </w:pPr>
            <w:r>
              <w:rPr>
                <w:rFonts w:ascii="Calibri" w:cs="Calibri" w:eastAsia="Calibri" w:hAnsi="Calibri"/>
                <w:sz w:val="20"/>
                <w:szCs w:val="20"/>
                <w:color w:val="auto"/>
              </w:rPr>
              <w:t>accountng</w:t>
            </w:r>
          </w:p>
        </w:tc>
        <w:tc>
          <w:tcPr>
            <w:tcW w:w="300" w:type="dxa"/>
            <w:vAlign w:val="bottom"/>
          </w:tcPr>
          <w:p>
            <w:pPr>
              <w:spacing w:after="0"/>
              <w:rPr>
                <w:sz w:val="21"/>
                <w:szCs w:val="21"/>
                <w:color w:val="auto"/>
              </w:rPr>
            </w:pPr>
          </w:p>
        </w:tc>
        <w:tc>
          <w:tcPr>
            <w:tcW w:w="1280" w:type="dxa"/>
            <w:vAlign w:val="bottom"/>
            <w:gridSpan w:val="2"/>
          </w:tcPr>
          <w:p>
            <w:pPr>
              <w:jc w:val="right"/>
              <w:ind w:right="260"/>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1"/>
                <w:szCs w:val="21"/>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300" w:type="dxa"/>
            <w:vAlign w:val="bottom"/>
          </w:tcPr>
          <w:p>
            <w:pPr>
              <w:spacing w:after="0"/>
              <w:rPr>
                <w:sz w:val="21"/>
                <w:szCs w:val="21"/>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15.7</w:t>
            </w:r>
          </w:p>
        </w:tc>
        <w:tc>
          <w:tcPr>
            <w:tcW w:w="100" w:type="dxa"/>
            <w:vAlign w:val="bottom"/>
          </w:tcPr>
          <w:p>
            <w:pPr>
              <w:spacing w:after="0"/>
              <w:rPr>
                <w:sz w:val="21"/>
                <w:szCs w:val="21"/>
                <w:color w:val="auto"/>
              </w:rPr>
            </w:pPr>
          </w:p>
        </w:tc>
      </w:tr>
      <w:tr>
        <w:trPr>
          <w:trHeight w:val="239"/>
        </w:trPr>
        <w:tc>
          <w:tcPr>
            <w:tcW w:w="5080" w:type="dxa"/>
            <w:vAlign w:val="bottom"/>
            <w:shd w:val="clear" w:color="auto" w:fill="CFF0FC"/>
          </w:tcPr>
          <w:p>
            <w:pPr>
              <w:ind w:left="120"/>
              <w:spacing w:after="0" w:line="240" w:lineRule="exact"/>
              <w:rPr>
                <w:sz w:val="20"/>
                <w:szCs w:val="20"/>
                <w:color w:val="auto"/>
              </w:rPr>
            </w:pPr>
            <w:r>
              <w:rPr>
                <w:rFonts w:ascii="Calibri" w:cs="Calibri" w:eastAsia="Calibri" w:hAnsi="Calibri"/>
                <w:sz w:val="20"/>
                <w:szCs w:val="20"/>
                <w:color w:val="auto"/>
              </w:rPr>
              <w:t>Nonrecurring gain on divestture</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line="240" w:lineRule="exact"/>
              <w:rPr>
                <w:sz w:val="20"/>
                <w:szCs w:val="20"/>
                <w:color w:val="auto"/>
              </w:rPr>
            </w:pPr>
            <w:r>
              <w:rPr>
                <w:rFonts w:ascii="Calibri" w:cs="Calibri" w:eastAsia="Calibri" w:hAnsi="Calibri"/>
                <w:sz w:val="20"/>
                <w:szCs w:val="20"/>
                <w:color w:val="auto"/>
              </w:rPr>
              <w:t>(0.2 )</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line="240" w:lineRule="exact"/>
              <w:rPr>
                <w:sz w:val="20"/>
                <w:szCs w:val="20"/>
                <w:color w:val="auto"/>
              </w:rPr>
            </w:pPr>
            <w:r>
              <w:rPr>
                <w:rFonts w:ascii="Calibri" w:cs="Calibri" w:eastAsia="Calibri" w:hAnsi="Calibri"/>
                <w:sz w:val="20"/>
                <w:szCs w:val="20"/>
                <w:color w:val="auto"/>
              </w:rPr>
              <w:t>(151.9 )</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w:t>
            </w:r>
          </w:p>
        </w:tc>
        <w:tc>
          <w:tcPr>
            <w:tcW w:w="100" w:type="dxa"/>
            <w:vAlign w:val="bottom"/>
            <w:shd w:val="clear" w:color="auto" w:fill="CFF0FC"/>
          </w:tcPr>
          <w:p>
            <w:pPr>
              <w:spacing w:after="0"/>
              <w:rPr>
                <w:sz w:val="20"/>
                <w:szCs w:val="20"/>
                <w:color w:val="auto"/>
              </w:rPr>
            </w:pPr>
          </w:p>
        </w:tc>
      </w:tr>
      <w:tr>
        <w:trPr>
          <w:trHeight w:val="223"/>
        </w:trPr>
        <w:tc>
          <w:tcPr>
            <w:tcW w:w="5080" w:type="dxa"/>
            <w:vAlign w:val="bottom"/>
            <w:tcBorders>
              <w:top w:val="single" w:sz="8" w:color="CFF0FC"/>
            </w:tcBorders>
          </w:tcPr>
          <w:p>
            <w:pPr>
              <w:ind w:left="20"/>
              <w:spacing w:after="0" w:line="223" w:lineRule="exact"/>
              <w:rPr>
                <w:sz w:val="20"/>
                <w:szCs w:val="20"/>
                <w:color w:val="auto"/>
              </w:rPr>
            </w:pPr>
            <w:r>
              <w:rPr>
                <w:rFonts w:ascii="Calibri" w:cs="Calibri" w:eastAsia="Calibri" w:hAnsi="Calibri"/>
                <w:sz w:val="20"/>
                <w:szCs w:val="20"/>
                <w:color w:val="auto"/>
              </w:rPr>
              <w:t>Adjusted consolidated earnings from operatons</w:t>
            </w:r>
          </w:p>
        </w:tc>
        <w:tc>
          <w:tcPr>
            <w:tcW w:w="300" w:type="dxa"/>
            <w:vAlign w:val="bottom"/>
            <w:tcBorders>
              <w:top w:val="single" w:sz="8" w:color="auto"/>
              <w:bottom w:val="single" w:sz="8" w:color="auto"/>
            </w:tcBorders>
          </w:tcPr>
          <w:p>
            <w:pPr>
              <w:jc w:val="right"/>
              <w:ind w:right="81"/>
              <w:spacing w:after="0" w:line="223" w:lineRule="exact"/>
              <w:rPr>
                <w:sz w:val="20"/>
                <w:szCs w:val="20"/>
                <w:color w:val="auto"/>
              </w:rPr>
            </w:pPr>
            <w:r>
              <w:rPr>
                <w:rFonts w:ascii="Calibri" w:cs="Calibri" w:eastAsia="Calibri" w:hAnsi="Calibri"/>
                <w:sz w:val="20"/>
                <w:szCs w:val="20"/>
                <w:color w:val="auto"/>
                <w:w w:val="98"/>
              </w:rPr>
              <w:t>$</w:t>
            </w:r>
          </w:p>
        </w:tc>
        <w:tc>
          <w:tcPr>
            <w:tcW w:w="104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407.5</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81"/>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372.4</w:t>
            </w:r>
          </w:p>
        </w:tc>
        <w:tc>
          <w:tcPr>
            <w:tcW w:w="3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ind w:left="20"/>
              <w:spacing w:after="0" w:line="223" w:lineRule="exact"/>
              <w:rPr>
                <w:sz w:val="20"/>
                <w:szCs w:val="20"/>
                <w:color w:val="auto"/>
              </w:rPr>
            </w:pPr>
            <w:r>
              <w:rPr>
                <w:rFonts w:ascii="Calibri" w:cs="Calibri" w:eastAsia="Calibri" w:hAnsi="Calibri"/>
                <w:sz w:val="20"/>
                <w:szCs w:val="20"/>
                <w:color w:val="auto"/>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798.6</w:t>
            </w: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81"/>
              <w:spacing w:after="0" w:line="223" w:lineRule="exact"/>
              <w:rPr>
                <w:sz w:val="20"/>
                <w:szCs w:val="20"/>
                <w:color w:val="auto"/>
              </w:rPr>
            </w:pPr>
            <w:r>
              <w:rPr>
                <w:rFonts w:ascii="Calibri" w:cs="Calibri" w:eastAsia="Calibri" w:hAnsi="Calibri"/>
                <w:sz w:val="20"/>
                <w:szCs w:val="20"/>
                <w:color w:val="auto"/>
                <w:w w:val="98"/>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797.4</w:t>
            </w:r>
          </w:p>
        </w:tc>
        <w:tc>
          <w:tcPr>
            <w:tcW w:w="100" w:type="dxa"/>
            <w:vAlign w:val="bottom"/>
            <w:tcBorders>
              <w:top w:val="single" w:sz="8" w:color="CFF0FC"/>
            </w:tcBorders>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-179070</wp:posOffset>
            </wp:positionV>
            <wp:extent cx="7747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-179070</wp:posOffset>
            </wp:positionV>
            <wp:extent cx="6858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wp:posOffset>
            </wp:positionV>
            <wp:extent cx="6858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5"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color w:val="auto"/>
        </w:rPr>
        <w:t>A reconciliaton of earnings per diluted share from contnuing operatons to adjusted earnings per diluted share from contnuing operatons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gridSpan w:val="12"/>
          </w:tcPr>
          <w:p>
            <w:pPr>
              <w:jc w:val="right"/>
              <w:ind w:right="141"/>
              <w:spacing w:after="0"/>
              <w:rPr>
                <w:sz w:val="20"/>
                <w:szCs w:val="20"/>
                <w:color w:val="auto"/>
              </w:rPr>
            </w:pPr>
            <w:r>
              <w:rPr>
                <w:rFonts w:ascii="Calibri" w:cs="Calibri" w:eastAsia="Calibri" w:hAnsi="Calibri"/>
                <w:sz w:val="20"/>
                <w:szCs w:val="20"/>
                <w:color w:val="auto"/>
              </w:rPr>
              <w:t>Three Months Ended September 30, 2022</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Pretax</w:t>
            </w: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
              <w:spacing w:after="0" w:line="229" w:lineRule="exact"/>
              <w:rPr>
                <w:sz w:val="20"/>
                <w:szCs w:val="20"/>
                <w:color w:val="auto"/>
              </w:rPr>
            </w:pPr>
            <w:r>
              <w:rPr>
                <w:rFonts w:ascii="Calibri" w:cs="Calibri" w:eastAsia="Calibri" w:hAnsi="Calibri"/>
                <w:sz w:val="20"/>
                <w:szCs w:val="20"/>
                <w:color w:val="auto"/>
              </w:rPr>
              <w:t>Income Tax</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1"/>
              <w:spacing w:after="0" w:line="229" w:lineRule="exact"/>
              <w:rPr>
                <w:sz w:val="20"/>
                <w:szCs w:val="20"/>
                <w:color w:val="auto"/>
              </w:rPr>
            </w:pPr>
            <w:r>
              <w:rPr>
                <w:rFonts w:ascii="Calibri" w:cs="Calibri" w:eastAsia="Calibri" w:hAnsi="Calibri"/>
                <w:sz w:val="20"/>
                <w:szCs w:val="20"/>
                <w:color w:val="auto"/>
              </w:rPr>
              <w:t>Afer-Tax</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1"/>
              <w:spacing w:after="0" w:line="229" w:lineRule="exact"/>
              <w:rPr>
                <w:sz w:val="20"/>
                <w:szCs w:val="20"/>
                <w:color w:val="auto"/>
              </w:rPr>
            </w:pPr>
            <w:r>
              <w:rPr>
                <w:rFonts w:ascii="Calibri" w:cs="Calibri" w:eastAsia="Calibri" w:hAnsi="Calibri"/>
                <w:sz w:val="20"/>
                <w:szCs w:val="20"/>
                <w:color w:val="auto"/>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right"/>
              <w:ind w:right="641"/>
              <w:spacing w:after="0" w:line="223" w:lineRule="exact"/>
              <w:rPr>
                <w:sz w:val="20"/>
                <w:szCs w:val="20"/>
                <w:color w:val="auto"/>
              </w:rPr>
            </w:pPr>
            <w:r>
              <w:rPr>
                <w:rFonts w:ascii="Calibri" w:cs="Calibri" w:eastAsia="Calibri" w:hAnsi="Calibri"/>
                <w:sz w:val="20"/>
                <w:szCs w:val="20"/>
                <w:i w:val="1"/>
                <w:iCs w:val="1"/>
                <w:color w:val="auto"/>
              </w:rPr>
              <w:t>(In Millions, Except per Share)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020" w:type="dxa"/>
            <w:vAlign w:val="bottom"/>
            <w:shd w:val="clear" w:color="auto" w:fill="CFF0FC"/>
          </w:tcPr>
          <w:p>
            <w:pPr>
              <w:ind w:left="20"/>
              <w:spacing w:after="0" w:line="178" w:lineRule="exact"/>
              <w:rPr>
                <w:sz w:val="20"/>
                <w:szCs w:val="20"/>
                <w:color w:val="auto"/>
              </w:rPr>
            </w:pPr>
            <w:r>
              <w:rPr>
                <w:rFonts w:ascii="Calibri" w:cs="Calibri" w:eastAsia="Calibri" w:hAnsi="Calibri"/>
                <w:sz w:val="19"/>
                <w:szCs w:val="19"/>
                <w:color w:val="auto"/>
              </w:rPr>
              <w:t>Earnings per diluted share from contnuing</w:t>
            </w:r>
          </w:p>
        </w:tc>
        <w:tc>
          <w:tcPr>
            <w:tcW w:w="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5020" w:type="dxa"/>
            <w:vAlign w:val="bottom"/>
            <w:shd w:val="clear" w:color="auto" w:fill="CFF0FC"/>
          </w:tcPr>
          <w:p>
            <w:pPr>
              <w:ind w:left="160"/>
              <w:spacing w:after="0" w:line="234" w:lineRule="exact"/>
              <w:rPr>
                <w:sz w:val="20"/>
                <w:szCs w:val="20"/>
                <w:color w:val="auto"/>
              </w:rPr>
            </w:pPr>
            <w:r>
              <w:rPr>
                <w:rFonts w:ascii="Calibri" w:cs="Calibri" w:eastAsia="Calibri" w:hAnsi="Calibri"/>
                <w:sz w:val="20"/>
                <w:szCs w:val="20"/>
                <w:color w:val="auto"/>
              </w:rPr>
              <w:t>operatons in accordance with GAAP</w:t>
            </w:r>
          </w:p>
        </w:tc>
        <w:tc>
          <w:tcPr>
            <w:tcW w:w="6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80" w:type="dxa"/>
            <w:vAlign w:val="bottom"/>
            <w:gridSpan w:val="3"/>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4.67</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line="229" w:lineRule="exact"/>
              <w:rPr>
                <w:sz w:val="20"/>
                <w:szCs w:val="20"/>
                <w:color w:val="auto"/>
              </w:rPr>
            </w:pPr>
            <w:r>
              <w:rPr>
                <w:rFonts w:ascii="Calibri" w:cs="Calibri" w:eastAsia="Calibri" w:hAnsi="Calibri"/>
                <w:sz w:val="20"/>
                <w:szCs w:val="20"/>
                <w:color w:val="auto"/>
              </w:rPr>
              <w:t>Impact of acquisiton and integraton expenses</w:t>
            </w:r>
          </w:p>
        </w:tc>
        <w:tc>
          <w:tcPr>
            <w:tcW w:w="1100" w:type="dxa"/>
            <w:vAlign w:val="bottom"/>
            <w:gridSpan w:val="2"/>
          </w:tcPr>
          <w:p>
            <w:pPr>
              <w:jc w:val="right"/>
              <w:ind w:right="821"/>
              <w:spacing w:after="0" w:line="229" w:lineRule="exact"/>
              <w:rPr>
                <w:sz w:val="20"/>
                <w:szCs w:val="20"/>
                <w:color w:val="auto"/>
              </w:rPr>
            </w:pPr>
            <w:r>
              <w:rPr>
                <w:rFonts w:ascii="Calibri" w:cs="Calibri" w:eastAsia="Calibri" w:hAnsi="Calibri"/>
                <w:sz w:val="20"/>
                <w:szCs w:val="20"/>
                <w:color w:val="auto"/>
              </w:rPr>
              <w:t>$</w:t>
            </w:r>
          </w:p>
        </w:tc>
        <w:tc>
          <w:tcPr>
            <w:tcW w:w="36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1.8</w:t>
            </w:r>
          </w:p>
        </w:tc>
        <w:tc>
          <w:tcPr>
            <w:tcW w:w="380" w:type="dxa"/>
            <w:vAlign w:val="bottom"/>
            <w:gridSpan w:val="3"/>
          </w:tcPr>
          <w:p>
            <w:pPr>
              <w:jc w:val="right"/>
              <w:spacing w:after="0" w:line="229" w:lineRule="exact"/>
              <w:rPr>
                <w:sz w:val="20"/>
                <w:szCs w:val="20"/>
                <w:color w:val="auto"/>
              </w:rPr>
            </w:pPr>
            <w:r>
              <w:rPr>
                <w:rFonts w:ascii="Calibri" w:cs="Calibri" w:eastAsia="Calibri" w:hAnsi="Calibri"/>
                <w:sz w:val="20"/>
                <w:szCs w:val="20"/>
                <w:color w:val="auto"/>
              </w:rPr>
              <w:t>$</w:t>
            </w:r>
          </w:p>
        </w:tc>
        <w:tc>
          <w:tcPr>
            <w:tcW w:w="1520" w:type="dxa"/>
            <w:vAlign w:val="bottom"/>
            <w:gridSpan w:val="2"/>
          </w:tcPr>
          <w:p>
            <w:pPr>
              <w:jc w:val="right"/>
              <w:ind w:right="220"/>
              <w:spacing w:after="0" w:line="229" w:lineRule="exact"/>
              <w:rPr>
                <w:sz w:val="20"/>
                <w:szCs w:val="20"/>
                <w:color w:val="auto"/>
              </w:rPr>
            </w:pPr>
            <w:r>
              <w:rPr>
                <w:rFonts w:ascii="Calibri" w:cs="Calibri" w:eastAsia="Calibri" w:hAnsi="Calibri"/>
                <w:sz w:val="20"/>
                <w:szCs w:val="20"/>
                <w:color w:val="auto"/>
              </w:rPr>
              <w:t>(0.5 )</w:t>
            </w:r>
          </w:p>
        </w:tc>
        <w:tc>
          <w:tcPr>
            <w:tcW w:w="200" w:type="dxa"/>
            <w:vAlign w:val="bottom"/>
            <w:gridSpan w:val="2"/>
          </w:tcPr>
          <w:p>
            <w:pPr>
              <w:jc w:val="right"/>
              <w:ind w:right="60"/>
              <w:spacing w:after="0" w:line="229" w:lineRule="exact"/>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line="229" w:lineRule="exact"/>
              <w:rPr>
                <w:sz w:val="20"/>
                <w:szCs w:val="20"/>
                <w:color w:val="auto"/>
              </w:rPr>
            </w:pPr>
            <w:r>
              <w:rPr>
                <w:rFonts w:ascii="Calibri" w:cs="Calibri" w:eastAsia="Calibri" w:hAnsi="Calibri"/>
                <w:sz w:val="20"/>
                <w:szCs w:val="20"/>
                <w:color w:val="auto"/>
              </w:rPr>
              <w:t>1.3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20" w:type="dxa"/>
            <w:vAlign w:val="bottom"/>
            <w:shd w:val="clear" w:color="auto" w:fill="CFF0FC"/>
          </w:tcPr>
          <w:p>
            <w:pPr>
              <w:ind w:left="20"/>
              <w:spacing w:after="0" w:line="172" w:lineRule="exact"/>
              <w:rPr>
                <w:sz w:val="20"/>
                <w:szCs w:val="20"/>
                <w:color w:val="auto"/>
              </w:rPr>
            </w:pPr>
            <w:r>
              <w:rPr>
                <w:rFonts w:ascii="Calibri" w:cs="Calibri" w:eastAsia="Calibri" w:hAnsi="Calibri"/>
                <w:sz w:val="18"/>
                <w:szCs w:val="18"/>
                <w:color w:val="auto"/>
              </w:rPr>
              <w:t>Adjusted earnings per diluted share from</w:t>
            </w:r>
          </w:p>
        </w:tc>
        <w:tc>
          <w:tcPr>
            <w:tcW w:w="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w w:val="98"/>
              </w:rPr>
              <w:t>$</w:t>
            </w: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4.69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5020" w:type="dxa"/>
            <w:vAlign w:val="bottom"/>
            <w:tcBorders>
              <w:bottom w:val="single" w:sz="8" w:color="CFF0FC"/>
            </w:tcBorders>
            <w:shd w:val="clear" w:color="auto" w:fill="CFF0FC"/>
          </w:tcPr>
          <w:p>
            <w:pPr>
              <w:ind w:left="160"/>
              <w:spacing w:after="0" w:line="227" w:lineRule="exact"/>
              <w:rPr>
                <w:sz w:val="20"/>
                <w:szCs w:val="20"/>
                <w:color w:val="auto"/>
              </w:rPr>
            </w:pPr>
            <w:r>
              <w:rPr>
                <w:rFonts w:ascii="Calibri" w:cs="Calibri" w:eastAsia="Calibri" w:hAnsi="Calibri"/>
                <w:sz w:val="20"/>
                <w:szCs w:val="20"/>
                <w:color w:val="auto"/>
              </w:rPr>
              <w:t>contnuing operatons</w:t>
            </w:r>
          </w:p>
        </w:tc>
        <w:tc>
          <w:tcPr>
            <w:tcW w:w="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CFF0FC"/>
            </w:tcBorders>
            <w:gridSpan w:val="2"/>
            <w:vMerge w:val="continue"/>
            <w:shd w:val="clear" w:color="auto" w:fill="CFF0FC"/>
          </w:tcPr>
          <w:p>
            <w:pPr>
              <w:spacing w:after="0"/>
              <w:rPr>
                <w:sz w:val="23"/>
                <w:szCs w:val="23"/>
                <w:color w:val="auto"/>
              </w:rPr>
            </w:pPr>
          </w:p>
        </w:tc>
        <w:tc>
          <w:tcPr>
            <w:tcW w:w="180" w:type="dxa"/>
            <w:vAlign w:val="bottom"/>
            <w:tcBorders>
              <w:bottom w:val="single" w:sz="8" w:color="auto"/>
            </w:tcBorders>
            <w:vMerge w:val="continue"/>
            <w:shd w:val="clear" w:color="auto" w:fill="CFF0FC"/>
          </w:tcPr>
          <w:p>
            <w:pPr>
              <w:spacing w:after="0"/>
              <w:rPr>
                <w:sz w:val="23"/>
                <w:szCs w:val="23"/>
                <w:color w:val="auto"/>
              </w:rPr>
            </w:pPr>
          </w:p>
        </w:tc>
        <w:tc>
          <w:tcPr>
            <w:tcW w:w="1080" w:type="dxa"/>
            <w:vAlign w:val="bottom"/>
            <w:tcBorders>
              <w:bottom w:val="single" w:sz="8" w:color="auto"/>
            </w:tcBorders>
            <w:vMerge w:val="continue"/>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50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2"/>
          </w:tcPr>
          <w:p>
            <w:pPr>
              <w:jc w:val="right"/>
              <w:ind w:right="161"/>
              <w:spacing w:after="0"/>
              <w:rPr>
                <w:sz w:val="20"/>
                <w:szCs w:val="20"/>
                <w:color w:val="auto"/>
              </w:rPr>
            </w:pPr>
            <w:r>
              <w:rPr>
                <w:rFonts w:ascii="Calibri" w:cs="Calibri" w:eastAsia="Calibri" w:hAnsi="Calibri"/>
                <w:sz w:val="20"/>
                <w:szCs w:val="20"/>
                <w:color w:val="auto"/>
              </w:rPr>
              <w:t>Three Months Ended September 30, 2021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29" w:lineRule="exact"/>
              <w:rPr>
                <w:sz w:val="20"/>
                <w:szCs w:val="20"/>
                <w:color w:val="auto"/>
              </w:rPr>
            </w:pPr>
            <w:r>
              <w:rPr>
                <w:rFonts w:ascii="Calibri" w:cs="Calibri" w:eastAsia="Calibri" w:hAnsi="Calibri"/>
                <w:sz w:val="20"/>
                <w:szCs w:val="20"/>
                <w:color w:val="auto"/>
              </w:rPr>
              <w:t>Pretax</w:t>
            </w:r>
          </w:p>
        </w:tc>
        <w:tc>
          <w:tcPr>
            <w:tcW w:w="3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80"/>
              <w:spacing w:after="0" w:line="229" w:lineRule="exact"/>
              <w:rPr>
                <w:sz w:val="20"/>
                <w:szCs w:val="20"/>
                <w:color w:val="auto"/>
              </w:rPr>
            </w:pPr>
            <w:r>
              <w:rPr>
                <w:rFonts w:ascii="Calibri" w:cs="Calibri" w:eastAsia="Calibri" w:hAnsi="Calibri"/>
                <w:sz w:val="20"/>
                <w:szCs w:val="20"/>
                <w:color w:val="auto"/>
              </w:rPr>
              <w:t>Income Tax</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81"/>
              <w:spacing w:after="0" w:line="229" w:lineRule="exact"/>
              <w:rPr>
                <w:sz w:val="20"/>
                <w:szCs w:val="20"/>
                <w:color w:val="auto"/>
              </w:rPr>
            </w:pPr>
            <w:r>
              <w:rPr>
                <w:rFonts w:ascii="Calibri" w:cs="Calibri" w:eastAsia="Calibri" w:hAnsi="Calibri"/>
                <w:sz w:val="20"/>
                <w:szCs w:val="20"/>
                <w:color w:val="auto"/>
              </w:rPr>
              <w:t>Afer-Tax</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1"/>
              <w:spacing w:after="0" w:line="229" w:lineRule="exact"/>
              <w:rPr>
                <w:sz w:val="20"/>
                <w:szCs w:val="20"/>
                <w:color w:val="auto"/>
              </w:rPr>
            </w:pPr>
            <w:r>
              <w:rPr>
                <w:rFonts w:ascii="Calibri" w:cs="Calibri" w:eastAsia="Calibri" w:hAnsi="Calibri"/>
                <w:sz w:val="20"/>
                <w:szCs w:val="20"/>
                <w:color w:val="auto"/>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20" w:type="dxa"/>
            <w:vAlign w:val="bottom"/>
            <w:vMerge w:val="restart"/>
          </w:tcPr>
          <w:p>
            <w:pPr>
              <w:ind w:left="20"/>
              <w:spacing w:after="0"/>
              <w:rPr>
                <w:sz w:val="20"/>
                <w:szCs w:val="20"/>
                <w:color w:val="auto"/>
              </w:rPr>
            </w:pPr>
            <w:r>
              <w:rPr>
                <w:rFonts w:ascii="Calibri" w:cs="Calibri" w:eastAsia="Calibri" w:hAnsi="Calibri"/>
                <w:sz w:val="20"/>
                <w:szCs w:val="20"/>
                <w:color w:val="auto"/>
              </w:rPr>
              <w:t>Earnings per diluted share from contnuing</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right"/>
              <w:ind w:right="661"/>
              <w:spacing w:after="0" w:line="228" w:lineRule="exact"/>
              <w:rPr>
                <w:sz w:val="20"/>
                <w:szCs w:val="20"/>
                <w:color w:val="auto"/>
              </w:rPr>
            </w:pPr>
            <w:r>
              <w:rPr>
                <w:rFonts w:ascii="Calibri" w:cs="Calibri" w:eastAsia="Calibri" w:hAnsi="Calibri"/>
                <w:sz w:val="20"/>
                <w:szCs w:val="20"/>
                <w:i w:val="1"/>
                <w:iCs w:val="1"/>
                <w:color w:val="auto"/>
              </w:rPr>
              <w:t>(In Millions, Except per Share)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20" w:type="dxa"/>
            <w:vAlign w:val="bottom"/>
          </w:tcPr>
          <w:p>
            <w:pPr>
              <w:ind w:left="160"/>
              <w:spacing w:after="0" w:line="234" w:lineRule="exact"/>
              <w:rPr>
                <w:sz w:val="20"/>
                <w:szCs w:val="20"/>
                <w:color w:val="auto"/>
              </w:rPr>
            </w:pPr>
            <w:r>
              <w:rPr>
                <w:rFonts w:ascii="Calibri" w:cs="Calibri" w:eastAsia="Calibri" w:hAnsi="Calibri"/>
                <w:sz w:val="20"/>
                <w:szCs w:val="20"/>
                <w:color w:val="auto"/>
              </w:rPr>
              <w:t>operatons in accordance with GAAP</w:t>
            </w: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4.07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shd w:val="clear" w:color="auto" w:fill="CFF0FC"/>
          </w:tcPr>
          <w:p>
            <w:pPr>
              <w:ind w:left="120"/>
              <w:spacing w:after="0" w:line="240" w:lineRule="exact"/>
              <w:rPr>
                <w:sz w:val="20"/>
                <w:szCs w:val="20"/>
                <w:color w:val="auto"/>
              </w:rPr>
            </w:pPr>
            <w:r>
              <w:rPr>
                <w:rFonts w:ascii="Calibri" w:cs="Calibri" w:eastAsia="Calibri" w:hAnsi="Calibri"/>
                <w:sz w:val="20"/>
                <w:szCs w:val="20"/>
                <w:color w:val="auto"/>
              </w:rPr>
              <w:t>Impact of acquisiton and integraton expenses</w:t>
            </w:r>
          </w:p>
        </w:tc>
        <w:tc>
          <w:tcPr>
            <w:tcW w:w="1100" w:type="dxa"/>
            <w:vAlign w:val="bottom"/>
            <w:gridSpan w:val="2"/>
            <w:shd w:val="clear" w:color="auto" w:fill="CFF0FC"/>
          </w:tcPr>
          <w:p>
            <w:pPr>
              <w:jc w:val="right"/>
              <w:ind w:right="881"/>
              <w:spacing w:after="0" w:line="240" w:lineRule="exact"/>
              <w:rPr>
                <w:sz w:val="20"/>
                <w:szCs w:val="20"/>
                <w:color w:val="auto"/>
              </w:rPr>
            </w:pPr>
            <w:r>
              <w:rPr>
                <w:rFonts w:ascii="Calibri" w:cs="Calibri" w:eastAsia="Calibri" w:hAnsi="Calibri"/>
                <w:sz w:val="20"/>
                <w:szCs w:val="20"/>
                <w:color w:val="auto"/>
                <w:w w:val="98"/>
              </w:rPr>
              <w:t>$</w:t>
            </w:r>
          </w:p>
        </w:tc>
        <w:tc>
          <w:tcPr>
            <w:tcW w:w="32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7.4</w:t>
            </w:r>
          </w:p>
        </w:tc>
        <w:tc>
          <w:tcPr>
            <w:tcW w:w="4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60"/>
              <w:spacing w:after="0" w:line="240" w:lineRule="exact"/>
              <w:rPr>
                <w:sz w:val="20"/>
                <w:szCs w:val="20"/>
                <w:color w:val="auto"/>
              </w:rPr>
            </w:pPr>
            <w:r>
              <w:rPr>
                <w:rFonts w:ascii="Calibri" w:cs="Calibri" w:eastAsia="Calibri" w:hAnsi="Calibri"/>
                <w:sz w:val="20"/>
                <w:szCs w:val="20"/>
                <w:color w:val="auto"/>
              </w:rPr>
              <w:t>$</w:t>
            </w:r>
          </w:p>
        </w:tc>
        <w:tc>
          <w:tcPr>
            <w:tcW w:w="1520" w:type="dxa"/>
            <w:vAlign w:val="bottom"/>
            <w:gridSpan w:val="2"/>
            <w:shd w:val="clear" w:color="auto" w:fill="CFF0FC"/>
          </w:tcPr>
          <w:p>
            <w:pPr>
              <w:jc w:val="right"/>
              <w:ind w:right="220"/>
              <w:spacing w:after="0" w:line="240" w:lineRule="exact"/>
              <w:rPr>
                <w:sz w:val="20"/>
                <w:szCs w:val="20"/>
                <w:color w:val="auto"/>
              </w:rPr>
            </w:pPr>
            <w:r>
              <w:rPr>
                <w:rFonts w:ascii="Calibri" w:cs="Calibri" w:eastAsia="Calibri" w:hAnsi="Calibri"/>
                <w:sz w:val="20"/>
                <w:szCs w:val="20"/>
                <w:color w:val="auto"/>
              </w:rPr>
              <w:t>(1.8 )</w:t>
            </w:r>
          </w:p>
        </w:tc>
        <w:tc>
          <w:tcPr>
            <w:tcW w:w="200" w:type="dxa"/>
            <w:vAlign w:val="bottom"/>
            <w:gridSpan w:val="2"/>
            <w:shd w:val="clear" w:color="auto" w:fill="CFF0FC"/>
          </w:tcPr>
          <w:p>
            <w:pPr>
              <w:jc w:val="right"/>
              <w:ind w:right="80"/>
              <w:spacing w:after="0" w:line="240" w:lineRule="exact"/>
              <w:rPr>
                <w:sz w:val="20"/>
                <w:szCs w:val="20"/>
                <w:color w:val="auto"/>
              </w:rPr>
            </w:pPr>
            <w:r>
              <w:rPr>
                <w:rFonts w:ascii="Calibri" w:cs="Calibri" w:eastAsia="Calibri" w:hAnsi="Calibri"/>
                <w:sz w:val="20"/>
                <w:szCs w:val="20"/>
                <w:color w:val="auto"/>
                <w:w w:val="98"/>
              </w:rPr>
              <w:t>$</w:t>
            </w:r>
          </w:p>
        </w:tc>
        <w:tc>
          <w:tcPr>
            <w:tcW w:w="10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5.6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020" w:type="dxa"/>
            <w:vAlign w:val="bottom"/>
          </w:tcPr>
          <w:p>
            <w:pPr>
              <w:ind w:left="120"/>
              <w:spacing w:after="0" w:line="192" w:lineRule="exact"/>
              <w:rPr>
                <w:sz w:val="20"/>
                <w:szCs w:val="20"/>
                <w:color w:val="auto"/>
              </w:rPr>
            </w:pPr>
            <w:r>
              <w:rPr>
                <w:rFonts w:ascii="Calibri" w:cs="Calibri" w:eastAsia="Calibri" w:hAnsi="Calibri"/>
                <w:sz w:val="20"/>
                <w:szCs w:val="20"/>
                <w:color w:val="auto"/>
              </w:rPr>
              <w:t>Impact of selling acquired inventory afer its</w:t>
            </w: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40"/>
              <w:spacing w:after="0" w:line="203" w:lineRule="exact"/>
              <w:rPr>
                <w:sz w:val="20"/>
                <w:szCs w:val="20"/>
                <w:color w:val="auto"/>
              </w:rPr>
            </w:pPr>
            <w:r>
              <w:rPr>
                <w:rFonts w:ascii="Calibri" w:cs="Calibri" w:eastAsia="Calibri" w:hAnsi="Calibri"/>
                <w:sz w:val="20"/>
                <w:szCs w:val="20"/>
                <w:color w:val="auto"/>
              </w:rPr>
              <w:t>markup to fair value as part of acquisiton</w:t>
            </w: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20"/>
                <w:szCs w:val="20"/>
                <w:color w:val="auto"/>
              </w:rPr>
              <w:t>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40"/>
              <w:spacing w:after="0" w:line="234" w:lineRule="exact"/>
              <w:rPr>
                <w:sz w:val="20"/>
                <w:szCs w:val="20"/>
                <w:color w:val="auto"/>
              </w:rPr>
            </w:pPr>
            <w:r>
              <w:rPr>
                <w:rFonts w:ascii="Calibri" w:cs="Calibri" w:eastAsia="Calibri" w:hAnsi="Calibri"/>
                <w:sz w:val="20"/>
                <w:szCs w:val="20"/>
                <w:color w:val="auto"/>
              </w:rPr>
              <w:t>accountng</w:t>
            </w:r>
          </w:p>
        </w:tc>
        <w:tc>
          <w:tcPr>
            <w:tcW w:w="1100" w:type="dxa"/>
            <w:vAlign w:val="bottom"/>
            <w:gridSpan w:val="2"/>
          </w:tcPr>
          <w:p>
            <w:pPr>
              <w:jc w:val="right"/>
              <w:ind w:right="881"/>
              <w:spacing w:after="0" w:line="234" w:lineRule="exact"/>
              <w:rPr>
                <w:sz w:val="20"/>
                <w:szCs w:val="20"/>
                <w:color w:val="auto"/>
              </w:rPr>
            </w:pPr>
            <w:r>
              <w:rPr>
                <w:rFonts w:ascii="Calibri" w:cs="Calibri" w:eastAsia="Calibri" w:hAnsi="Calibri"/>
                <w:sz w:val="20"/>
                <w:szCs w:val="20"/>
                <w:color w:val="auto"/>
                <w:w w:val="98"/>
              </w:rPr>
              <w:t>$</w:t>
            </w:r>
          </w:p>
        </w:tc>
        <w:tc>
          <w:tcPr>
            <w:tcW w:w="320" w:type="dxa"/>
            <w:vAlign w:val="bottom"/>
          </w:tcPr>
          <w:p>
            <w:pPr>
              <w:jc w:val="right"/>
              <w:spacing w:after="0" w:line="234" w:lineRule="exact"/>
              <w:rPr>
                <w:sz w:val="20"/>
                <w:szCs w:val="20"/>
                <w:color w:val="auto"/>
              </w:rPr>
            </w:pPr>
            <w:r>
              <w:rPr>
                <w:rFonts w:ascii="Calibri" w:cs="Calibri" w:eastAsia="Calibri" w:hAnsi="Calibri"/>
                <w:sz w:val="20"/>
                <w:szCs w:val="20"/>
                <w:color w:val="auto"/>
              </w:rPr>
              <w:t>8.1</w:t>
            </w:r>
          </w:p>
        </w:tc>
        <w:tc>
          <w:tcPr>
            <w:tcW w:w="40" w:type="dxa"/>
            <w:vAlign w:val="bottom"/>
          </w:tcPr>
          <w:p>
            <w:pPr>
              <w:spacing w:after="0"/>
              <w:rPr>
                <w:sz w:val="20"/>
                <w:szCs w:val="20"/>
                <w:color w:val="auto"/>
              </w:rPr>
            </w:pPr>
          </w:p>
        </w:tc>
        <w:tc>
          <w:tcPr>
            <w:tcW w:w="380" w:type="dxa"/>
            <w:vAlign w:val="bottom"/>
            <w:gridSpan w:val="3"/>
          </w:tcPr>
          <w:p>
            <w:pPr>
              <w:jc w:val="right"/>
              <w:ind w:right="60"/>
              <w:spacing w:after="0" w:line="234" w:lineRule="exact"/>
              <w:rPr>
                <w:sz w:val="20"/>
                <w:szCs w:val="20"/>
                <w:color w:val="auto"/>
              </w:rPr>
            </w:pPr>
            <w:r>
              <w:rPr>
                <w:rFonts w:ascii="Calibri" w:cs="Calibri" w:eastAsia="Calibri" w:hAnsi="Calibri"/>
                <w:sz w:val="20"/>
                <w:szCs w:val="20"/>
                <w:color w:val="auto"/>
              </w:rPr>
              <w:t>$</w:t>
            </w:r>
          </w:p>
        </w:tc>
        <w:tc>
          <w:tcPr>
            <w:tcW w:w="1520" w:type="dxa"/>
            <w:vAlign w:val="bottom"/>
            <w:gridSpan w:val="2"/>
          </w:tcPr>
          <w:p>
            <w:pPr>
              <w:jc w:val="right"/>
              <w:ind w:right="220"/>
              <w:spacing w:after="0" w:line="234" w:lineRule="exact"/>
              <w:rPr>
                <w:sz w:val="20"/>
                <w:szCs w:val="20"/>
                <w:color w:val="auto"/>
              </w:rPr>
            </w:pPr>
            <w:r>
              <w:rPr>
                <w:rFonts w:ascii="Calibri" w:cs="Calibri" w:eastAsia="Calibri" w:hAnsi="Calibri"/>
                <w:sz w:val="20"/>
                <w:szCs w:val="20"/>
                <w:color w:val="auto"/>
              </w:rPr>
              <w:t>(2.3 )</w:t>
            </w:r>
          </w:p>
        </w:tc>
        <w:tc>
          <w:tcPr>
            <w:tcW w:w="20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w w:val="98"/>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5.8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20" w:type="dxa"/>
            <w:vAlign w:val="bottom"/>
            <w:shd w:val="clear" w:color="auto" w:fill="CFF0FC"/>
          </w:tcPr>
          <w:p>
            <w:pPr>
              <w:ind w:left="20"/>
              <w:spacing w:after="0" w:line="191" w:lineRule="exact"/>
              <w:rPr>
                <w:sz w:val="20"/>
                <w:szCs w:val="20"/>
                <w:color w:val="auto"/>
              </w:rPr>
            </w:pPr>
            <w:r>
              <w:rPr>
                <w:rFonts w:ascii="Calibri" w:cs="Calibri" w:eastAsia="Calibri" w:hAnsi="Calibri"/>
                <w:sz w:val="20"/>
                <w:szCs w:val="20"/>
                <w:color w:val="auto"/>
              </w:rPr>
              <w:t>Adjusted earnings per diluted share from</w:t>
            </w:r>
          </w:p>
        </w:tc>
        <w:tc>
          <w:tcPr>
            <w:tcW w:w="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gridSpan w:val="2"/>
            <w:vMerge w:val="restart"/>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w w:val="98"/>
              </w:rPr>
              <w:t>$</w:t>
            </w: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4.25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020" w:type="dxa"/>
            <w:vAlign w:val="bottom"/>
            <w:tcBorders>
              <w:bottom w:val="single" w:sz="8" w:color="CFF0FC"/>
            </w:tcBorders>
            <w:shd w:val="clear" w:color="auto" w:fill="CFF0FC"/>
          </w:tcPr>
          <w:p>
            <w:pPr>
              <w:ind w:left="160"/>
              <w:spacing w:after="0" w:line="213" w:lineRule="exact"/>
              <w:rPr>
                <w:sz w:val="20"/>
                <w:szCs w:val="20"/>
                <w:color w:val="auto"/>
              </w:rPr>
            </w:pPr>
            <w:r>
              <w:rPr>
                <w:rFonts w:ascii="Calibri" w:cs="Calibri" w:eastAsia="Calibri" w:hAnsi="Calibri"/>
                <w:sz w:val="20"/>
                <w:szCs w:val="20"/>
                <w:color w:val="auto"/>
              </w:rPr>
              <w:t>contnuing operatons</w:t>
            </w:r>
          </w:p>
        </w:tc>
        <w:tc>
          <w:tcPr>
            <w:tcW w:w="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vMerge w:val="continue"/>
            <w:shd w:val="clear" w:color="auto" w:fill="CFF0FC"/>
          </w:tcPr>
          <w:p>
            <w:pPr>
              <w:spacing w:after="0"/>
              <w:rPr>
                <w:sz w:val="22"/>
                <w:szCs w:val="22"/>
                <w:color w:val="auto"/>
              </w:rPr>
            </w:pPr>
          </w:p>
        </w:tc>
        <w:tc>
          <w:tcPr>
            <w:tcW w:w="180" w:type="dxa"/>
            <w:vAlign w:val="bottom"/>
            <w:tcBorders>
              <w:bottom w:val="single" w:sz="8" w:color="auto"/>
            </w:tcBorders>
            <w:vMerge w:val="continue"/>
            <w:shd w:val="clear" w:color="auto" w:fill="CFF0FC"/>
          </w:tcPr>
          <w:p>
            <w:pPr>
              <w:spacing w:after="0"/>
              <w:rPr>
                <w:sz w:val="22"/>
                <w:szCs w:val="22"/>
                <w:color w:val="auto"/>
              </w:rPr>
            </w:pPr>
          </w:p>
        </w:tc>
        <w:tc>
          <w:tcPr>
            <w:tcW w:w="108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28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8" w:name="page29"/>
    <w:bookmarkEnd w:id="2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gridSpan w:val="13"/>
          </w:tcPr>
          <w:p>
            <w:pPr>
              <w:jc w:val="right"/>
              <w:ind w:right="80"/>
              <w:spacing w:after="0"/>
              <w:rPr>
                <w:sz w:val="20"/>
                <w:szCs w:val="20"/>
                <w:color w:val="auto"/>
              </w:rPr>
            </w:pPr>
            <w:r>
              <w:rPr>
                <w:rFonts w:ascii="Calibri" w:cs="Calibri" w:eastAsia="Calibri" w:hAnsi="Calibri"/>
                <w:sz w:val="20"/>
                <w:szCs w:val="20"/>
                <w:color w:val="auto"/>
              </w:rPr>
              <w:t>Nine Months Ended September 30, 2022</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80"/>
              <w:spacing w:after="0" w:line="229" w:lineRule="exact"/>
              <w:rPr>
                <w:sz w:val="20"/>
                <w:szCs w:val="20"/>
                <w:color w:val="auto"/>
              </w:rPr>
            </w:pPr>
            <w:r>
              <w:rPr>
                <w:rFonts w:ascii="Calibri" w:cs="Calibri" w:eastAsia="Calibri" w:hAnsi="Calibri"/>
                <w:sz w:val="20"/>
                <w:szCs w:val="20"/>
                <w:color w:val="auto"/>
              </w:rPr>
              <w:t>Pretax</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1"/>
              <w:spacing w:after="0" w:line="229" w:lineRule="exact"/>
              <w:rPr>
                <w:sz w:val="20"/>
                <w:szCs w:val="20"/>
                <w:color w:val="auto"/>
              </w:rPr>
            </w:pPr>
            <w:r>
              <w:rPr>
                <w:rFonts w:ascii="Calibri" w:cs="Calibri" w:eastAsia="Calibri" w:hAnsi="Calibri"/>
                <w:sz w:val="20"/>
                <w:szCs w:val="20"/>
                <w:color w:val="auto"/>
              </w:rPr>
              <w:t>Income Tax</w:t>
            </w:r>
          </w:p>
        </w:tc>
        <w:tc>
          <w:tcPr>
            <w:tcW w:w="3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80"/>
              <w:spacing w:after="0" w:line="229" w:lineRule="exact"/>
              <w:rPr>
                <w:sz w:val="20"/>
                <w:szCs w:val="20"/>
                <w:color w:val="auto"/>
              </w:rPr>
            </w:pPr>
            <w:r>
              <w:rPr>
                <w:rFonts w:ascii="Calibri" w:cs="Calibri" w:eastAsia="Calibri" w:hAnsi="Calibri"/>
                <w:sz w:val="20"/>
                <w:szCs w:val="20"/>
                <w:color w:val="auto"/>
              </w:rPr>
              <w:t>Afer-Tax</w:t>
            </w:r>
          </w:p>
        </w:tc>
        <w:tc>
          <w:tcPr>
            <w:tcW w:w="24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1"/>
              <w:spacing w:after="0" w:line="229" w:lineRule="exact"/>
              <w:rPr>
                <w:sz w:val="20"/>
                <w:szCs w:val="20"/>
                <w:color w:val="auto"/>
              </w:rPr>
            </w:pPr>
            <w:r>
              <w:rPr>
                <w:rFonts w:ascii="Calibri" w:cs="Calibri" w:eastAsia="Calibri" w:hAnsi="Calibri"/>
                <w:sz w:val="20"/>
                <w:szCs w:val="20"/>
                <w:color w:val="auto"/>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vMerge w:val="restart"/>
          </w:tcPr>
          <w:p>
            <w:pPr>
              <w:ind w:left="20"/>
              <w:spacing w:after="0"/>
              <w:rPr>
                <w:sz w:val="20"/>
                <w:szCs w:val="20"/>
                <w:color w:val="auto"/>
              </w:rPr>
            </w:pPr>
            <w:r>
              <w:rPr>
                <w:rFonts w:ascii="Calibri" w:cs="Calibri" w:eastAsia="Calibri" w:hAnsi="Calibri"/>
                <w:sz w:val="20"/>
                <w:szCs w:val="20"/>
                <w:color w:val="auto"/>
              </w:rPr>
              <w:t>Earnings per diluted share from contnuing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jc w:val="right"/>
              <w:ind w:right="540"/>
              <w:spacing w:after="0" w:line="228" w:lineRule="exact"/>
              <w:rPr>
                <w:sz w:val="20"/>
                <w:szCs w:val="20"/>
                <w:color w:val="auto"/>
              </w:rPr>
            </w:pPr>
            <w:r>
              <w:rPr>
                <w:rFonts w:ascii="Calibri" w:cs="Calibri" w:eastAsia="Calibri" w:hAnsi="Calibri"/>
                <w:sz w:val="20"/>
                <w:szCs w:val="20"/>
                <w:i w:val="1"/>
                <w:iCs w:val="1"/>
                <w:color w:val="auto"/>
              </w:rPr>
              <w:t>(In Millions, Except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060" w:type="dxa"/>
            <w:vAlign w:val="bottom"/>
          </w:tcPr>
          <w:p>
            <w:pPr>
              <w:ind w:left="160"/>
              <w:spacing w:after="0" w:line="234" w:lineRule="exact"/>
              <w:rPr>
                <w:sz w:val="20"/>
                <w:szCs w:val="20"/>
                <w:color w:val="auto"/>
              </w:rPr>
            </w:pPr>
            <w:r>
              <w:rPr>
                <w:rFonts w:ascii="Calibri" w:cs="Calibri" w:eastAsia="Calibri" w:hAnsi="Calibri"/>
                <w:sz w:val="20"/>
                <w:szCs w:val="20"/>
                <w:color w:val="auto"/>
              </w:rPr>
              <w:t>operatons in accordance with GAAP</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color w:val="auto"/>
                <w:w w:val="98"/>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10.69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FF0FC"/>
          </w:tcPr>
          <w:p>
            <w:pPr>
              <w:ind w:left="120"/>
              <w:spacing w:after="0" w:line="240" w:lineRule="exact"/>
              <w:rPr>
                <w:sz w:val="20"/>
                <w:szCs w:val="20"/>
                <w:color w:val="auto"/>
              </w:rPr>
            </w:pPr>
            <w:r>
              <w:rPr>
                <w:rFonts w:ascii="Calibri" w:cs="Calibri" w:eastAsia="Calibri" w:hAnsi="Calibri"/>
                <w:sz w:val="20"/>
                <w:szCs w:val="20"/>
                <w:color w:val="auto"/>
              </w:rPr>
              <w:t>Impact of acquisiton and integraton expenses</w:t>
            </w:r>
          </w:p>
        </w:tc>
        <w:tc>
          <w:tcPr>
            <w:tcW w:w="300" w:type="dxa"/>
            <w:vAlign w:val="bottom"/>
            <w:gridSpan w:val="2"/>
            <w:shd w:val="clear" w:color="auto" w:fill="CFF0FC"/>
          </w:tcPr>
          <w:p>
            <w:pPr>
              <w:jc w:val="right"/>
              <w:ind w:right="120"/>
              <w:spacing w:after="0" w:line="240"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6.1</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0"/>
              <w:spacing w:after="0" w:line="240" w:lineRule="exact"/>
              <w:rPr>
                <w:sz w:val="20"/>
                <w:szCs w:val="20"/>
                <w:color w:val="auto"/>
              </w:rPr>
            </w:pPr>
            <w:r>
              <w:rPr>
                <w:rFonts w:ascii="Calibri" w:cs="Calibri" w:eastAsia="Calibri" w:hAnsi="Calibri"/>
                <w:sz w:val="20"/>
                <w:szCs w:val="20"/>
                <w:color w:val="auto"/>
              </w:rPr>
              <w:t>$</w:t>
            </w:r>
          </w:p>
        </w:tc>
        <w:tc>
          <w:tcPr>
            <w:tcW w:w="1540" w:type="dxa"/>
            <w:vAlign w:val="bottom"/>
            <w:gridSpan w:val="3"/>
            <w:shd w:val="clear" w:color="auto" w:fill="CFF0FC"/>
          </w:tcPr>
          <w:p>
            <w:pPr>
              <w:jc w:val="right"/>
              <w:ind w:right="240"/>
              <w:spacing w:after="0" w:line="240" w:lineRule="exact"/>
              <w:rPr>
                <w:sz w:val="20"/>
                <w:szCs w:val="20"/>
                <w:color w:val="auto"/>
              </w:rPr>
            </w:pPr>
            <w:r>
              <w:rPr>
                <w:rFonts w:ascii="Calibri" w:cs="Calibri" w:eastAsia="Calibri" w:hAnsi="Calibri"/>
                <w:sz w:val="20"/>
                <w:szCs w:val="20"/>
                <w:color w:val="auto"/>
              </w:rPr>
              <w:t>(1.4 )</w:t>
            </w:r>
          </w:p>
        </w:tc>
        <w:tc>
          <w:tcPr>
            <w:tcW w:w="180" w:type="dxa"/>
            <w:vAlign w:val="bottom"/>
            <w:gridSpan w:val="2"/>
            <w:shd w:val="clear" w:color="auto" w:fill="CFF0FC"/>
          </w:tcPr>
          <w:p>
            <w:pPr>
              <w:jc w:val="right"/>
              <w:ind w:right="80"/>
              <w:spacing w:after="0" w:line="240" w:lineRule="exact"/>
              <w:rPr>
                <w:sz w:val="20"/>
                <w:szCs w:val="20"/>
                <w:color w:val="auto"/>
              </w:rPr>
            </w:pPr>
            <w:r>
              <w:rPr>
                <w:rFonts w:ascii="Calibri" w:cs="Calibri" w:eastAsia="Calibri" w:hAnsi="Calibri"/>
                <w:sz w:val="20"/>
                <w:szCs w:val="20"/>
                <w:color w:val="auto"/>
                <w:w w:val="78"/>
              </w:rPr>
              <w:t>$</w:t>
            </w:r>
          </w:p>
        </w:tc>
        <w:tc>
          <w:tcPr>
            <w:tcW w:w="106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4.7</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20"/>
              <w:spacing w:after="0" w:line="229" w:lineRule="exact"/>
              <w:rPr>
                <w:sz w:val="20"/>
                <w:szCs w:val="20"/>
                <w:color w:val="auto"/>
              </w:rPr>
            </w:pPr>
            <w:r>
              <w:rPr>
                <w:rFonts w:ascii="Calibri" w:cs="Calibri" w:eastAsia="Calibri" w:hAnsi="Calibri"/>
                <w:sz w:val="20"/>
                <w:szCs w:val="20"/>
                <w:color w:val="auto"/>
              </w:rPr>
              <w:t>Impact of nonrecurring gain on divestture</w:t>
            </w:r>
          </w:p>
        </w:tc>
        <w:tc>
          <w:tcPr>
            <w:tcW w:w="300" w:type="dxa"/>
            <w:vAlign w:val="bottom"/>
            <w:gridSpan w:val="2"/>
          </w:tcPr>
          <w:p>
            <w:pPr>
              <w:jc w:val="right"/>
              <w:ind w:right="120"/>
              <w:spacing w:after="0" w:line="229" w:lineRule="exact"/>
              <w:rPr>
                <w:sz w:val="20"/>
                <w:szCs w:val="20"/>
                <w:color w:val="auto"/>
              </w:rPr>
            </w:pPr>
            <w:r>
              <w:rPr>
                <w:rFonts w:ascii="Calibri" w:cs="Calibri" w:eastAsia="Calibri" w:hAnsi="Calibri"/>
                <w:sz w:val="20"/>
                <w:szCs w:val="20"/>
                <w:color w:val="auto"/>
              </w:rPr>
              <w:t>$</w:t>
            </w:r>
          </w:p>
        </w:tc>
        <w:tc>
          <w:tcPr>
            <w:tcW w:w="1340" w:type="dxa"/>
            <w:vAlign w:val="bottom"/>
            <w:gridSpan w:val="3"/>
          </w:tcPr>
          <w:p>
            <w:pPr>
              <w:jc w:val="right"/>
              <w:ind w:right="160"/>
              <w:spacing w:after="0" w:line="229" w:lineRule="exact"/>
              <w:rPr>
                <w:sz w:val="20"/>
                <w:szCs w:val="20"/>
                <w:color w:val="auto"/>
              </w:rPr>
            </w:pPr>
            <w:r>
              <w:rPr>
                <w:rFonts w:ascii="Calibri" w:cs="Calibri" w:eastAsia="Calibri" w:hAnsi="Calibri"/>
                <w:sz w:val="20"/>
                <w:szCs w:val="20"/>
                <w:color w:val="auto"/>
              </w:rPr>
              <w:t>(151.9 )</w:t>
            </w:r>
          </w:p>
        </w:tc>
        <w:tc>
          <w:tcPr>
            <w:tcW w:w="160" w:type="dxa"/>
            <w:vAlign w:val="bottom"/>
            <w:gridSpan w:val="2"/>
          </w:tcPr>
          <w:p>
            <w:pPr>
              <w:jc w:val="right"/>
              <w:ind w:right="20"/>
              <w:spacing w:after="0" w:line="229" w:lineRule="exact"/>
              <w:rPr>
                <w:sz w:val="20"/>
                <w:szCs w:val="20"/>
                <w:color w:val="auto"/>
              </w:rPr>
            </w:pPr>
            <w:r>
              <w:rPr>
                <w:rFonts w:ascii="Calibri" w:cs="Calibri" w:eastAsia="Calibri" w:hAnsi="Calibri"/>
                <w:sz w:val="20"/>
                <w:szCs w:val="20"/>
                <w:color w:val="auto"/>
              </w:rPr>
              <w:t>$</w:t>
            </w:r>
          </w:p>
        </w:tc>
        <w:tc>
          <w:tcPr>
            <w:tcW w:w="1220" w:type="dxa"/>
            <w:vAlign w:val="bottom"/>
          </w:tcPr>
          <w:p>
            <w:pPr>
              <w:jc w:val="right"/>
              <w:spacing w:after="0" w:line="229" w:lineRule="exact"/>
              <w:rPr>
                <w:sz w:val="20"/>
                <w:szCs w:val="20"/>
                <w:color w:val="auto"/>
              </w:rPr>
            </w:pPr>
            <w:r>
              <w:rPr>
                <w:rFonts w:ascii="Calibri" w:cs="Calibri" w:eastAsia="Calibri" w:hAnsi="Calibri"/>
                <w:sz w:val="20"/>
                <w:szCs w:val="20"/>
                <w:color w:val="auto"/>
              </w:rPr>
              <w:t>43.6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gridSpan w:val="2"/>
          </w:tcPr>
          <w:p>
            <w:pPr>
              <w:jc w:val="right"/>
              <w:ind w:right="80"/>
              <w:spacing w:after="0" w:line="229" w:lineRule="exact"/>
              <w:rPr>
                <w:sz w:val="20"/>
                <w:szCs w:val="20"/>
                <w:color w:val="auto"/>
              </w:rPr>
            </w:pPr>
            <w:r>
              <w:rPr>
                <w:rFonts w:ascii="Calibri" w:cs="Calibri" w:eastAsia="Calibri" w:hAnsi="Calibri"/>
                <w:sz w:val="20"/>
                <w:szCs w:val="20"/>
                <w:color w:val="auto"/>
                <w:w w:val="78"/>
              </w:rPr>
              <w:t>$</w:t>
            </w:r>
          </w:p>
        </w:tc>
        <w:tc>
          <w:tcPr>
            <w:tcW w:w="1300" w:type="dxa"/>
            <w:vAlign w:val="bottom"/>
            <w:gridSpan w:val="3"/>
          </w:tcPr>
          <w:p>
            <w:pPr>
              <w:jc w:val="right"/>
              <w:ind w:right="160"/>
              <w:spacing w:after="0" w:line="229" w:lineRule="exact"/>
              <w:rPr>
                <w:sz w:val="20"/>
                <w:szCs w:val="20"/>
                <w:color w:val="auto"/>
              </w:rPr>
            </w:pPr>
            <w:r>
              <w:rPr>
                <w:rFonts w:ascii="Calibri" w:cs="Calibri" w:eastAsia="Calibri" w:hAnsi="Calibri"/>
                <w:sz w:val="20"/>
                <w:szCs w:val="20"/>
                <w:color w:val="auto"/>
              </w:rPr>
              <w:t>(108.3 )</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line="229" w:lineRule="exact"/>
              <w:rPr>
                <w:sz w:val="20"/>
                <w:szCs w:val="20"/>
                <w:color w:val="auto"/>
              </w:rPr>
            </w:pPr>
            <w:r>
              <w:rPr>
                <w:rFonts w:ascii="Calibri" w:cs="Calibri" w:eastAsia="Calibri" w:hAnsi="Calibri"/>
                <w:sz w:val="20"/>
                <w:szCs w:val="20"/>
                <w:color w:val="auto"/>
              </w:rPr>
              <w:t>(1.73 )</w:t>
            </w:r>
          </w:p>
        </w:tc>
        <w:tc>
          <w:tcPr>
            <w:tcW w:w="0" w:type="dxa"/>
            <w:vAlign w:val="bottom"/>
          </w:tcPr>
          <w:p>
            <w:pPr>
              <w:spacing w:after="0"/>
              <w:rPr>
                <w:sz w:val="1"/>
                <w:szCs w:val="1"/>
                <w:color w:val="auto"/>
              </w:rPr>
            </w:pPr>
          </w:p>
        </w:tc>
      </w:tr>
      <w:tr>
        <w:trPr>
          <w:trHeight w:val="172"/>
        </w:trPr>
        <w:tc>
          <w:tcPr>
            <w:tcW w:w="5060" w:type="dxa"/>
            <w:vAlign w:val="bottom"/>
            <w:shd w:val="clear" w:color="auto" w:fill="CFF0FC"/>
          </w:tcPr>
          <w:p>
            <w:pPr>
              <w:ind w:left="20"/>
              <w:spacing w:after="0" w:line="172" w:lineRule="exact"/>
              <w:rPr>
                <w:sz w:val="20"/>
                <w:szCs w:val="20"/>
                <w:color w:val="auto"/>
              </w:rPr>
            </w:pPr>
            <w:r>
              <w:rPr>
                <w:rFonts w:ascii="Calibri" w:cs="Calibri" w:eastAsia="Calibri" w:hAnsi="Calibri"/>
                <w:sz w:val="18"/>
                <w:szCs w:val="18"/>
                <w:color w:val="auto"/>
              </w:rPr>
              <w:t>Adjusted earnings per diluted share from</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20"/>
                <w:szCs w:val="20"/>
                <w:color w:val="auto"/>
                <w:w w:val="98"/>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20"/>
                <w:szCs w:val="20"/>
                <w:color w:val="auto"/>
              </w:rPr>
              <w:t>9.03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5060" w:type="dxa"/>
            <w:vAlign w:val="bottom"/>
            <w:tcBorders>
              <w:bottom w:val="single" w:sz="8" w:color="CFF0FC"/>
            </w:tcBorders>
            <w:shd w:val="clear" w:color="auto" w:fill="CFF0FC"/>
          </w:tcPr>
          <w:p>
            <w:pPr>
              <w:ind w:left="160"/>
              <w:spacing w:after="0" w:line="227" w:lineRule="exact"/>
              <w:rPr>
                <w:sz w:val="20"/>
                <w:szCs w:val="20"/>
                <w:color w:val="auto"/>
              </w:rPr>
            </w:pPr>
            <w:r>
              <w:rPr>
                <w:rFonts w:ascii="Calibri" w:cs="Calibri" w:eastAsia="Calibri" w:hAnsi="Calibri"/>
                <w:sz w:val="20"/>
                <w:szCs w:val="20"/>
                <w:color w:val="auto"/>
              </w:rPr>
              <w:t>contnuing operatons</w:t>
            </w:r>
          </w:p>
        </w:tc>
        <w:tc>
          <w:tcPr>
            <w:tcW w:w="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vMerge w:val="continue"/>
            <w:shd w:val="clear" w:color="auto" w:fill="CFF0FC"/>
          </w:tcPr>
          <w:p>
            <w:pPr>
              <w:spacing w:after="0"/>
              <w:rPr>
                <w:sz w:val="23"/>
                <w:szCs w:val="23"/>
                <w:color w:val="auto"/>
              </w:rPr>
            </w:pPr>
          </w:p>
        </w:tc>
        <w:tc>
          <w:tcPr>
            <w:tcW w:w="1080" w:type="dxa"/>
            <w:vAlign w:val="bottom"/>
            <w:tcBorders>
              <w:bottom w:val="single" w:sz="8" w:color="auto"/>
            </w:tcBorders>
            <w:vMerge w:val="continue"/>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06"/>
        </w:trPr>
        <w:tc>
          <w:tcPr>
            <w:tcW w:w="50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13"/>
          </w:tcPr>
          <w:p>
            <w:pPr>
              <w:jc w:val="right"/>
              <w:ind w:right="120"/>
              <w:spacing w:after="0"/>
              <w:rPr>
                <w:sz w:val="20"/>
                <w:szCs w:val="20"/>
                <w:color w:val="auto"/>
              </w:rPr>
            </w:pPr>
            <w:r>
              <w:rPr>
                <w:rFonts w:ascii="Calibri" w:cs="Calibri" w:eastAsia="Calibri" w:hAnsi="Calibri"/>
                <w:sz w:val="20"/>
                <w:szCs w:val="20"/>
                <w:color w:val="auto"/>
              </w:rPr>
              <w:t>Nine Months Ended September 30, 2021</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1"/>
              <w:spacing w:after="0" w:line="229" w:lineRule="exact"/>
              <w:rPr>
                <w:sz w:val="20"/>
                <w:szCs w:val="20"/>
                <w:color w:val="auto"/>
              </w:rPr>
            </w:pPr>
            <w:r>
              <w:rPr>
                <w:rFonts w:ascii="Calibri" w:cs="Calibri" w:eastAsia="Calibri" w:hAnsi="Calibri"/>
                <w:sz w:val="20"/>
                <w:szCs w:val="20"/>
                <w:color w:val="auto"/>
              </w:rPr>
              <w:t>Pretax</w:t>
            </w:r>
          </w:p>
        </w:tc>
        <w:tc>
          <w:tcPr>
            <w:tcW w:w="24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40"/>
              <w:spacing w:after="0" w:line="229" w:lineRule="exact"/>
              <w:rPr>
                <w:sz w:val="20"/>
                <w:szCs w:val="20"/>
                <w:color w:val="auto"/>
              </w:rPr>
            </w:pPr>
            <w:r>
              <w:rPr>
                <w:rFonts w:ascii="Calibri" w:cs="Calibri" w:eastAsia="Calibri" w:hAnsi="Calibri"/>
                <w:sz w:val="20"/>
                <w:szCs w:val="20"/>
                <w:color w:val="auto"/>
              </w:rPr>
              <w:t>Income Tax</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80"/>
              <w:spacing w:after="0" w:line="229" w:lineRule="exact"/>
              <w:rPr>
                <w:sz w:val="20"/>
                <w:szCs w:val="20"/>
                <w:color w:val="auto"/>
              </w:rPr>
            </w:pPr>
            <w:r>
              <w:rPr>
                <w:rFonts w:ascii="Calibri" w:cs="Calibri" w:eastAsia="Calibri" w:hAnsi="Calibri"/>
                <w:sz w:val="20"/>
                <w:szCs w:val="20"/>
                <w:color w:val="auto"/>
              </w:rPr>
              <w:t>Afer-Tax</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1"/>
              <w:spacing w:after="0" w:line="229" w:lineRule="exact"/>
              <w:rPr>
                <w:sz w:val="20"/>
                <w:szCs w:val="20"/>
                <w:color w:val="auto"/>
              </w:rPr>
            </w:pPr>
            <w:r>
              <w:rPr>
                <w:rFonts w:ascii="Calibri" w:cs="Calibri" w:eastAsia="Calibri" w:hAnsi="Calibri"/>
                <w:sz w:val="20"/>
                <w:szCs w:val="20"/>
                <w:color w:val="auto"/>
              </w:rPr>
              <w:t>Per Share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vMerge w:val="restart"/>
          </w:tcPr>
          <w:p>
            <w:pPr>
              <w:ind w:left="20"/>
              <w:spacing w:after="0"/>
              <w:rPr>
                <w:sz w:val="20"/>
                <w:szCs w:val="20"/>
                <w:color w:val="auto"/>
              </w:rPr>
            </w:pPr>
            <w:r>
              <w:rPr>
                <w:rFonts w:ascii="Calibri" w:cs="Calibri" w:eastAsia="Calibri" w:hAnsi="Calibri"/>
                <w:sz w:val="20"/>
                <w:szCs w:val="20"/>
                <w:color w:val="auto"/>
              </w:rPr>
              <w:t>Earnings per diluted share from contnuing</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jc w:val="right"/>
              <w:ind w:right="580"/>
              <w:spacing w:after="0" w:line="228" w:lineRule="exact"/>
              <w:rPr>
                <w:sz w:val="20"/>
                <w:szCs w:val="20"/>
                <w:color w:val="auto"/>
              </w:rPr>
            </w:pPr>
            <w:r>
              <w:rPr>
                <w:rFonts w:ascii="Calibri" w:cs="Calibri" w:eastAsia="Calibri" w:hAnsi="Calibri"/>
                <w:sz w:val="20"/>
                <w:szCs w:val="20"/>
                <w:i w:val="1"/>
                <w:iCs w:val="1"/>
                <w:color w:val="auto"/>
              </w:rPr>
              <w:t>(In Millions, Except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060" w:type="dxa"/>
            <w:vAlign w:val="bottom"/>
          </w:tcPr>
          <w:p>
            <w:pPr>
              <w:ind w:left="160"/>
              <w:spacing w:after="0" w:line="234" w:lineRule="exact"/>
              <w:rPr>
                <w:sz w:val="20"/>
                <w:szCs w:val="20"/>
                <w:color w:val="auto"/>
              </w:rPr>
            </w:pPr>
            <w:r>
              <w:rPr>
                <w:rFonts w:ascii="Calibri" w:cs="Calibri" w:eastAsia="Calibri" w:hAnsi="Calibri"/>
                <w:sz w:val="20"/>
                <w:szCs w:val="20"/>
                <w:color w:val="auto"/>
              </w:rPr>
              <w:t>operatons in accordance with GAAP</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8.72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FF0FC"/>
          </w:tcPr>
          <w:p>
            <w:pPr>
              <w:ind w:left="120"/>
              <w:spacing w:after="0" w:line="240" w:lineRule="exact"/>
              <w:rPr>
                <w:sz w:val="20"/>
                <w:szCs w:val="20"/>
                <w:color w:val="auto"/>
              </w:rPr>
            </w:pPr>
            <w:r>
              <w:rPr>
                <w:rFonts w:ascii="Calibri" w:cs="Calibri" w:eastAsia="Calibri" w:hAnsi="Calibri"/>
                <w:sz w:val="20"/>
                <w:szCs w:val="20"/>
                <w:color w:val="auto"/>
              </w:rPr>
              <w:t>Impact of acquisiton and integraton expenses</w:t>
            </w:r>
          </w:p>
        </w:tc>
        <w:tc>
          <w:tcPr>
            <w:tcW w:w="300" w:type="dxa"/>
            <w:vAlign w:val="bottom"/>
            <w:gridSpan w:val="2"/>
            <w:shd w:val="clear" w:color="auto" w:fill="CFF0FC"/>
          </w:tcPr>
          <w:p>
            <w:pPr>
              <w:jc w:val="right"/>
              <w:ind w:right="180"/>
              <w:spacing w:after="0" w:line="240" w:lineRule="exact"/>
              <w:rPr>
                <w:sz w:val="20"/>
                <w:szCs w:val="20"/>
                <w:color w:val="auto"/>
              </w:rPr>
            </w:pPr>
            <w:r>
              <w:rPr>
                <w:rFonts w:ascii="Calibri" w:cs="Calibri" w:eastAsia="Calibri" w:hAnsi="Calibri"/>
                <w:sz w:val="20"/>
                <w:szCs w:val="20"/>
                <w:color w:val="auto"/>
                <w:w w:val="98"/>
              </w:rPr>
              <w:t>$</w:t>
            </w:r>
          </w:p>
        </w:tc>
        <w:tc>
          <w:tcPr>
            <w:tcW w:w="110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18.0</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40"/>
              <w:spacing w:after="0" w:line="240" w:lineRule="exact"/>
              <w:rPr>
                <w:sz w:val="20"/>
                <w:szCs w:val="20"/>
                <w:color w:val="auto"/>
              </w:rPr>
            </w:pPr>
            <w:r>
              <w:rPr>
                <w:rFonts w:ascii="Calibri" w:cs="Calibri" w:eastAsia="Calibri" w:hAnsi="Calibri"/>
                <w:sz w:val="20"/>
                <w:szCs w:val="20"/>
                <w:color w:val="auto"/>
                <w:w w:val="98"/>
              </w:rPr>
              <w:t>$</w:t>
            </w:r>
          </w:p>
        </w:tc>
        <w:tc>
          <w:tcPr>
            <w:tcW w:w="1540" w:type="dxa"/>
            <w:vAlign w:val="bottom"/>
            <w:gridSpan w:val="3"/>
            <w:shd w:val="clear" w:color="auto" w:fill="CFF0FC"/>
          </w:tcPr>
          <w:p>
            <w:pPr>
              <w:jc w:val="right"/>
              <w:ind w:right="200"/>
              <w:spacing w:after="0" w:line="240" w:lineRule="exact"/>
              <w:rPr>
                <w:sz w:val="20"/>
                <w:szCs w:val="20"/>
                <w:color w:val="auto"/>
              </w:rPr>
            </w:pPr>
            <w:r>
              <w:rPr>
                <w:rFonts w:ascii="Calibri" w:cs="Calibri" w:eastAsia="Calibri" w:hAnsi="Calibri"/>
                <w:sz w:val="20"/>
                <w:szCs w:val="20"/>
                <w:color w:val="auto"/>
              </w:rPr>
              <w:t>(4.2 )</w:t>
            </w:r>
          </w:p>
        </w:tc>
        <w:tc>
          <w:tcPr>
            <w:tcW w:w="180" w:type="dxa"/>
            <w:vAlign w:val="bottom"/>
            <w:gridSpan w:val="2"/>
            <w:shd w:val="clear" w:color="auto" w:fill="CFF0FC"/>
          </w:tcPr>
          <w:p>
            <w:pPr>
              <w:jc w:val="right"/>
              <w:ind w:right="60"/>
              <w:spacing w:after="0" w:line="240" w:lineRule="exact"/>
              <w:rPr>
                <w:sz w:val="20"/>
                <w:szCs w:val="20"/>
                <w:color w:val="auto"/>
              </w:rPr>
            </w:pPr>
            <w:r>
              <w:rPr>
                <w:rFonts w:ascii="Calibri" w:cs="Calibri" w:eastAsia="Calibri" w:hAnsi="Calibri"/>
                <w:sz w:val="20"/>
                <w:szCs w:val="20"/>
                <w:color w:val="auto"/>
                <w:w w:val="98"/>
              </w:rPr>
              <w:t>$</w:t>
            </w:r>
          </w:p>
        </w:tc>
        <w:tc>
          <w:tcPr>
            <w:tcW w:w="106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13.8</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060" w:type="dxa"/>
            <w:vAlign w:val="bottom"/>
          </w:tcPr>
          <w:p>
            <w:pPr>
              <w:ind w:left="120"/>
              <w:spacing w:after="0" w:line="192" w:lineRule="exact"/>
              <w:rPr>
                <w:sz w:val="20"/>
                <w:szCs w:val="20"/>
                <w:color w:val="auto"/>
              </w:rPr>
            </w:pPr>
            <w:r>
              <w:rPr>
                <w:rFonts w:ascii="Calibri" w:cs="Calibri" w:eastAsia="Calibri" w:hAnsi="Calibri"/>
                <w:sz w:val="20"/>
                <w:szCs w:val="20"/>
                <w:color w:val="auto"/>
              </w:rPr>
              <w:t>Impact of selling acquired inventory afer its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40"/>
              <w:spacing w:after="0" w:line="203" w:lineRule="exact"/>
              <w:rPr>
                <w:sz w:val="20"/>
                <w:szCs w:val="20"/>
                <w:color w:val="auto"/>
              </w:rPr>
            </w:pPr>
            <w:r>
              <w:rPr>
                <w:rFonts w:ascii="Calibri" w:cs="Calibri" w:eastAsia="Calibri" w:hAnsi="Calibri"/>
                <w:sz w:val="20"/>
                <w:szCs w:val="20"/>
                <w:color w:val="auto"/>
              </w:rPr>
              <w:t>markup to fair value as part of acquisiton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20"/>
                <w:szCs w:val="20"/>
                <w:color w:val="auto"/>
              </w:rPr>
              <w:t>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240"/>
              <w:spacing w:after="0" w:line="234" w:lineRule="exact"/>
              <w:rPr>
                <w:sz w:val="20"/>
                <w:szCs w:val="20"/>
                <w:color w:val="auto"/>
              </w:rPr>
            </w:pPr>
            <w:r>
              <w:rPr>
                <w:rFonts w:ascii="Calibri" w:cs="Calibri" w:eastAsia="Calibri" w:hAnsi="Calibri"/>
                <w:sz w:val="20"/>
                <w:szCs w:val="20"/>
                <w:color w:val="auto"/>
              </w:rPr>
              <w:t>accountng</w:t>
            </w:r>
          </w:p>
        </w:tc>
        <w:tc>
          <w:tcPr>
            <w:tcW w:w="30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w w:val="98"/>
              </w:rPr>
              <w:t>$</w:t>
            </w:r>
          </w:p>
        </w:tc>
        <w:tc>
          <w:tcPr>
            <w:tcW w:w="1100" w:type="dxa"/>
            <w:vAlign w:val="bottom"/>
          </w:tcPr>
          <w:p>
            <w:pPr>
              <w:jc w:val="right"/>
              <w:spacing w:after="0" w:line="234" w:lineRule="exact"/>
              <w:rPr>
                <w:sz w:val="20"/>
                <w:szCs w:val="20"/>
                <w:color w:val="auto"/>
              </w:rPr>
            </w:pPr>
            <w:r>
              <w:rPr>
                <w:rFonts w:ascii="Calibri" w:cs="Calibri" w:eastAsia="Calibri" w:hAnsi="Calibri"/>
                <w:sz w:val="20"/>
                <w:szCs w:val="20"/>
                <w:color w:val="auto"/>
              </w:rPr>
              <w:t>15.7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ind w:right="40"/>
              <w:spacing w:after="0" w:line="234" w:lineRule="exact"/>
              <w:rPr>
                <w:sz w:val="20"/>
                <w:szCs w:val="20"/>
                <w:color w:val="auto"/>
              </w:rPr>
            </w:pPr>
            <w:r>
              <w:rPr>
                <w:rFonts w:ascii="Calibri" w:cs="Calibri" w:eastAsia="Calibri" w:hAnsi="Calibri"/>
                <w:sz w:val="20"/>
                <w:szCs w:val="20"/>
                <w:color w:val="auto"/>
                <w:w w:val="98"/>
              </w:rPr>
              <w:t>$</w:t>
            </w:r>
          </w:p>
        </w:tc>
        <w:tc>
          <w:tcPr>
            <w:tcW w:w="1540" w:type="dxa"/>
            <w:vAlign w:val="bottom"/>
            <w:gridSpan w:val="3"/>
          </w:tcPr>
          <w:p>
            <w:pPr>
              <w:jc w:val="right"/>
              <w:ind w:right="200"/>
              <w:spacing w:after="0" w:line="234" w:lineRule="exact"/>
              <w:rPr>
                <w:sz w:val="20"/>
                <w:szCs w:val="20"/>
                <w:color w:val="auto"/>
              </w:rPr>
            </w:pPr>
            <w:r>
              <w:rPr>
                <w:rFonts w:ascii="Calibri" w:cs="Calibri" w:eastAsia="Calibri" w:hAnsi="Calibri"/>
                <w:sz w:val="20"/>
                <w:szCs w:val="20"/>
                <w:color w:val="auto"/>
              </w:rPr>
              <w:t>(4.2 )</w:t>
            </w:r>
          </w:p>
        </w:tc>
        <w:tc>
          <w:tcPr>
            <w:tcW w:w="180" w:type="dxa"/>
            <w:vAlign w:val="bottom"/>
            <w:gridSpan w:val="2"/>
          </w:tcPr>
          <w:p>
            <w:pPr>
              <w:jc w:val="right"/>
              <w:ind w:right="60"/>
              <w:spacing w:after="0" w:line="234" w:lineRule="exact"/>
              <w:rPr>
                <w:sz w:val="20"/>
                <w:szCs w:val="20"/>
                <w:color w:val="auto"/>
              </w:rPr>
            </w:pPr>
            <w:r>
              <w:rPr>
                <w:rFonts w:ascii="Calibri" w:cs="Calibri" w:eastAsia="Calibri" w:hAnsi="Calibri"/>
                <w:sz w:val="20"/>
                <w:szCs w:val="20"/>
                <w:color w:val="auto"/>
                <w:w w:val="98"/>
              </w:rPr>
              <w:t>$</w:t>
            </w: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11.5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60" w:type="dxa"/>
            <w:vAlign w:val="bottom"/>
            <w:shd w:val="clear" w:color="auto" w:fill="CFF0FC"/>
          </w:tcPr>
          <w:p>
            <w:pPr>
              <w:ind w:left="20"/>
              <w:spacing w:after="0" w:line="191" w:lineRule="exact"/>
              <w:rPr>
                <w:sz w:val="20"/>
                <w:szCs w:val="20"/>
                <w:color w:val="auto"/>
              </w:rPr>
            </w:pPr>
            <w:r>
              <w:rPr>
                <w:rFonts w:ascii="Calibri" w:cs="Calibri" w:eastAsia="Calibri" w:hAnsi="Calibri"/>
                <w:sz w:val="20"/>
                <w:szCs w:val="20"/>
                <w:color w:val="auto"/>
              </w:rPr>
              <w:t>Adjusted earnings per diluted share from</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w w:val="98"/>
              </w:rPr>
              <w:t>$</w:t>
            </w:r>
          </w:p>
        </w:tc>
        <w:tc>
          <w:tcPr>
            <w:tcW w:w="108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9.12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060" w:type="dxa"/>
            <w:vAlign w:val="bottom"/>
            <w:tcBorders>
              <w:bottom w:val="single" w:sz="8" w:color="CFF0FC"/>
            </w:tcBorders>
            <w:shd w:val="clear" w:color="auto" w:fill="CFF0FC"/>
          </w:tcPr>
          <w:p>
            <w:pPr>
              <w:ind w:left="160"/>
              <w:spacing w:after="0" w:line="213" w:lineRule="exact"/>
              <w:rPr>
                <w:sz w:val="20"/>
                <w:szCs w:val="20"/>
                <w:color w:val="auto"/>
              </w:rPr>
            </w:pPr>
            <w:r>
              <w:rPr>
                <w:rFonts w:ascii="Calibri" w:cs="Calibri" w:eastAsia="Calibri" w:hAnsi="Calibri"/>
                <w:sz w:val="20"/>
                <w:szCs w:val="20"/>
                <w:color w:val="auto"/>
              </w:rPr>
              <w:t>contnuing operatons</w:t>
            </w:r>
          </w:p>
        </w:tc>
        <w:tc>
          <w:tcPr>
            <w:tcW w:w="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vMerge w:val="continue"/>
            <w:shd w:val="clear" w:color="auto" w:fill="CFF0FC"/>
          </w:tcPr>
          <w:p>
            <w:pPr>
              <w:spacing w:after="0"/>
              <w:rPr>
                <w:sz w:val="22"/>
                <w:szCs w:val="22"/>
                <w:color w:val="auto"/>
              </w:rPr>
            </w:pPr>
          </w:p>
        </w:tc>
        <w:tc>
          <w:tcPr>
            <w:tcW w:w="1080" w:type="dxa"/>
            <w:vAlign w:val="bottom"/>
            <w:tcBorders>
              <w:bottom w:val="single" w:sz="8" w:color="auto"/>
            </w:tcBorders>
            <w:vMerge w:val="continue"/>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8"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Mix-adjusted average selling price (mix-adjusted ASP) excludes the impacts of product, geographic and other mix from the current-period average selling price and is a non-GAAP measure. Mix-adjusted ASP is calculated by comparing current-period shipments to like-for-like shipments in the comparable prior period. Management uses this metric to evaluate the efectveness of the Company’s pricing increases and believes this informaton is useful to investors as it provides same-on-same pricing trends.</w:t>
      </w:r>
    </w:p>
    <w:p>
      <w:pPr>
        <w:jc w:val="center"/>
        <w:spacing w:after="0" w:line="227" w:lineRule="auto"/>
        <w:rPr>
          <w:sz w:val="20"/>
          <w:szCs w:val="20"/>
          <w:color w:val="auto"/>
        </w:rPr>
      </w:pPr>
      <w:r>
        <w:rPr>
          <w:rFonts w:ascii="Calibri" w:cs="Calibri" w:eastAsia="Calibri" w:hAnsi="Calibri"/>
          <w:sz w:val="20"/>
          <w:szCs w:val="20"/>
          <w:color w:val="auto"/>
        </w:rPr>
        <w:t>Page 29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29" w:name="page30"/>
    <w:bookmarkEnd w:id="2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reconciles reported average selling price to mix-adjusted ASP and corresponding variances.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4"/>
          </w:tcPr>
          <w:p>
            <w:pPr>
              <w:jc w:val="right"/>
              <w:ind w:right="401"/>
              <w:spacing w:after="0"/>
              <w:rPr>
                <w:sz w:val="20"/>
                <w:szCs w:val="20"/>
                <w:color w:val="auto"/>
              </w:rPr>
            </w:pPr>
            <w:r>
              <w:rPr>
                <w:rFonts w:ascii="Calibri" w:cs="Calibri" w:eastAsia="Calibri" w:hAnsi="Calibri"/>
                <w:sz w:val="20"/>
                <w:szCs w:val="20"/>
                <w:color w:val="auto"/>
              </w:rPr>
              <w:t>Three Months Ended</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4"/>
          </w:tcPr>
          <w:p>
            <w:pPr>
              <w:jc w:val="right"/>
              <w:ind w:right="421"/>
              <w:spacing w:after="0"/>
              <w:rPr>
                <w:sz w:val="20"/>
                <w:szCs w:val="20"/>
                <w:color w:val="auto"/>
              </w:rPr>
            </w:pPr>
            <w:r>
              <w:rPr>
                <w:rFonts w:ascii="Calibri" w:cs="Calibri" w:eastAsia="Calibri" w:hAnsi="Calibri"/>
                <w:sz w:val="20"/>
                <w:szCs w:val="20"/>
                <w:color w:val="auto"/>
              </w:rPr>
              <w:t>Nine Months Ended</w:t>
            </w:r>
          </w:p>
        </w:tc>
        <w:tc>
          <w:tcPr>
            <w:tcW w:w="100" w:type="dxa"/>
            <w:vAlign w:val="bottom"/>
          </w:tcPr>
          <w:p>
            <w:pPr>
              <w:spacing w:after="0"/>
              <w:rPr>
                <w:sz w:val="21"/>
                <w:szCs w:val="21"/>
                <w:color w:val="auto"/>
              </w:rPr>
            </w:pPr>
          </w:p>
        </w:tc>
      </w:tr>
      <w:tr>
        <w:trPr>
          <w:trHeight w:val="247"/>
        </w:trPr>
        <w:tc>
          <w:tcPr>
            <w:tcW w:w="5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661"/>
              <w:spacing w:after="0" w:line="234" w:lineRule="exact"/>
              <w:rPr>
                <w:sz w:val="20"/>
                <w:szCs w:val="20"/>
                <w:color w:val="auto"/>
              </w:rPr>
            </w:pPr>
            <w:r>
              <w:rPr>
                <w:rFonts w:ascii="Calibri" w:cs="Calibri" w:eastAsia="Calibri" w:hAnsi="Calibri"/>
                <w:sz w:val="20"/>
                <w:szCs w:val="20"/>
                <w:color w:val="auto"/>
              </w:rPr>
              <w:t>September 30,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621"/>
              <w:spacing w:after="0" w:line="234" w:lineRule="exact"/>
              <w:rPr>
                <w:sz w:val="20"/>
                <w:szCs w:val="20"/>
                <w:color w:val="auto"/>
              </w:rPr>
            </w:pPr>
            <w:r>
              <w:rPr>
                <w:rFonts w:ascii="Calibri" w:cs="Calibri" w:eastAsia="Calibri" w:hAnsi="Calibri"/>
                <w:sz w:val="20"/>
                <w:szCs w:val="20"/>
                <w:color w:val="auto"/>
              </w:rPr>
              <w:t>September 30,</w:t>
            </w:r>
          </w:p>
        </w:tc>
        <w:tc>
          <w:tcPr>
            <w:tcW w:w="100" w:type="dxa"/>
            <w:vAlign w:val="bottom"/>
          </w:tcPr>
          <w:p>
            <w:pPr>
              <w:spacing w:after="0"/>
              <w:rPr>
                <w:sz w:val="21"/>
                <w:szCs w:val="21"/>
                <w:color w:val="auto"/>
              </w:rPr>
            </w:pPr>
          </w:p>
        </w:tc>
      </w:tr>
      <w:tr>
        <w:trPr>
          <w:trHeight w:val="230"/>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1"/>
              <w:spacing w:after="0" w:line="229" w:lineRule="exact"/>
              <w:rPr>
                <w:sz w:val="20"/>
                <w:szCs w:val="20"/>
                <w:color w:val="auto"/>
              </w:rPr>
            </w:pPr>
            <w:r>
              <w:rPr>
                <w:rFonts w:ascii="Calibri" w:cs="Calibri" w:eastAsia="Calibri" w:hAnsi="Calibri"/>
                <w:sz w:val="20"/>
                <w:szCs w:val="20"/>
                <w:color w:val="auto"/>
              </w:rPr>
              <w:t>2022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1"/>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r>
      <w:tr>
        <w:trPr>
          <w:trHeight w:val="219"/>
        </w:trPr>
        <w:tc>
          <w:tcPr>
            <w:tcW w:w="5520" w:type="dxa"/>
            <w:vAlign w:val="bottom"/>
          </w:tcPr>
          <w:p>
            <w:pPr>
              <w:ind w:left="20"/>
              <w:spacing w:after="0" w:line="214" w:lineRule="exact"/>
              <w:rPr>
                <w:sz w:val="20"/>
                <w:szCs w:val="20"/>
                <w:color w:val="auto"/>
              </w:rPr>
            </w:pPr>
            <w:r>
              <w:rPr>
                <w:rFonts w:ascii="Calibri" w:cs="Calibri" w:eastAsia="Calibri" w:hAnsi="Calibri"/>
                <w:sz w:val="20"/>
                <w:szCs w:val="20"/>
                <w:b w:val="1"/>
                <w:bCs w:val="1"/>
                <w:color w:val="auto"/>
              </w:rPr>
              <w:t>Organic East Group - Aggregates: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4"/>
        </w:trPr>
        <w:tc>
          <w:tcPr>
            <w:tcW w:w="5520" w:type="dxa"/>
            <w:vAlign w:val="bottom"/>
            <w:tcBorders>
              <w:bottom w:val="single" w:sz="8" w:color="CFF0FC"/>
            </w:tcBorders>
            <w:shd w:val="clear" w:color="auto" w:fill="CFF0FC"/>
          </w:tcPr>
          <w:p>
            <w:pPr>
              <w:ind w:left="20"/>
              <w:spacing w:after="0" w:line="233" w:lineRule="exact"/>
              <w:rPr>
                <w:sz w:val="20"/>
                <w:szCs w:val="20"/>
                <w:color w:val="auto"/>
              </w:rPr>
            </w:pPr>
            <w:r>
              <w:rPr>
                <w:rFonts w:ascii="Calibri" w:cs="Calibri" w:eastAsia="Calibri" w:hAnsi="Calibri"/>
                <w:sz w:val="20"/>
                <w:szCs w:val="20"/>
                <w:color w:val="auto"/>
              </w:rPr>
              <w:t>Reported average selling price</w:t>
            </w:r>
          </w:p>
        </w:tc>
        <w:tc>
          <w:tcPr>
            <w:tcW w:w="280" w:type="dxa"/>
            <w:vAlign w:val="bottom"/>
            <w:tcBorders>
              <w:bottom w:val="single" w:sz="8" w:color="CFF0FC"/>
            </w:tcBorders>
            <w:shd w:val="clear" w:color="auto" w:fill="CFF0FC"/>
          </w:tcPr>
          <w:p>
            <w:pPr>
              <w:jc w:val="right"/>
              <w:ind w:right="61"/>
              <w:spacing w:after="0" w:line="233"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33" w:lineRule="exact"/>
              <w:rPr>
                <w:sz w:val="20"/>
                <w:szCs w:val="20"/>
                <w:color w:val="auto"/>
              </w:rPr>
            </w:pPr>
            <w:r>
              <w:rPr>
                <w:rFonts w:ascii="Calibri" w:cs="Calibri" w:eastAsia="Calibri" w:hAnsi="Calibri"/>
                <w:sz w:val="20"/>
                <w:szCs w:val="20"/>
                <w:color w:val="auto"/>
              </w:rPr>
              <w:t>17.01</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33"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33" w:lineRule="exact"/>
              <w:rPr>
                <w:sz w:val="20"/>
                <w:szCs w:val="20"/>
                <w:color w:val="auto"/>
              </w:rPr>
            </w:pPr>
            <w:r>
              <w:rPr>
                <w:rFonts w:ascii="Calibri" w:cs="Calibri" w:eastAsia="Calibri" w:hAnsi="Calibri"/>
                <w:sz w:val="20"/>
                <w:szCs w:val="20"/>
                <w:color w:val="auto"/>
              </w:rPr>
              <w:t>15.25</w:t>
            </w:r>
          </w:p>
        </w:tc>
        <w:tc>
          <w:tcPr>
            <w:tcW w:w="500" w:type="dxa"/>
            <w:vAlign w:val="bottom"/>
            <w:tcBorders>
              <w:bottom w:val="single" w:sz="8" w:color="CFF0FC"/>
            </w:tcBorders>
            <w:gridSpan w:val="2"/>
            <w:shd w:val="clear" w:color="auto" w:fill="CFF0FC"/>
          </w:tcPr>
          <w:p>
            <w:pPr>
              <w:jc w:val="right"/>
              <w:ind w:right="41"/>
              <w:spacing w:after="0" w:line="233"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33" w:lineRule="exact"/>
              <w:rPr>
                <w:sz w:val="20"/>
                <w:szCs w:val="20"/>
                <w:color w:val="auto"/>
              </w:rPr>
            </w:pPr>
            <w:r>
              <w:rPr>
                <w:rFonts w:ascii="Calibri" w:cs="Calibri" w:eastAsia="Calibri" w:hAnsi="Calibri"/>
                <w:sz w:val="20"/>
                <w:szCs w:val="20"/>
                <w:color w:val="auto"/>
              </w:rPr>
              <w:t>16.95</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33"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33" w:lineRule="exact"/>
              <w:rPr>
                <w:sz w:val="20"/>
                <w:szCs w:val="20"/>
                <w:color w:val="auto"/>
              </w:rPr>
            </w:pPr>
            <w:r>
              <w:rPr>
                <w:rFonts w:ascii="Calibri" w:cs="Calibri" w:eastAsia="Calibri" w:hAnsi="Calibri"/>
                <w:sz w:val="20"/>
                <w:szCs w:val="20"/>
                <w:color w:val="auto"/>
              </w:rPr>
              <w:t>15.62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59"/>
        </w:trPr>
        <w:tc>
          <w:tcPr>
            <w:tcW w:w="5520" w:type="dxa"/>
            <w:vAlign w:val="bottom"/>
          </w:tcPr>
          <w:p>
            <w:pPr>
              <w:ind w:left="20"/>
              <w:spacing w:after="0" w:line="158" w:lineRule="exact"/>
              <w:rPr>
                <w:sz w:val="20"/>
                <w:szCs w:val="20"/>
                <w:color w:val="auto"/>
              </w:rPr>
            </w:pPr>
            <w:r>
              <w:rPr>
                <w:rFonts w:ascii="Calibri" w:cs="Calibri" w:eastAsia="Calibri" w:hAnsi="Calibri"/>
                <w:sz w:val="16"/>
                <w:szCs w:val="16"/>
                <w:color w:val="auto"/>
              </w:rPr>
              <w:t>Adjustment for impact of product, geographic</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7"/>
        </w:trPr>
        <w:tc>
          <w:tcPr>
            <w:tcW w:w="5520" w:type="dxa"/>
            <w:vAlign w:val="bottom"/>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(0.19 )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(0.08 )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9"/>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Mix-adjusted ASP</w:t>
            </w:r>
          </w:p>
        </w:tc>
        <w:tc>
          <w:tcPr>
            <w:tcW w:w="280" w:type="dxa"/>
            <w:vAlign w:val="bottom"/>
            <w:tcBorders>
              <w:top w:val="single" w:sz="8" w:color="auto"/>
              <w:bottom w:val="single" w:sz="8" w:color="auto"/>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16.82</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6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16.87</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5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 variance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line="229" w:lineRule="exact"/>
              <w:rPr>
                <w:sz w:val="20"/>
                <w:szCs w:val="20"/>
                <w:color w:val="auto"/>
              </w:rPr>
            </w:pPr>
            <w:r>
              <w:rPr>
                <w:rFonts w:ascii="Calibri" w:cs="Calibri" w:eastAsia="Calibri" w:hAnsi="Calibri"/>
                <w:sz w:val="20"/>
                <w:szCs w:val="20"/>
                <w:color w:val="auto"/>
              </w:rPr>
              <w:t>11.5 %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line="229" w:lineRule="exact"/>
              <w:rPr>
                <w:sz w:val="20"/>
                <w:szCs w:val="20"/>
                <w:color w:val="auto"/>
              </w:rPr>
            </w:pPr>
            <w:r>
              <w:rPr>
                <w:rFonts w:ascii="Calibri" w:cs="Calibri" w:eastAsia="Calibri" w:hAnsi="Calibri"/>
                <w:sz w:val="20"/>
                <w:szCs w:val="20"/>
                <w:color w:val="auto"/>
              </w:rPr>
              <w:t>8.5 %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520" w:type="dxa"/>
            <w:vAlign w:val="bottom"/>
          </w:tcPr>
          <w:p>
            <w:pPr>
              <w:ind w:left="20"/>
              <w:spacing w:after="0" w:line="210" w:lineRule="exact"/>
              <w:rPr>
                <w:sz w:val="20"/>
                <w:szCs w:val="20"/>
                <w:color w:val="auto"/>
              </w:rPr>
            </w:pPr>
            <w:r>
              <w:rPr>
                <w:rFonts w:ascii="Calibri" w:cs="Calibri" w:eastAsia="Calibri" w:hAnsi="Calibri"/>
                <w:sz w:val="20"/>
                <w:szCs w:val="20"/>
                <w:color w:val="auto"/>
              </w:rPr>
              <w:t>Mix-adjusted ASP variance</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line="210" w:lineRule="exact"/>
              <w:rPr>
                <w:sz w:val="20"/>
                <w:szCs w:val="20"/>
                <w:color w:val="auto"/>
              </w:rPr>
            </w:pPr>
            <w:r>
              <w:rPr>
                <w:rFonts w:ascii="Calibri" w:cs="Calibri" w:eastAsia="Calibri" w:hAnsi="Calibri"/>
                <w:sz w:val="20"/>
                <w:szCs w:val="20"/>
                <w:color w:val="auto"/>
              </w:rPr>
              <w:t xml:space="preserve">10.3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line="210" w:lineRule="exact"/>
              <w:rPr>
                <w:sz w:val="20"/>
                <w:szCs w:val="20"/>
                <w:color w:val="auto"/>
              </w:rPr>
            </w:pPr>
            <w:r>
              <w:rPr>
                <w:rFonts w:ascii="Calibri" w:cs="Calibri" w:eastAsia="Calibri" w:hAnsi="Calibri"/>
                <w:sz w:val="20"/>
                <w:szCs w:val="20"/>
                <w:color w:val="auto"/>
              </w:rPr>
              <w:t xml:space="preserve">8.0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20" w:type="dxa"/>
            <w:vAlign w:val="bottom"/>
          </w:tcPr>
          <w:p>
            <w:pPr>
              <w:ind w:left="20"/>
              <w:spacing w:after="0" w:line="229" w:lineRule="exact"/>
              <w:rPr>
                <w:sz w:val="20"/>
                <w:szCs w:val="20"/>
                <w:color w:val="auto"/>
              </w:rPr>
            </w:pPr>
            <w:r>
              <w:rPr>
                <w:rFonts w:ascii="Calibri" w:cs="Calibri" w:eastAsia="Calibri" w:hAnsi="Calibri"/>
                <w:sz w:val="20"/>
                <w:szCs w:val="20"/>
                <w:b w:val="1"/>
                <w:bCs w:val="1"/>
                <w:color w:val="auto"/>
              </w:rPr>
              <w:t>Organic West Group - Aggregates: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9"/>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w:t>
            </w:r>
          </w:p>
        </w:tc>
        <w:tc>
          <w:tcPr>
            <w:tcW w:w="280" w:type="dxa"/>
            <w:vAlign w:val="bottom"/>
            <w:tcBorders>
              <w:bottom w:val="single" w:sz="8" w:color="CFF0FC"/>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16.11</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14.33</w:t>
            </w:r>
          </w:p>
        </w:tc>
        <w:tc>
          <w:tcPr>
            <w:tcW w:w="500" w:type="dxa"/>
            <w:vAlign w:val="bottom"/>
            <w:tcBorders>
              <w:bottom w:val="single" w:sz="8" w:color="CFF0FC"/>
            </w:tcBorders>
            <w:gridSpan w:val="2"/>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15.71</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14.09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59"/>
        </w:trPr>
        <w:tc>
          <w:tcPr>
            <w:tcW w:w="5520" w:type="dxa"/>
            <w:vAlign w:val="bottom"/>
          </w:tcPr>
          <w:p>
            <w:pPr>
              <w:ind w:left="20"/>
              <w:spacing w:after="0" w:line="158" w:lineRule="exact"/>
              <w:rPr>
                <w:sz w:val="20"/>
                <w:szCs w:val="20"/>
                <w:color w:val="auto"/>
              </w:rPr>
            </w:pPr>
            <w:r>
              <w:rPr>
                <w:rFonts w:ascii="Calibri" w:cs="Calibri" w:eastAsia="Calibri" w:hAnsi="Calibri"/>
                <w:sz w:val="16"/>
                <w:szCs w:val="16"/>
                <w:color w:val="auto"/>
              </w:rPr>
              <w:t>Adjustment for impact of product, geographic</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7"/>
        </w:trPr>
        <w:tc>
          <w:tcPr>
            <w:tcW w:w="5520" w:type="dxa"/>
            <w:vAlign w:val="bottom"/>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280" w:type="dxa"/>
            <w:vAlign w:val="bottom"/>
          </w:tcPr>
          <w:p>
            <w:pPr>
              <w:spacing w:after="0"/>
              <w:rPr>
                <w:sz w:val="21"/>
                <w:szCs w:val="21"/>
                <w:color w:val="auto"/>
              </w:rPr>
            </w:pPr>
          </w:p>
        </w:tc>
        <w:tc>
          <w:tcPr>
            <w:tcW w:w="980" w:type="dxa"/>
            <w:vAlign w:val="bottom"/>
          </w:tcPr>
          <w:p>
            <w:pPr>
              <w:jc w:val="right"/>
              <w:spacing w:after="0" w:line="234" w:lineRule="exact"/>
              <w:rPr>
                <w:sz w:val="20"/>
                <w:szCs w:val="20"/>
                <w:color w:val="auto"/>
              </w:rPr>
            </w:pPr>
            <w:r>
              <w:rPr>
                <w:rFonts w:ascii="Calibri" w:cs="Calibri" w:eastAsia="Calibri" w:hAnsi="Calibri"/>
                <w:sz w:val="20"/>
                <w:szCs w:val="20"/>
                <w:color w:val="auto"/>
              </w:rPr>
              <w:t>0.11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(0.25 )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Mix-adjusted ASP</w:t>
            </w:r>
          </w:p>
        </w:tc>
        <w:tc>
          <w:tcPr>
            <w:tcW w:w="280" w:type="dxa"/>
            <w:vAlign w:val="bottom"/>
            <w:tcBorders>
              <w:top w:val="single" w:sz="8" w:color="auto"/>
              <w:bottom w:val="single" w:sz="8" w:color="auto"/>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16.22</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6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15.46</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5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 variance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line="229" w:lineRule="exact"/>
              <w:rPr>
                <w:sz w:val="20"/>
                <w:szCs w:val="20"/>
                <w:color w:val="auto"/>
              </w:rPr>
            </w:pPr>
            <w:r>
              <w:rPr>
                <w:rFonts w:ascii="Calibri" w:cs="Calibri" w:eastAsia="Calibri" w:hAnsi="Calibri"/>
                <w:sz w:val="20"/>
                <w:szCs w:val="20"/>
                <w:color w:val="auto"/>
              </w:rPr>
              <w:t>12.4 %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line="229" w:lineRule="exact"/>
              <w:rPr>
                <w:sz w:val="20"/>
                <w:szCs w:val="20"/>
                <w:color w:val="auto"/>
              </w:rPr>
            </w:pPr>
            <w:r>
              <w:rPr>
                <w:rFonts w:ascii="Calibri" w:cs="Calibri" w:eastAsia="Calibri" w:hAnsi="Calibri"/>
                <w:sz w:val="20"/>
                <w:szCs w:val="20"/>
                <w:color w:val="auto"/>
              </w:rPr>
              <w:t>11.5 %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520" w:type="dxa"/>
            <w:vAlign w:val="bottom"/>
          </w:tcPr>
          <w:p>
            <w:pPr>
              <w:ind w:left="20"/>
              <w:spacing w:after="0" w:line="210" w:lineRule="exact"/>
              <w:rPr>
                <w:sz w:val="20"/>
                <w:szCs w:val="20"/>
                <w:color w:val="auto"/>
              </w:rPr>
            </w:pPr>
            <w:r>
              <w:rPr>
                <w:rFonts w:ascii="Calibri" w:cs="Calibri" w:eastAsia="Calibri" w:hAnsi="Calibri"/>
                <w:sz w:val="20"/>
                <w:szCs w:val="20"/>
                <w:color w:val="auto"/>
              </w:rPr>
              <w:t>Mix-adjusted ASP variance</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line="210" w:lineRule="exact"/>
              <w:rPr>
                <w:sz w:val="20"/>
                <w:szCs w:val="20"/>
                <w:color w:val="auto"/>
              </w:rPr>
            </w:pPr>
            <w:r>
              <w:rPr>
                <w:rFonts w:ascii="Calibri" w:cs="Calibri" w:eastAsia="Calibri" w:hAnsi="Calibri"/>
                <w:sz w:val="20"/>
                <w:szCs w:val="20"/>
                <w:color w:val="auto"/>
              </w:rPr>
              <w:t xml:space="preserve">13.2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line="210" w:lineRule="exact"/>
              <w:rPr>
                <w:sz w:val="20"/>
                <w:szCs w:val="20"/>
                <w:color w:val="auto"/>
              </w:rPr>
            </w:pPr>
            <w:r>
              <w:rPr>
                <w:rFonts w:ascii="Calibri" w:cs="Calibri" w:eastAsia="Calibri" w:hAnsi="Calibri"/>
                <w:sz w:val="20"/>
                <w:szCs w:val="20"/>
                <w:color w:val="auto"/>
              </w:rPr>
              <w:t xml:space="preserve">9.7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20" w:type="dxa"/>
            <w:vAlign w:val="bottom"/>
          </w:tcPr>
          <w:p>
            <w:pPr>
              <w:ind w:left="20"/>
              <w:spacing w:after="0" w:line="229" w:lineRule="exact"/>
              <w:rPr>
                <w:sz w:val="20"/>
                <w:szCs w:val="20"/>
                <w:color w:val="auto"/>
              </w:rPr>
            </w:pPr>
            <w:r>
              <w:rPr>
                <w:rFonts w:ascii="Calibri" w:cs="Calibri" w:eastAsia="Calibri" w:hAnsi="Calibri"/>
                <w:sz w:val="20"/>
                <w:szCs w:val="20"/>
                <w:b w:val="1"/>
                <w:bCs w:val="1"/>
                <w:color w:val="auto"/>
              </w:rPr>
              <w:t>Total Organic Aggregates: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9"/>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w:t>
            </w:r>
          </w:p>
        </w:tc>
        <w:tc>
          <w:tcPr>
            <w:tcW w:w="280" w:type="dxa"/>
            <w:vAlign w:val="bottom"/>
            <w:tcBorders>
              <w:bottom w:val="single" w:sz="8" w:color="CFF0FC"/>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16.70</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14.93</w:t>
            </w:r>
          </w:p>
        </w:tc>
        <w:tc>
          <w:tcPr>
            <w:tcW w:w="500" w:type="dxa"/>
            <w:vAlign w:val="bottom"/>
            <w:tcBorders>
              <w:bottom w:val="single" w:sz="8" w:color="CFF0FC"/>
            </w:tcBorders>
            <w:gridSpan w:val="2"/>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16.50</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15.08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59"/>
        </w:trPr>
        <w:tc>
          <w:tcPr>
            <w:tcW w:w="5520" w:type="dxa"/>
            <w:vAlign w:val="bottom"/>
          </w:tcPr>
          <w:p>
            <w:pPr>
              <w:ind w:left="20"/>
              <w:spacing w:after="0" w:line="158" w:lineRule="exact"/>
              <w:rPr>
                <w:sz w:val="20"/>
                <w:szCs w:val="20"/>
                <w:color w:val="auto"/>
              </w:rPr>
            </w:pPr>
            <w:r>
              <w:rPr>
                <w:rFonts w:ascii="Calibri" w:cs="Calibri" w:eastAsia="Calibri" w:hAnsi="Calibri"/>
                <w:sz w:val="16"/>
                <w:szCs w:val="16"/>
                <w:color w:val="auto"/>
              </w:rPr>
              <w:t>Adjustment for impact of product, geographic</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7"/>
        </w:trPr>
        <w:tc>
          <w:tcPr>
            <w:tcW w:w="5520" w:type="dxa"/>
            <w:vAlign w:val="bottom"/>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(0.09 )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(0.13 )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9"/>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Mix-adjusted ASP</w:t>
            </w:r>
          </w:p>
        </w:tc>
        <w:tc>
          <w:tcPr>
            <w:tcW w:w="280" w:type="dxa"/>
            <w:vAlign w:val="bottom"/>
            <w:tcBorders>
              <w:top w:val="single" w:sz="8" w:color="auto"/>
              <w:bottom w:val="single" w:sz="8" w:color="auto"/>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16.61</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6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16.37</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5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 variance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line="229" w:lineRule="exact"/>
              <w:rPr>
                <w:sz w:val="20"/>
                <w:szCs w:val="20"/>
                <w:color w:val="auto"/>
              </w:rPr>
            </w:pPr>
            <w:r>
              <w:rPr>
                <w:rFonts w:ascii="Calibri" w:cs="Calibri" w:eastAsia="Calibri" w:hAnsi="Calibri"/>
                <w:sz w:val="20"/>
                <w:szCs w:val="20"/>
                <w:color w:val="auto"/>
              </w:rPr>
              <w:t>11.9 %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line="229" w:lineRule="exact"/>
              <w:rPr>
                <w:sz w:val="20"/>
                <w:szCs w:val="20"/>
                <w:color w:val="auto"/>
              </w:rPr>
            </w:pPr>
            <w:r>
              <w:rPr>
                <w:rFonts w:ascii="Calibri" w:cs="Calibri" w:eastAsia="Calibri" w:hAnsi="Calibri"/>
                <w:sz w:val="20"/>
                <w:szCs w:val="20"/>
                <w:color w:val="auto"/>
              </w:rPr>
              <w:t>9.4 %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520" w:type="dxa"/>
            <w:vAlign w:val="bottom"/>
          </w:tcPr>
          <w:p>
            <w:pPr>
              <w:ind w:left="20"/>
              <w:spacing w:after="0" w:line="210" w:lineRule="exact"/>
              <w:rPr>
                <w:sz w:val="20"/>
                <w:szCs w:val="20"/>
                <w:color w:val="auto"/>
              </w:rPr>
            </w:pPr>
            <w:r>
              <w:rPr>
                <w:rFonts w:ascii="Calibri" w:cs="Calibri" w:eastAsia="Calibri" w:hAnsi="Calibri"/>
                <w:sz w:val="20"/>
                <w:szCs w:val="20"/>
                <w:color w:val="auto"/>
              </w:rPr>
              <w:t>Mix-adjusted ASP variance</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line="210" w:lineRule="exact"/>
              <w:rPr>
                <w:sz w:val="20"/>
                <w:szCs w:val="20"/>
                <w:color w:val="auto"/>
              </w:rPr>
            </w:pPr>
            <w:r>
              <w:rPr>
                <w:rFonts w:ascii="Calibri" w:cs="Calibri" w:eastAsia="Calibri" w:hAnsi="Calibri"/>
                <w:sz w:val="20"/>
                <w:szCs w:val="20"/>
                <w:color w:val="auto"/>
              </w:rPr>
              <w:t xml:space="preserve">11.3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line="210" w:lineRule="exact"/>
              <w:rPr>
                <w:sz w:val="20"/>
                <w:szCs w:val="20"/>
                <w:color w:val="auto"/>
              </w:rPr>
            </w:pPr>
            <w:r>
              <w:rPr>
                <w:rFonts w:ascii="Calibri" w:cs="Calibri" w:eastAsia="Calibri" w:hAnsi="Calibri"/>
                <w:sz w:val="20"/>
                <w:szCs w:val="20"/>
                <w:color w:val="auto"/>
              </w:rPr>
              <w:t xml:space="preserve">8.6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20" w:type="dxa"/>
            <w:vAlign w:val="bottom"/>
          </w:tcPr>
          <w:p>
            <w:pPr>
              <w:ind w:left="20"/>
              <w:spacing w:after="0" w:line="229" w:lineRule="exact"/>
              <w:rPr>
                <w:sz w:val="20"/>
                <w:szCs w:val="20"/>
                <w:color w:val="auto"/>
              </w:rPr>
            </w:pPr>
            <w:r>
              <w:rPr>
                <w:rFonts w:ascii="Calibri" w:cs="Calibri" w:eastAsia="Calibri" w:hAnsi="Calibri"/>
                <w:sz w:val="20"/>
                <w:szCs w:val="20"/>
                <w:b w:val="1"/>
                <w:bCs w:val="1"/>
                <w:color w:val="auto"/>
              </w:rPr>
              <w:t>Cement: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w:t>
            </w:r>
          </w:p>
        </w:tc>
        <w:tc>
          <w:tcPr>
            <w:tcW w:w="280" w:type="dxa"/>
            <w:vAlign w:val="bottom"/>
            <w:tcBorders>
              <w:bottom w:val="single" w:sz="8" w:color="CFF0FC"/>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149.24</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122.91</w:t>
            </w:r>
          </w:p>
        </w:tc>
        <w:tc>
          <w:tcPr>
            <w:tcW w:w="500" w:type="dxa"/>
            <w:vAlign w:val="bottom"/>
            <w:tcBorders>
              <w:bottom w:val="single" w:sz="8" w:color="CFF0FC"/>
            </w:tcBorders>
            <w:gridSpan w:val="2"/>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rPr>
              <w:t>$</w:t>
            </w:r>
          </w:p>
        </w:tc>
        <w:tc>
          <w:tcPr>
            <w:tcW w:w="96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139.64</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120.29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59"/>
        </w:trPr>
        <w:tc>
          <w:tcPr>
            <w:tcW w:w="5520" w:type="dxa"/>
            <w:vAlign w:val="bottom"/>
          </w:tcPr>
          <w:p>
            <w:pPr>
              <w:ind w:left="20"/>
              <w:spacing w:after="0" w:line="158" w:lineRule="exact"/>
              <w:rPr>
                <w:sz w:val="20"/>
                <w:szCs w:val="20"/>
                <w:color w:val="auto"/>
              </w:rPr>
            </w:pPr>
            <w:r>
              <w:rPr>
                <w:rFonts w:ascii="Calibri" w:cs="Calibri" w:eastAsia="Calibri" w:hAnsi="Calibri"/>
                <w:sz w:val="16"/>
                <w:szCs w:val="16"/>
                <w:color w:val="auto"/>
              </w:rPr>
              <w:t>Adjustment for impact of product, geographic</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7"/>
        </w:trPr>
        <w:tc>
          <w:tcPr>
            <w:tcW w:w="5520" w:type="dxa"/>
            <w:vAlign w:val="bottom"/>
          </w:tcPr>
          <w:p>
            <w:pPr>
              <w:ind w:left="160"/>
              <w:spacing w:after="0" w:line="234" w:lineRule="exact"/>
              <w:rPr>
                <w:sz w:val="20"/>
                <w:szCs w:val="20"/>
                <w:color w:val="auto"/>
              </w:rPr>
            </w:pPr>
            <w:r>
              <w:rPr>
                <w:rFonts w:ascii="Calibri" w:cs="Calibri" w:eastAsia="Calibri" w:hAnsi="Calibri"/>
                <w:sz w:val="20"/>
                <w:szCs w:val="20"/>
                <w:color w:val="auto"/>
              </w:rPr>
              <w:t>and other mix</w:t>
            </w:r>
          </w:p>
        </w:tc>
        <w:tc>
          <w:tcPr>
            <w:tcW w:w="280" w:type="dxa"/>
            <w:vAlign w:val="bottom"/>
          </w:tcPr>
          <w:p>
            <w:pPr>
              <w:spacing w:after="0"/>
              <w:rPr>
                <w:sz w:val="21"/>
                <w:szCs w:val="21"/>
                <w:color w:val="auto"/>
              </w:rPr>
            </w:pPr>
          </w:p>
        </w:tc>
        <w:tc>
          <w:tcPr>
            <w:tcW w:w="1240" w:type="dxa"/>
            <w:vAlign w:val="bottom"/>
            <w:gridSpan w:val="2"/>
          </w:tcPr>
          <w:p>
            <w:pPr>
              <w:jc w:val="right"/>
              <w:ind w:right="200"/>
              <w:spacing w:after="0" w:line="234" w:lineRule="exact"/>
              <w:rPr>
                <w:sz w:val="20"/>
                <w:szCs w:val="20"/>
                <w:color w:val="auto"/>
              </w:rPr>
            </w:pPr>
            <w:r>
              <w:rPr>
                <w:rFonts w:ascii="Calibri" w:cs="Calibri" w:eastAsia="Calibri" w:hAnsi="Calibri"/>
                <w:sz w:val="20"/>
                <w:szCs w:val="20"/>
                <w:color w:val="auto"/>
              </w:rPr>
              <w:t>(0.97 )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line="234" w:lineRule="exact"/>
              <w:rPr>
                <w:sz w:val="20"/>
                <w:szCs w:val="20"/>
                <w:color w:val="auto"/>
              </w:rPr>
            </w:pPr>
            <w:r>
              <w:rPr>
                <w:rFonts w:ascii="Calibri" w:cs="Calibri" w:eastAsia="Calibri" w:hAnsi="Calibri"/>
                <w:sz w:val="20"/>
                <w:szCs w:val="20"/>
                <w:color w:val="auto"/>
              </w:rPr>
              <w:t>(0.72 )</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52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Mix-adjusted ASP</w:t>
            </w:r>
          </w:p>
        </w:tc>
        <w:tc>
          <w:tcPr>
            <w:tcW w:w="280" w:type="dxa"/>
            <w:vAlign w:val="bottom"/>
            <w:tcBorders>
              <w:top w:val="single" w:sz="8" w:color="auto"/>
              <w:bottom w:val="single" w:sz="8" w:color="auto"/>
            </w:tcBorders>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98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148.27</w:t>
            </w:r>
          </w:p>
        </w:tc>
        <w:tc>
          <w:tcPr>
            <w:tcW w:w="2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98"/>
              </w:rPr>
              <w:t>$</w:t>
            </w:r>
          </w:p>
        </w:tc>
        <w:tc>
          <w:tcPr>
            <w:tcW w:w="960" w:type="dxa"/>
            <w:vAlign w:val="bottom"/>
            <w:tcBorders>
              <w:top w:val="single" w:sz="8" w:color="auto"/>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138.92</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5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Reported average selling price variance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line="229" w:lineRule="exact"/>
              <w:rPr>
                <w:sz w:val="20"/>
                <w:szCs w:val="20"/>
                <w:color w:val="auto"/>
              </w:rPr>
            </w:pPr>
            <w:r>
              <w:rPr>
                <w:rFonts w:ascii="Calibri" w:cs="Calibri" w:eastAsia="Calibri" w:hAnsi="Calibri"/>
                <w:sz w:val="20"/>
                <w:szCs w:val="20"/>
                <w:color w:val="auto"/>
              </w:rPr>
              <w:t>21.4 %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0"/>
              <w:spacing w:after="0" w:line="229" w:lineRule="exact"/>
              <w:rPr>
                <w:sz w:val="20"/>
                <w:szCs w:val="20"/>
                <w:color w:val="auto"/>
              </w:rPr>
            </w:pPr>
            <w:r>
              <w:rPr>
                <w:rFonts w:ascii="Calibri" w:cs="Calibri" w:eastAsia="Calibri" w:hAnsi="Calibri"/>
                <w:sz w:val="20"/>
                <w:szCs w:val="20"/>
                <w:color w:val="auto"/>
              </w:rPr>
              <w:t>16.1 %</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520" w:type="dxa"/>
            <w:vAlign w:val="bottom"/>
          </w:tcPr>
          <w:p>
            <w:pPr>
              <w:ind w:left="20"/>
              <w:spacing w:after="0" w:line="210" w:lineRule="exact"/>
              <w:rPr>
                <w:sz w:val="20"/>
                <w:szCs w:val="20"/>
                <w:color w:val="auto"/>
              </w:rPr>
            </w:pPr>
            <w:r>
              <w:rPr>
                <w:rFonts w:ascii="Calibri" w:cs="Calibri" w:eastAsia="Calibri" w:hAnsi="Calibri"/>
                <w:sz w:val="20"/>
                <w:szCs w:val="20"/>
                <w:color w:val="auto"/>
              </w:rPr>
              <w:t>Mix-adjusted ASP variance</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line="210" w:lineRule="exact"/>
              <w:rPr>
                <w:sz w:val="20"/>
                <w:szCs w:val="20"/>
                <w:color w:val="auto"/>
              </w:rPr>
            </w:pPr>
            <w:r>
              <w:rPr>
                <w:rFonts w:ascii="Calibri" w:cs="Calibri" w:eastAsia="Calibri" w:hAnsi="Calibri"/>
                <w:sz w:val="20"/>
                <w:szCs w:val="20"/>
                <w:color w:val="auto"/>
              </w:rPr>
              <w:t xml:space="preserve">20.6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line="210" w:lineRule="exact"/>
              <w:rPr>
                <w:sz w:val="20"/>
                <w:szCs w:val="20"/>
                <w:color w:val="auto"/>
              </w:rPr>
            </w:pPr>
            <w:r>
              <w:rPr>
                <w:rFonts w:ascii="Calibri" w:cs="Calibri" w:eastAsia="Calibri" w:hAnsi="Calibri"/>
                <w:sz w:val="20"/>
                <w:szCs w:val="20"/>
                <w:color w:val="auto"/>
              </w:rPr>
              <w:t xml:space="preserve">15.5 </w:t>
            </w:r>
            <w:r>
              <w:rPr>
                <w:rFonts w:ascii="Calibri" w:cs="Calibri" w:eastAsia="Calibri" w:hAnsi="Calibri"/>
                <w:sz w:val="20"/>
                <w:szCs w:val="20"/>
                <w:color w:val="auto"/>
                <w:highlight w:val="white"/>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-5185410</wp:posOffset>
            </wp:positionV>
            <wp:extent cx="1903095" cy="308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03095" cy="30861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-4731385</wp:posOffset>
            </wp:positionV>
            <wp:extent cx="192913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2913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-4413885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-4413885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-3779520</wp:posOffset>
            </wp:positionV>
            <wp:extent cx="1903095" cy="3086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03095" cy="30861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-3325495</wp:posOffset>
            </wp:positionV>
            <wp:extent cx="192913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2913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-3007995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-3007995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-2373630</wp:posOffset>
            </wp:positionV>
            <wp:extent cx="1903095" cy="3086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03095" cy="30861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-1919605</wp:posOffset>
            </wp:positionV>
            <wp:extent cx="192913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2913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-1602105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-1602105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-967740</wp:posOffset>
            </wp:positionV>
            <wp:extent cx="1903095" cy="3086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03095" cy="30861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-513715</wp:posOffset>
            </wp:positionV>
            <wp:extent cx="192913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2913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-196215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-196215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0" w:name="page31"/>
    <w:bookmarkEnd w:id="3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ind w:right="-19"/>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9"/>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391"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Quarter Ended September 30, 2022</w:t>
      </w:r>
    </w:p>
    <w:p>
      <w:pPr>
        <w:spacing w:after="0" w:line="103"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Financial highlights for the quarter ended September 30, 2022 (unless noted, all comparisons are versus the prior-year quarter and for contnuing operatons):</w:t>
      </w:r>
    </w:p>
    <w:p>
      <w:pPr>
        <w:spacing w:after="0" w:line="120"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Consolidated total revenues of $1.81 billion compared with $1.56 billion</w:t>
      </w:r>
    </w:p>
    <w:p>
      <w:pPr>
        <w:spacing w:after="0" w:line="11" w:lineRule="exact"/>
        <w:rPr>
          <w:rFonts w:ascii="Times New Roman" w:cs="Times New Roman" w:eastAsia="Times New Roman" w:hAnsi="Times New Roman"/>
          <w:sz w:val="20"/>
          <w:szCs w:val="20"/>
          <w:color w:val="007DC6"/>
        </w:rPr>
      </w:pPr>
    </w:p>
    <w:p>
      <w:pPr>
        <w:ind w:left="760" w:hanging="378"/>
        <w:spacing w:after="0" w:line="227" w:lineRule="auto"/>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Building Materials business products and services revenues of $1.61 billion compared with $1.39 billion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Magnesia Specialtes products revenues of $69.0 million compared with $71.9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Consolidated gross proft of $487.8 million compared with $441.9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Consolidated earnings from operatons of $405.9 million compared with $356.9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Adjusted consolidated earnings from operatons of $407.5 million compared with $372.4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Net earnings from contnuing operatons atributable to Martn Marieta of $291.2 million compared with $254.6 million</w:t>
      </w:r>
    </w:p>
    <w:p>
      <w:pPr>
        <w:spacing w:after="0" w:line="11" w:lineRule="exact"/>
        <w:rPr>
          <w:rFonts w:ascii="Times New Roman" w:cs="Times New Roman" w:eastAsia="Times New Roman" w:hAnsi="Times New Roman"/>
          <w:sz w:val="20"/>
          <w:szCs w:val="20"/>
          <w:color w:val="007DC6"/>
        </w:rPr>
      </w:pPr>
    </w:p>
    <w:p>
      <w:pPr>
        <w:ind w:left="760" w:hanging="378"/>
        <w:spacing w:after="0" w:line="227" w:lineRule="auto"/>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Adjusted EBITDA of $533.1 million compared with $490.0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Earnings per diluted share from contnuing operatons of $4.67 compared with $4.07</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Adjusted earnings per diluted share from contnuing operatons of $4.69 compared with $4.25</w:t>
      </w:r>
    </w:p>
    <w:p>
      <w:pPr>
        <w:jc w:val="center"/>
        <w:ind w:right="-19"/>
        <w:spacing w:after="0" w:line="225" w:lineRule="auto"/>
        <w:rPr>
          <w:sz w:val="20"/>
          <w:szCs w:val="20"/>
          <w:color w:val="auto"/>
        </w:rPr>
      </w:pPr>
      <w:r>
        <w:rPr>
          <w:rFonts w:ascii="Calibri" w:cs="Calibri" w:eastAsia="Calibri" w:hAnsi="Calibri"/>
          <w:sz w:val="20"/>
          <w:szCs w:val="20"/>
          <w:color w:val="auto"/>
        </w:rPr>
        <w:t>Page 31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1" w:name="page32"/>
    <w:bookmarkEnd w:id="31"/>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The following tables present total revenues, gross proft (loss), selling, general and administratve (SG&amp;A) expenses and earnings (loss) from operatons data for the Company and its reportable segments by product line for contnuing operatons for the three months ended September 30, 2022 and 2021. In each case, the data is stated as a percentage of revenues of the Company or the relevant segment or product line, as the case may be.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0" w:type="dxa"/>
            <w:vAlign w:val="bottom"/>
            <w:tcBorders>
              <w:bottom w:val="single" w:sz="8" w:color="auto"/>
            </w:tcBorders>
            <w:gridSpan w:val="4"/>
          </w:tcPr>
          <w:p>
            <w:pPr>
              <w:jc w:val="right"/>
              <w:ind w:right="1660"/>
              <w:spacing w:after="0"/>
              <w:rPr>
                <w:sz w:val="20"/>
                <w:szCs w:val="20"/>
                <w:color w:val="auto"/>
              </w:rPr>
            </w:pPr>
            <w:r>
              <w:rPr>
                <w:rFonts w:ascii="Calibri" w:cs="Calibri" w:eastAsia="Calibri" w:hAnsi="Calibri"/>
                <w:sz w:val="20"/>
                <w:szCs w:val="20"/>
                <w:color w:val="auto"/>
              </w:rPr>
              <w:t>Three Months Ended September 30,</w:t>
            </w:r>
          </w:p>
        </w:tc>
      </w:tr>
      <w:tr>
        <w:trPr>
          <w:trHeight w:val="229"/>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1"/>
              <w:spacing w:after="0" w:line="229" w:lineRule="exact"/>
              <w:rPr>
                <w:sz w:val="20"/>
                <w:szCs w:val="20"/>
                <w:color w:val="auto"/>
              </w:rPr>
            </w:pPr>
            <w:r>
              <w:rPr>
                <w:rFonts w:ascii="Calibri" w:cs="Calibri" w:eastAsia="Calibri" w:hAnsi="Calibri"/>
                <w:sz w:val="20"/>
                <w:szCs w:val="20"/>
                <w:color w:val="auto"/>
              </w:rPr>
              <w:t>2022</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1"/>
              <w:spacing w:after="0" w:line="229" w:lineRule="exact"/>
              <w:rPr>
                <w:sz w:val="20"/>
                <w:szCs w:val="20"/>
                <w:color w:val="auto"/>
              </w:rPr>
            </w:pPr>
            <w:r>
              <w:rPr>
                <w:rFonts w:ascii="Calibri" w:cs="Calibri" w:eastAsia="Calibri" w:hAnsi="Calibri"/>
                <w:sz w:val="20"/>
                <w:szCs w:val="20"/>
                <w:color w:val="auto"/>
              </w:rPr>
              <w:t>2021</w:t>
            </w:r>
          </w:p>
        </w:tc>
        <w:tc>
          <w:tcPr>
            <w:tcW w:w="1700" w:type="dxa"/>
            <w:vAlign w:val="bottom"/>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41"/>
              <w:spacing w:after="0" w:line="223" w:lineRule="exact"/>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1"/>
              <w:spacing w:after="0" w:line="223" w:lineRule="exact"/>
              <w:rPr>
                <w:sz w:val="20"/>
                <w:szCs w:val="20"/>
                <w:color w:val="auto"/>
              </w:rPr>
            </w:pPr>
            <w:r>
              <w:rPr>
                <w:rFonts w:ascii="Calibri" w:cs="Calibri" w:eastAsia="Calibri" w:hAnsi="Calibri"/>
                <w:sz w:val="20"/>
                <w:szCs w:val="20"/>
                <w:color w:val="auto"/>
              </w:rPr>
              <w:t>Amount</w:t>
            </w:r>
          </w:p>
        </w:tc>
        <w:tc>
          <w:tcPr>
            <w:tcW w:w="1700" w:type="dxa"/>
            <w:vAlign w:val="bottom"/>
          </w:tcPr>
          <w:p>
            <w:pPr>
              <w:spacing w:after="0"/>
              <w:rPr>
                <w:sz w:val="19"/>
                <w:szCs w:val="19"/>
                <w:color w:val="auto"/>
              </w:rPr>
            </w:pPr>
          </w:p>
        </w:tc>
      </w:tr>
      <w:tr>
        <w:trPr>
          <w:trHeight w:val="219"/>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ind w:left="120"/>
              <w:spacing w:after="0" w:line="214" w:lineRule="exact"/>
              <w:rPr>
                <w:sz w:val="20"/>
                <w:szCs w:val="20"/>
                <w:color w:val="auto"/>
              </w:rPr>
            </w:pPr>
            <w:r>
              <w:rPr>
                <w:rFonts w:ascii="Calibri" w:cs="Calibri" w:eastAsia="Calibri" w:hAnsi="Calibri"/>
                <w:sz w:val="20"/>
                <w:szCs w:val="20"/>
                <w:i w:val="1"/>
                <w:iCs w:val="1"/>
                <w:color w:val="auto"/>
              </w:rPr>
              <w:t>(Dollars in Millions)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4"/>
        </w:trPr>
        <w:tc>
          <w:tcPr>
            <w:tcW w:w="4940" w:type="dxa"/>
            <w:vAlign w:val="bottom"/>
            <w:shd w:val="clear" w:color="auto" w:fill="CFF0FC"/>
          </w:tcPr>
          <w:p>
            <w:pPr>
              <w:ind w:left="20"/>
              <w:spacing w:after="0" w:line="233" w:lineRule="exact"/>
              <w:rPr>
                <w:sz w:val="20"/>
                <w:szCs w:val="20"/>
                <w:color w:val="auto"/>
              </w:rPr>
            </w:pPr>
            <w:r>
              <w:rPr>
                <w:rFonts w:ascii="Calibri" w:cs="Calibri" w:eastAsia="Calibri" w:hAnsi="Calibri"/>
                <w:sz w:val="20"/>
                <w:szCs w:val="20"/>
                <w:b w:val="1"/>
                <w:bCs w:val="1"/>
                <w:color w:val="auto"/>
              </w:rPr>
              <w:t>Total revenues:</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r>
      <w:tr>
        <w:trPr>
          <w:trHeight w:val="229"/>
        </w:trPr>
        <w:tc>
          <w:tcPr>
            <w:tcW w:w="4940" w:type="dxa"/>
            <w:vAlign w:val="bottom"/>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94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Products and services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r>
      <w:tr>
        <w:trPr>
          <w:trHeight w:val="230"/>
        </w:trPr>
        <w:tc>
          <w:tcPr>
            <w:tcW w:w="4940" w:type="dxa"/>
            <w:vAlign w:val="bottom"/>
          </w:tcPr>
          <w:p>
            <w:pPr>
              <w:ind w:left="300"/>
              <w:spacing w:after="0" w:line="229" w:lineRule="exact"/>
              <w:rPr>
                <w:sz w:val="20"/>
                <w:szCs w:val="20"/>
                <w:color w:val="auto"/>
              </w:rPr>
            </w:pPr>
            <w:r>
              <w:rPr>
                <w:rFonts w:ascii="Calibri" w:cs="Calibri" w:eastAsia="Calibri" w:hAnsi="Calibri"/>
                <w:sz w:val="20"/>
                <w:szCs w:val="20"/>
                <w:color w:val="auto"/>
              </w:rPr>
              <w:t>East Group</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494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Aggregates</w:t>
            </w:r>
          </w:p>
        </w:tc>
        <w:tc>
          <w:tcPr>
            <w:tcW w:w="220" w:type="dxa"/>
            <w:vAlign w:val="bottom"/>
            <w:shd w:val="clear" w:color="auto" w:fill="CFF0FC"/>
          </w:tcPr>
          <w:p>
            <w:pPr>
              <w:jc w:val="right"/>
              <w:ind w:right="21"/>
              <w:spacing w:after="0" w:line="229" w:lineRule="exact"/>
              <w:rPr>
                <w:sz w:val="20"/>
                <w:szCs w:val="20"/>
                <w:color w:val="auto"/>
              </w:rPr>
            </w:pPr>
            <w:r>
              <w:rPr>
                <w:rFonts w:ascii="Calibri" w:cs="Calibri" w:eastAsia="Calibri" w:hAnsi="Calibri"/>
                <w:sz w:val="20"/>
                <w:szCs w:val="20"/>
                <w:color w:val="auto"/>
                <w:w w:val="78"/>
              </w:rPr>
              <w:t>$</w:t>
            </w:r>
          </w:p>
        </w:tc>
        <w:tc>
          <w:tcPr>
            <w:tcW w:w="11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641.7</w:t>
            </w: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
              <w:spacing w:after="0" w:line="229"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569.7</w:t>
            </w:r>
          </w:p>
        </w:tc>
        <w:tc>
          <w:tcPr>
            <w:tcW w:w="1700" w:type="dxa"/>
            <w:vAlign w:val="bottom"/>
            <w:shd w:val="clear" w:color="auto" w:fill="CFF0FC"/>
          </w:tcPr>
          <w:p>
            <w:pPr>
              <w:spacing w:after="0"/>
              <w:rPr>
                <w:sz w:val="19"/>
                <w:szCs w:val="19"/>
                <w:color w:val="auto"/>
              </w:rPr>
            </w:pPr>
          </w:p>
        </w:tc>
      </w:tr>
      <w:tr>
        <w:trPr>
          <w:trHeight w:val="230"/>
        </w:trPr>
        <w:tc>
          <w:tcPr>
            <w:tcW w:w="4940" w:type="dxa"/>
            <w:vAlign w:val="bottom"/>
          </w:tcPr>
          <w:p>
            <w:pPr>
              <w:ind w:left="480"/>
              <w:spacing w:after="0" w:line="229" w:lineRule="exact"/>
              <w:rPr>
                <w:sz w:val="20"/>
                <w:szCs w:val="20"/>
                <w:color w:val="auto"/>
              </w:rPr>
            </w:pPr>
            <w:r>
              <w:rPr>
                <w:rFonts w:ascii="Calibri" w:cs="Calibri" w:eastAsia="Calibri" w:hAnsi="Calibri"/>
                <w:sz w:val="20"/>
                <w:szCs w:val="20"/>
                <w:color w:val="auto"/>
              </w:rPr>
              <w:t>Asphalt</w:t>
            </w: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96.0</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80.2</w:t>
            </w:r>
          </w:p>
        </w:tc>
        <w:tc>
          <w:tcPr>
            <w:tcW w:w="1700" w:type="dxa"/>
            <w:vAlign w:val="bottom"/>
          </w:tcPr>
          <w:p>
            <w:pPr>
              <w:spacing w:after="0"/>
              <w:rPr>
                <w:sz w:val="19"/>
                <w:szCs w:val="19"/>
                <w:color w:val="auto"/>
              </w:rPr>
            </w:pPr>
          </w:p>
        </w:tc>
      </w:tr>
      <w:tr>
        <w:trPr>
          <w:trHeight w:val="229"/>
        </w:trPr>
        <w:tc>
          <w:tcPr>
            <w:tcW w:w="494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Less: Interproduct revenues</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line="229" w:lineRule="exact"/>
              <w:rPr>
                <w:sz w:val="20"/>
                <w:szCs w:val="20"/>
                <w:color w:val="auto"/>
              </w:rPr>
            </w:pPr>
            <w:r>
              <w:rPr>
                <w:rFonts w:ascii="Calibri" w:cs="Calibri" w:eastAsia="Calibri" w:hAnsi="Calibri"/>
                <w:sz w:val="20"/>
                <w:szCs w:val="20"/>
                <w:color w:val="auto"/>
              </w:rPr>
              <w:t>(9.2 )</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jc w:val="right"/>
              <w:ind w:right="1620"/>
              <w:spacing w:after="0" w:line="229" w:lineRule="exact"/>
              <w:rPr>
                <w:sz w:val="20"/>
                <w:szCs w:val="20"/>
                <w:color w:val="auto"/>
              </w:rPr>
            </w:pPr>
            <w:r>
              <w:rPr>
                <w:rFonts w:ascii="Calibri" w:cs="Calibri" w:eastAsia="Calibri" w:hAnsi="Calibri"/>
                <w:sz w:val="20"/>
                <w:szCs w:val="20"/>
                <w:color w:val="auto"/>
              </w:rPr>
              <w:t>(8.1 )</w:t>
            </w:r>
          </w:p>
        </w:tc>
      </w:tr>
      <w:tr>
        <w:trPr>
          <w:trHeight w:val="223"/>
        </w:trPr>
        <w:tc>
          <w:tcPr>
            <w:tcW w:w="4940" w:type="dxa"/>
            <w:vAlign w:val="bottom"/>
            <w:tcBorders>
              <w:top w:val="single" w:sz="8" w:color="CFF0FC"/>
            </w:tcBorders>
          </w:tcPr>
          <w:p>
            <w:pPr>
              <w:ind w:left="300"/>
              <w:spacing w:after="0" w:line="223" w:lineRule="exact"/>
              <w:rPr>
                <w:sz w:val="20"/>
                <w:szCs w:val="20"/>
                <w:color w:val="auto"/>
              </w:rPr>
            </w:pPr>
            <w:r>
              <w:rPr>
                <w:rFonts w:ascii="Calibri" w:cs="Calibri" w:eastAsia="Calibri" w:hAnsi="Calibri"/>
                <w:sz w:val="20"/>
                <w:szCs w:val="20"/>
                <w:color w:val="auto"/>
              </w:rPr>
              <w:t>East Group Total</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728.5</w:t>
            </w:r>
          </w:p>
        </w:tc>
        <w:tc>
          <w:tcPr>
            <w:tcW w:w="180" w:type="dxa"/>
            <w:vAlign w:val="bottom"/>
            <w:tcBorders>
              <w:top w:val="single" w:sz="8" w:color="CFF0FC"/>
            </w:tcBorders>
          </w:tcPr>
          <w:p>
            <w:pPr>
              <w:spacing w:after="0"/>
              <w:rPr>
                <w:sz w:val="19"/>
                <w:szCs w:val="19"/>
                <w:color w:val="auto"/>
              </w:rPr>
            </w:pPr>
          </w:p>
        </w:tc>
        <w:tc>
          <w:tcPr>
            <w:tcW w:w="17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641.8</w:t>
            </w:r>
          </w:p>
        </w:tc>
        <w:tc>
          <w:tcPr>
            <w:tcW w:w="1700" w:type="dxa"/>
            <w:vAlign w:val="bottom"/>
            <w:tcBorders>
              <w:top w:val="single" w:sz="8" w:color="CFF0FC"/>
            </w:tcBorders>
          </w:tcPr>
          <w:p>
            <w:pPr>
              <w:spacing w:after="0"/>
              <w:rPr>
                <w:sz w:val="19"/>
                <w:szCs w:val="19"/>
                <w:color w:val="auto"/>
              </w:rPr>
            </w:pPr>
          </w:p>
        </w:tc>
      </w:tr>
      <w:tr>
        <w:trPr>
          <w:trHeight w:val="223"/>
        </w:trPr>
        <w:tc>
          <w:tcPr>
            <w:tcW w:w="4940" w:type="dxa"/>
            <w:vAlign w:val="bottom"/>
            <w:shd w:val="clear" w:color="auto" w:fill="CFF0FC"/>
          </w:tcPr>
          <w:p>
            <w:pPr>
              <w:ind w:left="300"/>
              <w:spacing w:after="0" w:line="223" w:lineRule="exact"/>
              <w:rPr>
                <w:sz w:val="20"/>
                <w:szCs w:val="20"/>
                <w:color w:val="auto"/>
              </w:rPr>
            </w:pPr>
            <w:r>
              <w:rPr>
                <w:rFonts w:ascii="Calibri" w:cs="Calibri" w:eastAsia="Calibri" w:hAnsi="Calibri"/>
                <w:sz w:val="20"/>
                <w:szCs w:val="20"/>
                <w:color w:val="auto"/>
              </w:rPr>
              <w:t>West Group</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r>
      <w:tr>
        <w:trPr>
          <w:trHeight w:val="230"/>
        </w:trPr>
        <w:tc>
          <w:tcPr>
            <w:tcW w:w="4940" w:type="dxa"/>
            <w:vAlign w:val="bottom"/>
          </w:tcPr>
          <w:p>
            <w:pPr>
              <w:ind w:left="480"/>
              <w:spacing w:after="0" w:line="229" w:lineRule="exact"/>
              <w:rPr>
                <w:sz w:val="20"/>
                <w:szCs w:val="20"/>
                <w:color w:val="auto"/>
              </w:rPr>
            </w:pPr>
            <w:r>
              <w:rPr>
                <w:rFonts w:ascii="Calibri" w:cs="Calibri" w:eastAsia="Calibri" w:hAnsi="Calibri"/>
                <w:sz w:val="20"/>
                <w:szCs w:val="20"/>
                <w:color w:val="auto"/>
              </w:rPr>
              <w:t>Aggregates</w:t>
            </w: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374.0</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287.4</w:t>
            </w:r>
          </w:p>
        </w:tc>
        <w:tc>
          <w:tcPr>
            <w:tcW w:w="1700" w:type="dxa"/>
            <w:vAlign w:val="bottom"/>
          </w:tcPr>
          <w:p>
            <w:pPr>
              <w:spacing w:after="0"/>
              <w:rPr>
                <w:sz w:val="19"/>
                <w:szCs w:val="19"/>
                <w:color w:val="auto"/>
              </w:rPr>
            </w:pPr>
          </w:p>
        </w:tc>
      </w:tr>
      <w:tr>
        <w:trPr>
          <w:trHeight w:val="229"/>
        </w:trPr>
        <w:tc>
          <w:tcPr>
            <w:tcW w:w="494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Cement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163.2</w:t>
            </w: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132.3</w:t>
            </w:r>
          </w:p>
        </w:tc>
        <w:tc>
          <w:tcPr>
            <w:tcW w:w="1700" w:type="dxa"/>
            <w:vAlign w:val="bottom"/>
            <w:shd w:val="clear" w:color="auto" w:fill="CFF0FC"/>
          </w:tcPr>
          <w:p>
            <w:pPr>
              <w:spacing w:after="0"/>
              <w:rPr>
                <w:sz w:val="19"/>
                <w:szCs w:val="19"/>
                <w:color w:val="auto"/>
              </w:rPr>
            </w:pPr>
          </w:p>
        </w:tc>
      </w:tr>
      <w:tr>
        <w:trPr>
          <w:trHeight w:val="230"/>
        </w:trPr>
        <w:tc>
          <w:tcPr>
            <w:tcW w:w="4940" w:type="dxa"/>
            <w:vAlign w:val="bottom"/>
          </w:tcPr>
          <w:p>
            <w:pPr>
              <w:ind w:left="480"/>
              <w:spacing w:after="0" w:line="229" w:lineRule="exact"/>
              <w:rPr>
                <w:sz w:val="20"/>
                <w:szCs w:val="20"/>
                <w:color w:val="auto"/>
              </w:rPr>
            </w:pPr>
            <w:r>
              <w:rPr>
                <w:rFonts w:ascii="Calibri" w:cs="Calibri" w:eastAsia="Calibri" w:hAnsi="Calibri"/>
                <w:sz w:val="20"/>
                <w:szCs w:val="20"/>
                <w:color w:val="auto"/>
              </w:rPr>
              <w:t>Ready mixed concrete</w:t>
            </w: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227.4</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320.8</w:t>
            </w:r>
          </w:p>
        </w:tc>
        <w:tc>
          <w:tcPr>
            <w:tcW w:w="1700" w:type="dxa"/>
            <w:vAlign w:val="bottom"/>
          </w:tcPr>
          <w:p>
            <w:pPr>
              <w:spacing w:after="0"/>
              <w:rPr>
                <w:sz w:val="19"/>
                <w:szCs w:val="19"/>
                <w:color w:val="auto"/>
              </w:rPr>
            </w:pPr>
          </w:p>
        </w:tc>
      </w:tr>
      <w:tr>
        <w:trPr>
          <w:trHeight w:val="229"/>
        </w:trPr>
        <w:tc>
          <w:tcPr>
            <w:tcW w:w="494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Asphalt and paving</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213.8</w:t>
            </w: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115.7</w:t>
            </w:r>
          </w:p>
        </w:tc>
        <w:tc>
          <w:tcPr>
            <w:tcW w:w="1700" w:type="dxa"/>
            <w:vAlign w:val="bottom"/>
            <w:shd w:val="clear" w:color="auto" w:fill="CFF0FC"/>
          </w:tcPr>
          <w:p>
            <w:pPr>
              <w:spacing w:after="0"/>
              <w:rPr>
                <w:sz w:val="19"/>
                <w:szCs w:val="19"/>
                <w:color w:val="auto"/>
              </w:rPr>
            </w:pPr>
          </w:p>
        </w:tc>
      </w:tr>
      <w:tr>
        <w:trPr>
          <w:trHeight w:val="230"/>
        </w:trPr>
        <w:tc>
          <w:tcPr>
            <w:tcW w:w="4940" w:type="dxa"/>
            <w:vAlign w:val="bottom"/>
          </w:tcPr>
          <w:p>
            <w:pPr>
              <w:ind w:left="480"/>
              <w:spacing w:after="0" w:line="229" w:lineRule="exact"/>
              <w:rPr>
                <w:sz w:val="20"/>
                <w:szCs w:val="20"/>
                <w:color w:val="auto"/>
              </w:rPr>
            </w:pPr>
            <w:r>
              <w:rPr>
                <w:rFonts w:ascii="Calibri" w:cs="Calibri" w:eastAsia="Calibri" w:hAnsi="Calibri"/>
                <w:sz w:val="20"/>
                <w:szCs w:val="20"/>
                <w:color w:val="auto"/>
              </w:rPr>
              <w:t>Less: Interproduct revenues</w:t>
            </w:r>
          </w:p>
        </w:tc>
        <w:tc>
          <w:tcPr>
            <w:tcW w:w="220" w:type="dxa"/>
            <w:vAlign w:val="bottom"/>
          </w:tcPr>
          <w:p>
            <w:pPr>
              <w:spacing w:after="0"/>
              <w:rPr>
                <w:sz w:val="19"/>
                <w:szCs w:val="19"/>
                <w:color w:val="auto"/>
              </w:rPr>
            </w:pPr>
          </w:p>
        </w:tc>
        <w:tc>
          <w:tcPr>
            <w:tcW w:w="1280" w:type="dxa"/>
            <w:vAlign w:val="bottom"/>
            <w:gridSpan w:val="2"/>
          </w:tcPr>
          <w:p>
            <w:pPr>
              <w:jc w:val="right"/>
              <w:ind w:right="100"/>
              <w:spacing w:after="0" w:line="229" w:lineRule="exact"/>
              <w:rPr>
                <w:sz w:val="20"/>
                <w:szCs w:val="20"/>
                <w:color w:val="auto"/>
              </w:rPr>
            </w:pPr>
            <w:r>
              <w:rPr>
                <w:rFonts w:ascii="Calibri" w:cs="Calibri" w:eastAsia="Calibri" w:hAnsi="Calibri"/>
                <w:sz w:val="20"/>
                <w:szCs w:val="20"/>
                <w:color w:val="auto"/>
              </w:rPr>
              <w:t>(95.4 )</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2"/>
          </w:tcPr>
          <w:p>
            <w:pPr>
              <w:jc w:val="right"/>
              <w:ind w:right="1620"/>
              <w:spacing w:after="0" w:line="229" w:lineRule="exact"/>
              <w:rPr>
                <w:sz w:val="20"/>
                <w:szCs w:val="20"/>
                <w:color w:val="auto"/>
              </w:rPr>
            </w:pPr>
            <w:r>
              <w:rPr>
                <w:rFonts w:ascii="Calibri" w:cs="Calibri" w:eastAsia="Calibri" w:hAnsi="Calibri"/>
                <w:sz w:val="20"/>
                <w:szCs w:val="20"/>
                <w:color w:val="auto"/>
              </w:rPr>
              <w:t>(107.2 )</w:t>
            </w:r>
          </w:p>
        </w:tc>
      </w:tr>
      <w:tr>
        <w:trPr>
          <w:trHeight w:val="223"/>
        </w:trPr>
        <w:tc>
          <w:tcPr>
            <w:tcW w:w="4940" w:type="dxa"/>
            <w:vAlign w:val="bottom"/>
            <w:tcBorders>
              <w:bottom w:val="single" w:sz="8" w:color="CFF0FC"/>
            </w:tcBorders>
            <w:shd w:val="clear" w:color="auto" w:fill="CFF0FC"/>
          </w:tcPr>
          <w:p>
            <w:pPr>
              <w:ind w:left="300"/>
              <w:spacing w:after="0" w:line="223" w:lineRule="exact"/>
              <w:rPr>
                <w:sz w:val="20"/>
                <w:szCs w:val="20"/>
                <w:color w:val="auto"/>
              </w:rPr>
            </w:pPr>
            <w:r>
              <w:rPr>
                <w:rFonts w:ascii="Calibri" w:cs="Calibri" w:eastAsia="Calibri" w:hAnsi="Calibri"/>
                <w:sz w:val="20"/>
                <w:szCs w:val="20"/>
                <w:color w:val="auto"/>
              </w:rPr>
              <w:t>West Group Total</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883.0</w:t>
            </w:r>
          </w:p>
        </w:tc>
        <w:tc>
          <w:tcPr>
            <w:tcW w:w="1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749.0</w:t>
            </w:r>
          </w:p>
        </w:tc>
        <w:tc>
          <w:tcPr>
            <w:tcW w:w="1700" w:type="dxa"/>
            <w:vAlign w:val="bottom"/>
            <w:tcBorders>
              <w:bottom w:val="single" w:sz="8" w:color="CFF0FC"/>
            </w:tcBorders>
            <w:shd w:val="clear" w:color="auto" w:fill="CFF0FC"/>
          </w:tcPr>
          <w:p>
            <w:pPr>
              <w:spacing w:after="0"/>
              <w:rPr>
                <w:sz w:val="19"/>
                <w:szCs w:val="19"/>
                <w:color w:val="auto"/>
              </w:rPr>
            </w:pPr>
          </w:p>
        </w:tc>
      </w:tr>
      <w:tr>
        <w:trPr>
          <w:trHeight w:val="223"/>
        </w:trPr>
        <w:tc>
          <w:tcPr>
            <w:tcW w:w="4940" w:type="dxa"/>
            <w:vAlign w:val="bottom"/>
          </w:tcPr>
          <w:p>
            <w:pPr>
              <w:ind w:left="120"/>
              <w:spacing w:after="0" w:line="223" w:lineRule="exact"/>
              <w:rPr>
                <w:sz w:val="20"/>
                <w:szCs w:val="20"/>
                <w:color w:val="auto"/>
              </w:rPr>
            </w:pPr>
            <w:r>
              <w:rPr>
                <w:rFonts w:ascii="Calibri" w:cs="Calibri" w:eastAsia="Calibri" w:hAnsi="Calibri"/>
                <w:sz w:val="20"/>
                <w:szCs w:val="20"/>
                <w:color w:val="auto"/>
              </w:rPr>
              <w:t>Products and services</w:t>
            </w:r>
          </w:p>
        </w:tc>
        <w:tc>
          <w:tcPr>
            <w:tcW w:w="220" w:type="dxa"/>
            <w:vAlign w:val="bottom"/>
          </w:tcPr>
          <w:p>
            <w:pPr>
              <w:spacing w:after="0"/>
              <w:rPr>
                <w:sz w:val="19"/>
                <w:szCs w:val="19"/>
                <w:color w:val="auto"/>
              </w:rPr>
            </w:pPr>
          </w:p>
        </w:tc>
        <w:tc>
          <w:tcPr>
            <w:tcW w:w="1100" w:type="dxa"/>
            <w:vAlign w:val="bottom"/>
          </w:tcPr>
          <w:p>
            <w:pPr>
              <w:jc w:val="right"/>
              <w:spacing w:after="0" w:line="223" w:lineRule="exact"/>
              <w:rPr>
                <w:sz w:val="20"/>
                <w:szCs w:val="20"/>
                <w:color w:val="auto"/>
              </w:rPr>
            </w:pPr>
            <w:r>
              <w:rPr>
                <w:rFonts w:ascii="Calibri" w:cs="Calibri" w:eastAsia="Calibri" w:hAnsi="Calibri"/>
                <w:sz w:val="20"/>
                <w:szCs w:val="20"/>
                <w:color w:val="auto"/>
              </w:rPr>
              <w:t>1,611.5</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3" w:lineRule="exact"/>
              <w:rPr>
                <w:sz w:val="20"/>
                <w:szCs w:val="20"/>
                <w:color w:val="auto"/>
              </w:rPr>
            </w:pPr>
            <w:r>
              <w:rPr>
                <w:rFonts w:ascii="Calibri" w:cs="Calibri" w:eastAsia="Calibri" w:hAnsi="Calibri"/>
                <w:sz w:val="20"/>
                <w:szCs w:val="20"/>
                <w:color w:val="auto"/>
              </w:rPr>
              <w:t>1,390.8</w:t>
            </w:r>
          </w:p>
        </w:tc>
        <w:tc>
          <w:tcPr>
            <w:tcW w:w="1700" w:type="dxa"/>
            <w:vAlign w:val="bottom"/>
          </w:tcPr>
          <w:p>
            <w:pPr>
              <w:spacing w:after="0"/>
              <w:rPr>
                <w:sz w:val="19"/>
                <w:szCs w:val="19"/>
                <w:color w:val="auto"/>
              </w:rPr>
            </w:pPr>
          </w:p>
        </w:tc>
      </w:tr>
      <w:tr>
        <w:trPr>
          <w:trHeight w:val="230"/>
        </w:trPr>
        <w:tc>
          <w:tcPr>
            <w:tcW w:w="4940" w:type="dxa"/>
            <w:vAlign w:val="bottom"/>
            <w:tcBorders>
              <w:bottom w:val="single" w:sz="8" w:color="CFF0FC"/>
            </w:tcBorders>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124.5</w:t>
            </w:r>
          </w:p>
        </w:tc>
        <w:tc>
          <w:tcPr>
            <w:tcW w:w="1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88.1</w:t>
            </w:r>
          </w:p>
        </w:tc>
        <w:tc>
          <w:tcPr>
            <w:tcW w:w="1700" w:type="dxa"/>
            <w:vAlign w:val="bottom"/>
            <w:tcBorders>
              <w:bottom w:val="single" w:sz="8" w:color="CFF0FC"/>
            </w:tcBorders>
            <w:shd w:val="clear" w:color="auto" w:fill="CFF0FC"/>
          </w:tcPr>
          <w:p>
            <w:pPr>
              <w:spacing w:after="0"/>
              <w:rPr>
                <w:sz w:val="19"/>
                <w:szCs w:val="19"/>
                <w:color w:val="auto"/>
              </w:rPr>
            </w:pPr>
          </w:p>
        </w:tc>
      </w:tr>
      <w:tr>
        <w:trPr>
          <w:trHeight w:val="223"/>
        </w:trPr>
        <w:tc>
          <w:tcPr>
            <w:tcW w:w="494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1,736.0</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1,478.9</w:t>
            </w:r>
          </w:p>
        </w:tc>
        <w:tc>
          <w:tcPr>
            <w:tcW w:w="1700" w:type="dxa"/>
            <w:vAlign w:val="bottom"/>
          </w:tcPr>
          <w:p>
            <w:pPr>
              <w:spacing w:after="0"/>
              <w:rPr>
                <w:sz w:val="19"/>
                <w:szCs w:val="19"/>
                <w:color w:val="auto"/>
              </w:rPr>
            </w:pPr>
          </w:p>
        </w:tc>
      </w:tr>
      <w:tr>
        <w:trPr>
          <w:trHeight w:val="223"/>
        </w:trPr>
        <w:tc>
          <w:tcPr>
            <w:tcW w:w="494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Magnesia Specialtes: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r>
      <w:tr>
        <w:trPr>
          <w:trHeight w:val="230"/>
        </w:trPr>
        <w:tc>
          <w:tcPr>
            <w:tcW w:w="4940" w:type="dxa"/>
            <w:vAlign w:val="bottom"/>
          </w:tcPr>
          <w:p>
            <w:pPr>
              <w:ind w:left="120"/>
              <w:spacing w:after="0" w:line="229" w:lineRule="exact"/>
              <w:rPr>
                <w:sz w:val="20"/>
                <w:szCs w:val="20"/>
                <w:color w:val="auto"/>
              </w:rPr>
            </w:pPr>
            <w:r>
              <w:rPr>
                <w:rFonts w:ascii="Calibri" w:cs="Calibri" w:eastAsia="Calibri" w:hAnsi="Calibri"/>
                <w:sz w:val="20"/>
                <w:szCs w:val="20"/>
                <w:color w:val="auto"/>
              </w:rPr>
              <w:t>Products</w:t>
            </w: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69.0</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Calibri" w:cs="Calibri" w:eastAsia="Calibri" w:hAnsi="Calibri"/>
                <w:sz w:val="20"/>
                <w:szCs w:val="20"/>
                <w:color w:val="auto"/>
              </w:rPr>
              <w:t>71.9</w:t>
            </w:r>
          </w:p>
        </w:tc>
        <w:tc>
          <w:tcPr>
            <w:tcW w:w="1700" w:type="dxa"/>
            <w:vAlign w:val="bottom"/>
          </w:tcPr>
          <w:p>
            <w:pPr>
              <w:spacing w:after="0"/>
              <w:rPr>
                <w:sz w:val="19"/>
                <w:szCs w:val="19"/>
                <w:color w:val="auto"/>
              </w:rPr>
            </w:pPr>
          </w:p>
        </w:tc>
      </w:tr>
      <w:tr>
        <w:trPr>
          <w:trHeight w:val="230"/>
        </w:trPr>
        <w:tc>
          <w:tcPr>
            <w:tcW w:w="4940" w:type="dxa"/>
            <w:vAlign w:val="bottom"/>
            <w:tcBorders>
              <w:bottom w:val="single" w:sz="8" w:color="CFF0FC"/>
            </w:tcBorders>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6.7</w:t>
            </w:r>
          </w:p>
        </w:tc>
        <w:tc>
          <w:tcPr>
            <w:tcW w:w="1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6.5</w:t>
            </w:r>
          </w:p>
        </w:tc>
        <w:tc>
          <w:tcPr>
            <w:tcW w:w="1700" w:type="dxa"/>
            <w:vAlign w:val="bottom"/>
            <w:tcBorders>
              <w:bottom w:val="single" w:sz="8" w:color="CFF0FC"/>
            </w:tcBorders>
            <w:shd w:val="clear" w:color="auto" w:fill="CFF0FC"/>
          </w:tcPr>
          <w:p>
            <w:pPr>
              <w:spacing w:after="0"/>
              <w:rPr>
                <w:sz w:val="19"/>
                <w:szCs w:val="19"/>
                <w:color w:val="auto"/>
              </w:rPr>
            </w:pPr>
          </w:p>
        </w:tc>
      </w:tr>
      <w:tr>
        <w:trPr>
          <w:trHeight w:val="223"/>
        </w:trPr>
        <w:tc>
          <w:tcPr>
            <w:tcW w:w="4940" w:type="dxa"/>
            <w:vAlign w:val="bottom"/>
          </w:tcPr>
          <w:p>
            <w:pPr>
              <w:ind w:left="20"/>
              <w:spacing w:after="0" w:line="223" w:lineRule="exact"/>
              <w:rPr>
                <w:sz w:val="20"/>
                <w:szCs w:val="20"/>
                <w:color w:val="auto"/>
              </w:rPr>
            </w:pPr>
            <w:r>
              <w:rPr>
                <w:rFonts w:ascii="Calibri" w:cs="Calibri" w:eastAsia="Calibri" w:hAnsi="Calibri"/>
                <w:sz w:val="20"/>
                <w:szCs w:val="20"/>
                <w:color w:val="auto"/>
              </w:rPr>
              <w:t>Total Magnesia Specialtes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75.7</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78.4</w:t>
            </w:r>
          </w:p>
        </w:tc>
        <w:tc>
          <w:tcPr>
            <w:tcW w:w="1700" w:type="dxa"/>
            <w:vAlign w:val="bottom"/>
          </w:tcPr>
          <w:p>
            <w:pPr>
              <w:spacing w:after="0"/>
              <w:rPr>
                <w:sz w:val="19"/>
                <w:szCs w:val="19"/>
                <w:color w:val="auto"/>
              </w:rPr>
            </w:pPr>
          </w:p>
        </w:tc>
      </w:tr>
      <w:tr>
        <w:trPr>
          <w:trHeight w:val="263"/>
        </w:trPr>
        <w:tc>
          <w:tcPr>
            <w:tcW w:w="494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220" w:type="dxa"/>
            <w:vAlign w:val="bottom"/>
            <w:tcBorders>
              <w:bottom w:val="single" w:sz="8" w:color="auto"/>
            </w:tcBorders>
            <w:shd w:val="clear" w:color="auto" w:fill="CFF0FC"/>
          </w:tcPr>
          <w:p>
            <w:pPr>
              <w:jc w:val="right"/>
              <w:ind w:right="21"/>
              <w:spacing w:after="0" w:line="223" w:lineRule="exact"/>
              <w:rPr>
                <w:sz w:val="20"/>
                <w:szCs w:val="20"/>
                <w:color w:val="auto"/>
              </w:rPr>
            </w:pPr>
            <w:r>
              <w:rPr>
                <w:rFonts w:ascii="Calibri" w:cs="Calibri" w:eastAsia="Calibri" w:hAnsi="Calibri"/>
                <w:sz w:val="20"/>
                <w:szCs w:val="20"/>
                <w:color w:val="auto"/>
                <w:w w:val="78"/>
              </w:rPr>
              <w:t>$</w:t>
            </w:r>
          </w:p>
        </w:tc>
        <w:tc>
          <w:tcPr>
            <w:tcW w:w="110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1,811.7</w:t>
            </w:r>
          </w:p>
        </w:tc>
        <w:tc>
          <w:tcPr>
            <w:tcW w:w="180" w:type="dxa"/>
            <w:vAlign w:val="bottom"/>
            <w:tcBorders>
              <w:bottom w:val="single" w:sz="8" w:color="CFF0FC"/>
            </w:tcBorders>
            <w:shd w:val="clear" w:color="auto" w:fill="CFF0FC"/>
          </w:tcPr>
          <w:p>
            <w:pPr>
              <w:spacing w:after="0"/>
              <w:rPr>
                <w:sz w:val="22"/>
                <w:szCs w:val="22"/>
                <w:color w:val="auto"/>
              </w:rPr>
            </w:pPr>
          </w:p>
        </w:tc>
        <w:tc>
          <w:tcPr>
            <w:tcW w:w="17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
              <w:spacing w:after="0" w:line="223" w:lineRule="exact"/>
              <w:rPr>
                <w:sz w:val="20"/>
                <w:szCs w:val="20"/>
                <w:color w:val="auto"/>
              </w:rPr>
            </w:pPr>
            <w:r>
              <w:rPr>
                <w:rFonts w:ascii="Calibri" w:cs="Calibri" w:eastAsia="Calibri" w:hAnsi="Calibri"/>
                <w:sz w:val="20"/>
                <w:szCs w:val="20"/>
                <w:color w:val="auto"/>
                <w:w w:val="98"/>
              </w:rPr>
              <w:t>$</w:t>
            </w:r>
          </w:p>
        </w:tc>
        <w:tc>
          <w:tcPr>
            <w:tcW w:w="110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1,557.3</w:t>
            </w:r>
          </w:p>
        </w:tc>
        <w:tc>
          <w:tcPr>
            <w:tcW w:w="17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-2425065</wp:posOffset>
            </wp:positionV>
            <wp:extent cx="77470" cy="163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-2425065</wp:posOffset>
            </wp:positionV>
            <wp:extent cx="68580" cy="1631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-1233805</wp:posOffset>
            </wp:positionV>
            <wp:extent cx="7747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-1233805</wp:posOffset>
            </wp:positionV>
            <wp:extent cx="6858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-933450</wp:posOffset>
            </wp:positionV>
            <wp:extent cx="77470"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163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-333375</wp:posOffset>
            </wp:positionV>
            <wp:extent cx="7747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-333375</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2" w:name="page33"/>
    <w:bookmarkEnd w:id="3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7"/>
          </w:tcPr>
          <w:p>
            <w:pPr>
              <w:jc w:val="right"/>
              <w:ind w:right="380"/>
              <w:spacing w:after="0"/>
              <w:rPr>
                <w:sz w:val="20"/>
                <w:szCs w:val="20"/>
                <w:color w:val="auto"/>
              </w:rPr>
            </w:pPr>
            <w:r>
              <w:rPr>
                <w:rFonts w:ascii="Calibri" w:cs="Calibri" w:eastAsia="Calibri" w:hAnsi="Calibri"/>
                <w:sz w:val="20"/>
                <w:szCs w:val="20"/>
                <w:color w:val="auto"/>
              </w:rPr>
              <w:t>Three Months Ended September 30,</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line="229" w:lineRule="exact"/>
              <w:rPr>
                <w:sz w:val="20"/>
                <w:szCs w:val="20"/>
                <w:color w:val="auto"/>
              </w:rPr>
            </w:pPr>
            <w:r>
              <w:rPr>
                <w:rFonts w:ascii="Calibri" w:cs="Calibri" w:eastAsia="Calibri" w:hAnsi="Calibri"/>
                <w:sz w:val="20"/>
                <w:szCs w:val="20"/>
                <w:color w:val="auto"/>
              </w:rPr>
              <w:t>2022</w:t>
            </w:r>
          </w:p>
        </w:tc>
        <w:tc>
          <w:tcPr>
            <w:tcW w:w="1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0"/>
              <w:spacing w:after="0" w:line="229" w:lineRule="exact"/>
              <w:rPr>
                <w:sz w:val="20"/>
                <w:szCs w:val="20"/>
                <w:color w:val="auto"/>
              </w:rPr>
            </w:pPr>
            <w:r>
              <w:rPr>
                <w:rFonts w:ascii="Calibri" w:cs="Calibri" w:eastAsia="Calibri" w:hAnsi="Calibri"/>
                <w:sz w:val="20"/>
                <w:szCs w:val="20"/>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621"/>
              <w:spacing w:after="0" w:line="223" w:lineRule="exact"/>
              <w:rPr>
                <w:sz w:val="20"/>
                <w:szCs w:val="20"/>
                <w:color w:val="auto"/>
              </w:rPr>
            </w:pPr>
            <w:r>
              <w:rPr>
                <w:rFonts w:ascii="Calibri" w:cs="Calibri" w:eastAsia="Calibri" w:hAnsi="Calibri"/>
                <w:sz w:val="20"/>
                <w:szCs w:val="20"/>
                <w:color w:val="auto"/>
              </w:rPr>
              <w:t>Amount</w:t>
            </w:r>
          </w:p>
        </w:tc>
        <w:tc>
          <w:tcPr>
            <w:tcW w:w="1280" w:type="dxa"/>
            <w:vAlign w:val="bottom"/>
          </w:tcPr>
          <w:p>
            <w:pPr>
              <w:jc w:val="right"/>
              <w:spacing w:after="0" w:line="223" w:lineRule="exact"/>
              <w:rPr>
                <w:sz w:val="20"/>
                <w:szCs w:val="20"/>
                <w:color w:val="auto"/>
              </w:rPr>
            </w:pPr>
            <w:r>
              <w:rPr>
                <w:rFonts w:ascii="Calibri" w:cs="Calibri" w:eastAsia="Calibri" w:hAnsi="Calibri"/>
                <w:sz w:val="20"/>
                <w:szCs w:val="20"/>
                <w:color w:val="auto"/>
              </w:rPr>
              <w:t>% of Revenues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700"/>
              <w:spacing w:after="0" w:line="223" w:lineRule="exact"/>
              <w:rPr>
                <w:sz w:val="20"/>
                <w:szCs w:val="20"/>
                <w:color w:val="auto"/>
              </w:rPr>
            </w:pPr>
            <w:r>
              <w:rPr>
                <w:rFonts w:ascii="Calibri" w:cs="Calibri" w:eastAsia="Calibri" w:hAnsi="Calibri"/>
                <w:sz w:val="20"/>
                <w:szCs w:val="20"/>
                <w:color w:val="auto"/>
              </w:rPr>
              <w:t>Amount</w:t>
            </w:r>
          </w:p>
        </w:tc>
        <w:tc>
          <w:tcPr>
            <w:tcW w:w="1300" w:type="dxa"/>
            <w:vAlign w:val="bottom"/>
          </w:tcPr>
          <w:p>
            <w:pPr>
              <w:jc w:val="right"/>
              <w:ind w:right="1"/>
              <w:spacing w:after="0" w:line="223" w:lineRule="exact"/>
              <w:rPr>
                <w:sz w:val="20"/>
                <w:szCs w:val="20"/>
                <w:color w:val="auto"/>
              </w:rPr>
            </w:pPr>
            <w:r>
              <w:rPr>
                <w:rFonts w:ascii="Calibri" w:cs="Calibri" w:eastAsia="Calibri" w:hAnsi="Calibri"/>
                <w:sz w:val="20"/>
                <w:szCs w:val="20"/>
                <w:color w:val="auto"/>
                <w:w w:val="99"/>
              </w:rPr>
              <w:t>% of Revenues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20" w:type="dxa"/>
            <w:vAlign w:val="bottom"/>
            <w:vMerge w:val="restart"/>
          </w:tcPr>
          <w:p>
            <w:pPr>
              <w:ind w:left="20"/>
              <w:spacing w:after="0"/>
              <w:rPr>
                <w:sz w:val="20"/>
                <w:szCs w:val="20"/>
                <w:color w:val="auto"/>
              </w:rPr>
            </w:pPr>
            <w:r>
              <w:rPr>
                <w:rFonts w:ascii="Calibri" w:cs="Calibri" w:eastAsia="Calibri" w:hAnsi="Calibri"/>
                <w:sz w:val="20"/>
                <w:szCs w:val="20"/>
                <w:b w:val="1"/>
                <w:bCs w:val="1"/>
                <w:color w:val="auto"/>
              </w:rPr>
              <w:t>Gross proft (loss):</w:t>
            </w: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spacing w:after="0" w:line="214" w:lineRule="exact"/>
              <w:rPr>
                <w:sz w:val="20"/>
                <w:szCs w:val="20"/>
                <w:color w:val="auto"/>
              </w:rPr>
            </w:pPr>
            <w:r>
              <w:rPr>
                <w:rFonts w:ascii="Calibri" w:cs="Calibri" w:eastAsia="Calibri" w:hAnsi="Calibri"/>
                <w:sz w:val="20"/>
                <w:szCs w:val="20"/>
                <w:i w:val="1"/>
                <w:iCs w:val="1"/>
                <w:color w:val="auto"/>
              </w:rPr>
              <w:t>in</w:t>
            </w:r>
          </w:p>
        </w:tc>
        <w:tc>
          <w:tcPr>
            <w:tcW w:w="1420" w:type="dxa"/>
            <w:vAlign w:val="bottom"/>
            <w:tcBorders>
              <w:top w:val="single" w:sz="8" w:color="auto"/>
            </w:tcBorders>
            <w:gridSpan w:val="2"/>
          </w:tcPr>
          <w:p>
            <w:pPr>
              <w:spacing w:after="0" w:line="228"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2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480"/>
              <w:spacing w:after="0" w:line="229" w:lineRule="exact"/>
              <w:rPr>
                <w:sz w:val="20"/>
                <w:szCs w:val="20"/>
                <w:color w:val="auto"/>
              </w:rPr>
            </w:pPr>
            <w:r>
              <w:rPr>
                <w:rFonts w:ascii="Calibri" w:cs="Calibri" w:eastAsia="Calibri" w:hAnsi="Calibri"/>
                <w:sz w:val="20"/>
                <w:szCs w:val="20"/>
                <w:color w:val="auto"/>
              </w:rPr>
              <w:t>Aggregates</w:t>
            </w: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330.3</w:t>
            </w: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Calibri" w:cs="Calibri" w:eastAsia="Calibri" w:hAnsi="Calibri"/>
                <w:sz w:val="20"/>
                <w:szCs w:val="20"/>
                <w:color w:val="auto"/>
              </w:rPr>
              <w:t>32.5</w:t>
            </w:r>
          </w:p>
        </w:tc>
        <w:tc>
          <w:tcPr>
            <w:tcW w:w="480" w:type="dxa"/>
            <w:vAlign w:val="bottom"/>
            <w:gridSpan w:val="2"/>
          </w:tcPr>
          <w:p>
            <w:pPr>
              <w:ind w:left="260"/>
              <w:spacing w:after="0" w:line="229"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292.9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Cement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67.7</w:t>
            </w: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480"/>
              <w:spacing w:after="0" w:line="229" w:lineRule="exact"/>
              <w:rPr>
                <w:sz w:val="20"/>
                <w:szCs w:val="20"/>
                <w:color w:val="auto"/>
              </w:rPr>
            </w:pPr>
            <w:r>
              <w:rPr>
                <w:rFonts w:ascii="Calibri" w:cs="Calibri" w:eastAsia="Calibri" w:hAnsi="Calibri"/>
                <w:sz w:val="20"/>
                <w:szCs w:val="20"/>
                <w:color w:val="auto"/>
              </w:rPr>
              <w:t>Ready mixed concrete</w:t>
            </w: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18.7</w:t>
            </w: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Calibri" w:cs="Calibri" w:eastAsia="Calibri" w:hAnsi="Calibri"/>
                <w:sz w:val="20"/>
                <w:szCs w:val="20"/>
                <w:color w:val="auto"/>
              </w:rPr>
              <w:t>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31.4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Asphalt and paving</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50.5</w:t>
            </w:r>
          </w:p>
        </w:tc>
        <w:tc>
          <w:tcPr>
            <w:tcW w:w="3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38.9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20"/>
              <w:spacing w:after="0" w:line="223" w:lineRule="exact"/>
              <w:rPr>
                <w:sz w:val="20"/>
                <w:szCs w:val="20"/>
                <w:color w:val="auto"/>
              </w:rPr>
            </w:pPr>
            <w:r>
              <w:rPr>
                <w:rFonts w:ascii="Calibri" w:cs="Calibri" w:eastAsia="Calibri" w:hAnsi="Calibri"/>
                <w:sz w:val="20"/>
                <w:szCs w:val="20"/>
                <w:color w:val="auto"/>
              </w:rPr>
              <w:t>Products and services</w:t>
            </w:r>
          </w:p>
        </w:tc>
        <w:tc>
          <w:tcPr>
            <w:tcW w:w="2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467.2</w:t>
            </w:r>
          </w:p>
        </w:tc>
        <w:tc>
          <w:tcPr>
            <w:tcW w:w="34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Calibri" w:cs="Calibri" w:eastAsia="Calibri" w:hAnsi="Calibri"/>
                <w:sz w:val="20"/>
                <w:szCs w:val="20"/>
                <w:color w:val="auto"/>
              </w:rPr>
              <w:t>29.0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413.1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Calibri" w:cs="Calibri" w:eastAsia="Calibri" w:hAnsi="Calibri"/>
                <w:sz w:val="20"/>
                <w:szCs w:val="20"/>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w:t>
            </w:r>
          </w:p>
        </w:tc>
        <w:tc>
          <w:tcPr>
            <w:tcW w:w="3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469.3</w:t>
            </w:r>
          </w:p>
        </w:tc>
        <w:tc>
          <w:tcPr>
            <w:tcW w:w="34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Calibri" w:cs="Calibri" w:eastAsia="Calibri" w:hAnsi="Calibri"/>
                <w:sz w:val="20"/>
                <w:szCs w:val="20"/>
                <w:color w:val="auto"/>
              </w:rPr>
              <w:t>27.0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414.4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Calibri" w:cs="Calibri" w:eastAsia="Calibri" w:hAnsi="Calibri"/>
                <w:sz w:val="20"/>
                <w:szCs w:val="20"/>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Magnesia Specialtes: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line="229" w:lineRule="exact"/>
              <w:rPr>
                <w:sz w:val="20"/>
                <w:szCs w:val="20"/>
                <w:color w:val="auto"/>
              </w:rPr>
            </w:pPr>
            <w:r>
              <w:rPr>
                <w:rFonts w:ascii="Calibri" w:cs="Calibri" w:eastAsia="Calibri" w:hAnsi="Calibri"/>
                <w:sz w:val="20"/>
                <w:szCs w:val="20"/>
                <w:color w:val="auto"/>
              </w:rPr>
              <w:t>Products</w:t>
            </w: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21.6</w:t>
            </w: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Calibri" w:cs="Calibri" w:eastAsia="Calibri" w:hAnsi="Calibri"/>
                <w:sz w:val="20"/>
                <w:szCs w:val="20"/>
                <w:color w:val="auto"/>
              </w:rPr>
              <w:t>31.3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28.1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1"/>
              <w:spacing w:after="0" w:line="229" w:lineRule="exact"/>
              <w:rPr>
                <w:sz w:val="20"/>
                <w:szCs w:val="20"/>
                <w:color w:val="auto"/>
              </w:rPr>
            </w:pPr>
            <w:r>
              <w:rPr>
                <w:rFonts w:ascii="Calibri" w:cs="Calibri" w:eastAsia="Calibri" w:hAnsi="Calibri"/>
                <w:sz w:val="20"/>
                <w:szCs w:val="20"/>
                <w:color w:val="auto"/>
              </w:rPr>
              <w:t>(1.0 )</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line="229" w:lineRule="exact"/>
              <w:rPr>
                <w:sz w:val="20"/>
                <w:szCs w:val="20"/>
                <w:color w:val="auto"/>
              </w:rPr>
            </w:pPr>
            <w:r>
              <w:rPr>
                <w:rFonts w:ascii="Calibri" w:cs="Calibri" w:eastAsia="Calibri" w:hAnsi="Calibri"/>
                <w:sz w:val="20"/>
                <w:szCs w:val="20"/>
                <w:color w:val="auto"/>
              </w:rPr>
              <w:t>(1.1 )</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tcPr>
          <w:p>
            <w:pPr>
              <w:ind w:left="20"/>
              <w:spacing w:after="0" w:line="223" w:lineRule="exact"/>
              <w:rPr>
                <w:sz w:val="20"/>
                <w:szCs w:val="20"/>
                <w:color w:val="auto"/>
              </w:rPr>
            </w:pPr>
            <w:r>
              <w:rPr>
                <w:rFonts w:ascii="Calibri" w:cs="Calibri" w:eastAsia="Calibri" w:hAnsi="Calibri"/>
                <w:sz w:val="20"/>
                <w:szCs w:val="20"/>
                <w:color w:val="auto"/>
              </w:rPr>
              <w:t>Total Magnesia Specialtes</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20.6</w:t>
            </w:r>
          </w:p>
        </w:tc>
        <w:tc>
          <w:tcPr>
            <w:tcW w:w="340" w:type="dxa"/>
            <w:vAlign w:val="bottom"/>
            <w:tcBorders>
              <w:top w:val="single" w:sz="8" w:color="CFF0FC"/>
            </w:tcBorders>
          </w:tcPr>
          <w:p>
            <w:pPr>
              <w:spacing w:after="0"/>
              <w:rPr>
                <w:sz w:val="19"/>
                <w:szCs w:val="19"/>
                <w:color w:val="auto"/>
              </w:rPr>
            </w:pPr>
          </w:p>
        </w:tc>
        <w:tc>
          <w:tcPr>
            <w:tcW w:w="1280" w:type="dxa"/>
            <w:vAlign w:val="bottom"/>
            <w:tcBorders>
              <w:top w:val="single" w:sz="8" w:color="CFF0FC"/>
            </w:tcBorders>
          </w:tcPr>
          <w:p>
            <w:pPr>
              <w:jc w:val="right"/>
              <w:spacing w:after="0" w:line="223" w:lineRule="exact"/>
              <w:rPr>
                <w:sz w:val="20"/>
                <w:szCs w:val="20"/>
                <w:color w:val="auto"/>
              </w:rPr>
            </w:pPr>
            <w:r>
              <w:rPr>
                <w:rFonts w:ascii="Calibri" w:cs="Calibri" w:eastAsia="Calibri" w:hAnsi="Calibri"/>
                <w:sz w:val="20"/>
                <w:szCs w:val="20"/>
                <w:color w:val="auto"/>
              </w:rPr>
              <w:t>27.2</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27.0</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spacing w:after="0" w:line="223" w:lineRule="exact"/>
              <w:rPr>
                <w:sz w:val="20"/>
                <w:szCs w:val="20"/>
                <w:color w:val="auto"/>
              </w:rPr>
            </w:pPr>
            <w:r>
              <w:rPr>
                <w:rFonts w:ascii="Calibri" w:cs="Calibri" w:eastAsia="Calibri" w:hAnsi="Calibri"/>
                <w:sz w:val="20"/>
                <w:szCs w:val="20"/>
                <w:color w:val="auto"/>
              </w:rPr>
              <w:t>34.4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Corporate</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(2.1</w:t>
            </w:r>
          </w:p>
        </w:tc>
        <w:tc>
          <w:tcPr>
            <w:tcW w:w="340" w:type="dxa"/>
            <w:vAlign w:val="bottom"/>
            <w:tcBorders>
              <w:bottom w:val="single" w:sz="8" w:color="CFF0FC"/>
            </w:tcBorders>
            <w:shd w:val="clear" w:color="auto" w:fill="CFF0FC"/>
          </w:tcPr>
          <w:p>
            <w:pPr>
              <w:jc w:val="right"/>
              <w:ind w:right="161"/>
              <w:spacing w:after="0" w:line="223" w:lineRule="exact"/>
              <w:rPr>
                <w:sz w:val="20"/>
                <w:szCs w:val="20"/>
                <w:color w:val="auto"/>
              </w:rPr>
            </w:pPr>
            <w:r>
              <w:rPr>
                <w:rFonts w:ascii="Calibri" w:cs="Calibri" w:eastAsia="Calibri" w:hAnsi="Calibri"/>
                <w:sz w:val="20"/>
                <w:szCs w:val="20"/>
                <w:color w:val="auto"/>
                <w:w w:val="98"/>
              </w:rPr>
              <w:t>)</w:t>
            </w: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0.5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line="223" w:lineRule="exact"/>
              <w:rPr>
                <w:sz w:val="20"/>
                <w:szCs w:val="20"/>
                <w:color w:val="auto"/>
              </w:rPr>
            </w:pPr>
            <w:r>
              <w:rPr>
                <w:rFonts w:ascii="Calibri" w:cs="Calibri" w:eastAsia="Calibri" w:hAnsi="Calibri"/>
                <w:sz w:val="20"/>
                <w:szCs w:val="20"/>
                <w:color w:val="auto"/>
              </w:rPr>
              <w:t>Total</w:t>
            </w:r>
          </w:p>
        </w:tc>
        <w:tc>
          <w:tcPr>
            <w:tcW w:w="240" w:type="dxa"/>
            <w:vAlign w:val="bottom"/>
          </w:tcPr>
          <w:p>
            <w:pPr>
              <w:jc w:val="right"/>
              <w:ind w:right="41"/>
              <w:spacing w:after="0" w:line="223" w:lineRule="exact"/>
              <w:rPr>
                <w:sz w:val="20"/>
                <w:szCs w:val="20"/>
                <w:color w:val="auto"/>
              </w:rPr>
            </w:pPr>
            <w:r>
              <w:rPr>
                <w:rFonts w:ascii="Calibri" w:cs="Calibri" w:eastAsia="Calibri" w:hAnsi="Calibri"/>
                <w:sz w:val="20"/>
                <w:szCs w:val="20"/>
                <w:color w:val="auto"/>
                <w:w w:val="78"/>
              </w:rPr>
              <w:t>$</w:t>
            </w: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487.8</w:t>
            </w:r>
          </w:p>
        </w:tc>
        <w:tc>
          <w:tcPr>
            <w:tcW w:w="34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Calibri" w:cs="Calibri" w:eastAsia="Calibri" w:hAnsi="Calibri"/>
                <w:sz w:val="20"/>
                <w:szCs w:val="20"/>
                <w:color w:val="auto"/>
              </w:rPr>
              <w:t>26.9</w:t>
            </w:r>
          </w:p>
        </w:tc>
        <w:tc>
          <w:tcPr>
            <w:tcW w:w="480" w:type="dxa"/>
            <w:vAlign w:val="bottom"/>
            <w:gridSpan w:val="2"/>
          </w:tcPr>
          <w:p>
            <w:pPr>
              <w:ind w:left="260"/>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441.9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Calibri" w:cs="Calibri" w:eastAsia="Calibri" w:hAnsi="Calibri"/>
                <w:sz w:val="20"/>
                <w:szCs w:val="20"/>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-1388110</wp:posOffset>
            </wp:positionV>
            <wp:extent cx="76835"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-1388110</wp:posOffset>
            </wp:positionV>
            <wp:extent cx="6858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-1087755</wp:posOffset>
            </wp:positionV>
            <wp:extent cx="76835" cy="162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-1087755</wp:posOffset>
            </wp:positionV>
            <wp:extent cx="68580" cy="162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-487680</wp:posOffset>
            </wp:positionV>
            <wp:extent cx="76835"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-487680</wp:posOffset>
            </wp:positionV>
            <wp:extent cx="68580"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-179070</wp:posOffset>
            </wp:positionV>
            <wp:extent cx="76835"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-179070</wp:posOffset>
            </wp:positionV>
            <wp:extent cx="685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3" w:name="page34"/>
    <w:bookmarkEnd w:id="3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7"/>
          </w:tcPr>
          <w:p>
            <w:pPr>
              <w:jc w:val="right"/>
              <w:ind w:right="380"/>
              <w:spacing w:after="0"/>
              <w:rPr>
                <w:sz w:val="20"/>
                <w:szCs w:val="20"/>
                <w:color w:val="auto"/>
              </w:rPr>
            </w:pPr>
            <w:r>
              <w:rPr>
                <w:rFonts w:ascii="Calibri" w:cs="Calibri" w:eastAsia="Calibri" w:hAnsi="Calibri"/>
                <w:sz w:val="20"/>
                <w:szCs w:val="20"/>
                <w:color w:val="auto"/>
              </w:rPr>
              <w:t>Three Months Ended September 30,</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line="229" w:lineRule="exact"/>
              <w:rPr>
                <w:sz w:val="20"/>
                <w:szCs w:val="20"/>
                <w:color w:val="auto"/>
              </w:rPr>
            </w:pPr>
            <w:r>
              <w:rPr>
                <w:rFonts w:ascii="Calibri" w:cs="Calibri" w:eastAsia="Calibri" w:hAnsi="Calibri"/>
                <w:sz w:val="20"/>
                <w:szCs w:val="20"/>
                <w:color w:val="auto"/>
              </w:rPr>
              <w:t>2022</w:t>
            </w:r>
          </w:p>
        </w:tc>
        <w:tc>
          <w:tcPr>
            <w:tcW w:w="1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0"/>
              <w:spacing w:after="0" w:line="229" w:lineRule="exact"/>
              <w:rPr>
                <w:sz w:val="20"/>
                <w:szCs w:val="20"/>
                <w:color w:val="auto"/>
              </w:rPr>
            </w:pPr>
            <w:r>
              <w:rPr>
                <w:rFonts w:ascii="Calibri" w:cs="Calibri" w:eastAsia="Calibri" w:hAnsi="Calibri"/>
                <w:sz w:val="20"/>
                <w:szCs w:val="20"/>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363"/>
              <w:spacing w:after="0" w:line="172" w:lineRule="exact"/>
              <w:rPr>
                <w:sz w:val="20"/>
                <w:szCs w:val="20"/>
                <w:color w:val="auto"/>
              </w:rPr>
            </w:pPr>
            <w:r>
              <w:rPr>
                <w:rFonts w:ascii="Calibri" w:cs="Calibri" w:eastAsia="Calibri" w:hAnsi="Calibri"/>
                <w:sz w:val="18"/>
                <w:szCs w:val="18"/>
                <w:color w:val="auto"/>
              </w:rPr>
              <w:t>% of</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right="3"/>
              <w:spacing w:after="0" w:line="172" w:lineRule="exact"/>
              <w:rPr>
                <w:sz w:val="20"/>
                <w:szCs w:val="20"/>
                <w:color w:val="auto"/>
              </w:rPr>
            </w:pPr>
            <w:r>
              <w:rPr>
                <w:rFonts w:ascii="Calibri" w:cs="Calibri" w:eastAsia="Calibri" w:hAnsi="Calibri"/>
                <w:sz w:val="18"/>
                <w:szCs w:val="18"/>
                <w:color w:val="auto"/>
              </w:rPr>
              <w:t>% of</w:t>
            </w:r>
          </w:p>
        </w:tc>
        <w:tc>
          <w:tcPr>
            <w:tcW w:w="100" w:type="dxa"/>
            <w:vAlign w:val="bottom"/>
          </w:tcPr>
          <w:p>
            <w:pPr>
              <w:spacing w:after="0"/>
              <w:rPr>
                <w:sz w:val="14"/>
                <w:szCs w:val="14"/>
                <w:color w:val="auto"/>
              </w:rPr>
            </w:pPr>
          </w:p>
        </w:tc>
      </w:tr>
      <w:tr>
        <w:trPr>
          <w:trHeight w:val="261"/>
        </w:trPr>
        <w:tc>
          <w:tcPr>
            <w:tcW w:w="4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540"/>
              <w:spacing w:after="0"/>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22"/>
                <w:szCs w:val="22"/>
                <w:color w:val="auto"/>
              </w:rPr>
            </w:pPr>
          </w:p>
        </w:tc>
        <w:tc>
          <w:tcPr>
            <w:tcW w:w="1280" w:type="dxa"/>
            <w:vAlign w:val="bottom"/>
          </w:tcPr>
          <w:p>
            <w:pPr>
              <w:jc w:val="right"/>
              <w:ind w:right="143"/>
              <w:spacing w:after="0" w:line="234" w:lineRule="exact"/>
              <w:rPr>
                <w:sz w:val="20"/>
                <w:szCs w:val="20"/>
                <w:color w:val="auto"/>
              </w:rPr>
            </w:pPr>
            <w:r>
              <w:rPr>
                <w:rFonts w:ascii="Calibri" w:cs="Calibri" w:eastAsia="Calibri" w:hAnsi="Calibri"/>
                <w:sz w:val="20"/>
                <w:szCs w:val="20"/>
                <w:color w:val="auto"/>
              </w:rPr>
              <w:t>Revenues</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3"/>
          </w:tcPr>
          <w:p>
            <w:pPr>
              <w:jc w:val="right"/>
              <w:ind w:right="700"/>
              <w:spacing w:after="0"/>
              <w:rPr>
                <w:sz w:val="20"/>
                <w:szCs w:val="20"/>
                <w:color w:val="auto"/>
              </w:rPr>
            </w:pPr>
            <w:r>
              <w:rPr>
                <w:rFonts w:ascii="Calibri" w:cs="Calibri" w:eastAsia="Calibri" w:hAnsi="Calibri"/>
                <w:sz w:val="20"/>
                <w:szCs w:val="20"/>
                <w:color w:val="auto"/>
              </w:rPr>
              <w:t>Amount</w:t>
            </w:r>
          </w:p>
        </w:tc>
        <w:tc>
          <w:tcPr>
            <w:tcW w:w="1300" w:type="dxa"/>
            <w:vAlign w:val="bottom"/>
          </w:tcPr>
          <w:p>
            <w:pPr>
              <w:jc w:val="center"/>
              <w:ind w:right="3"/>
              <w:spacing w:after="0" w:line="234" w:lineRule="exact"/>
              <w:rPr>
                <w:sz w:val="20"/>
                <w:szCs w:val="20"/>
                <w:color w:val="auto"/>
              </w:rPr>
            </w:pPr>
            <w:r>
              <w:rPr>
                <w:rFonts w:ascii="Calibri" w:cs="Calibri" w:eastAsia="Calibri" w:hAnsi="Calibri"/>
                <w:sz w:val="20"/>
                <w:szCs w:val="20"/>
                <w:color w:val="auto"/>
              </w:rPr>
              <w:t>Revenues</w:t>
            </w:r>
          </w:p>
        </w:tc>
        <w:tc>
          <w:tcPr>
            <w:tcW w:w="100" w:type="dxa"/>
            <w:vAlign w:val="bottom"/>
          </w:tcPr>
          <w:p>
            <w:pPr>
              <w:spacing w:after="0"/>
              <w:rPr>
                <w:sz w:val="22"/>
                <w:szCs w:val="22"/>
                <w:color w:val="auto"/>
              </w:rPr>
            </w:pPr>
          </w:p>
        </w:tc>
      </w:tr>
      <w:tr>
        <w:trPr>
          <w:trHeight w:val="230"/>
        </w:trPr>
        <w:tc>
          <w:tcPr>
            <w:tcW w:w="48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shd w:val="clear" w:color="auto" w:fill="CFF0FC"/>
          </w:tcPr>
          <w:p>
            <w:pPr>
              <w:spacing w:after="0" w:line="229" w:lineRule="exact"/>
              <w:rPr>
                <w:sz w:val="20"/>
                <w:szCs w:val="20"/>
                <w:color w:val="auto"/>
              </w:rPr>
            </w:pPr>
            <w:r>
              <w:rPr>
                <w:rFonts w:ascii="Calibri" w:cs="Calibri" w:eastAsia="Calibri" w:hAnsi="Calibri"/>
                <w:sz w:val="20"/>
                <w:szCs w:val="20"/>
                <w:i w:val="1"/>
                <w:iCs w:val="1"/>
                <w:color w:val="auto"/>
              </w:rPr>
              <w:t>in</w:t>
            </w:r>
          </w:p>
        </w:tc>
        <w:tc>
          <w:tcPr>
            <w:tcW w:w="1420" w:type="dxa"/>
            <w:vAlign w:val="bottom"/>
            <w:tcBorders>
              <w:top w:val="single" w:sz="8" w:color="auto"/>
            </w:tcBorders>
            <w:gridSpan w:val="2"/>
            <w:shd w:val="clear" w:color="auto" w:fill="CFF0FC"/>
          </w:tcPr>
          <w:p>
            <w:pPr>
              <w:spacing w:after="0" w:line="229"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0"/>
              <w:spacing w:after="0" w:line="229" w:lineRule="exact"/>
              <w:rPr>
                <w:sz w:val="20"/>
                <w:szCs w:val="20"/>
                <w:color w:val="auto"/>
              </w:rPr>
            </w:pPr>
            <w:r>
              <w:rPr>
                <w:rFonts w:ascii="Calibri" w:cs="Calibri" w:eastAsia="Calibri" w:hAnsi="Calibri"/>
                <w:sz w:val="20"/>
                <w:szCs w:val="20"/>
                <w:b w:val="1"/>
                <w:bCs w:val="1"/>
                <w:color w:val="auto"/>
              </w:rPr>
              <w:t>Selling, general &amp; administratve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00"/>
              <w:spacing w:after="0" w:line="229" w:lineRule="exact"/>
              <w:rPr>
                <w:sz w:val="20"/>
                <w:szCs w:val="20"/>
                <w:color w:val="auto"/>
              </w:rPr>
            </w:pPr>
            <w:r>
              <w:rPr>
                <w:rFonts w:ascii="Calibri" w:cs="Calibri" w:eastAsia="Calibri" w:hAnsi="Calibri"/>
                <w:sz w:val="20"/>
                <w:szCs w:val="20"/>
                <w:color w:val="auto"/>
              </w:rPr>
              <w:t>East Group</w:t>
            </w:r>
          </w:p>
        </w:tc>
        <w:tc>
          <w:tcPr>
            <w:tcW w:w="240" w:type="dxa"/>
            <w:vAlign w:val="bottom"/>
          </w:tcPr>
          <w:p>
            <w:pPr>
              <w:jc w:val="right"/>
              <w:ind w:right="41"/>
              <w:spacing w:after="0" w:line="229" w:lineRule="exact"/>
              <w:rPr>
                <w:sz w:val="20"/>
                <w:szCs w:val="20"/>
                <w:color w:val="auto"/>
              </w:rPr>
            </w:pPr>
            <w:r>
              <w:rPr>
                <w:rFonts w:ascii="Calibri" w:cs="Calibri" w:eastAsia="Calibri" w:hAnsi="Calibri"/>
                <w:sz w:val="20"/>
                <w:szCs w:val="20"/>
                <w:color w:val="auto"/>
                <w:w w:val="78"/>
              </w:rPr>
              <w:t>$</w:t>
            </w: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29.0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gridSpan w:val="2"/>
          </w:tcPr>
          <w:p>
            <w:pPr>
              <w:ind w:left="260"/>
              <w:spacing w:after="0" w:line="229"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26.5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tcBorders>
              <w:bottom w:val="single" w:sz="8" w:color="CFF0FC"/>
            </w:tcBorders>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West Group</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41.0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34.2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2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70.0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60.7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ind w:left="20"/>
              <w:spacing w:after="0" w:line="229" w:lineRule="exact"/>
              <w:rPr>
                <w:sz w:val="20"/>
                <w:szCs w:val="20"/>
                <w:color w:val="auto"/>
              </w:rPr>
            </w:pPr>
            <w:r>
              <w:rPr>
                <w:rFonts w:ascii="Calibri" w:cs="Calibri" w:eastAsia="Calibri" w:hAnsi="Calibri"/>
                <w:sz w:val="20"/>
                <w:szCs w:val="20"/>
                <w:color w:val="auto"/>
              </w:rPr>
              <w:t>Corporate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82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240" w:type="dxa"/>
            <w:vAlign w:val="bottom"/>
            <w:tcBorders>
              <w:bottom w:val="single" w:sz="8" w:color="auto"/>
            </w:tcBorders>
            <w:shd w:val="clear" w:color="auto" w:fill="CFF0FC"/>
          </w:tcPr>
          <w:p>
            <w:pPr>
              <w:jc w:val="right"/>
              <w:ind w:right="41"/>
              <w:spacing w:after="0" w:line="223" w:lineRule="exact"/>
              <w:rPr>
                <w:sz w:val="20"/>
                <w:szCs w:val="20"/>
                <w:color w:val="auto"/>
              </w:rPr>
            </w:pPr>
            <w:r>
              <w:rPr>
                <w:rFonts w:ascii="Calibri" w:cs="Calibri" w:eastAsia="Calibri" w:hAnsi="Calibri"/>
                <w:sz w:val="20"/>
                <w:szCs w:val="20"/>
                <w:color w:val="auto"/>
                <w:w w:val="78"/>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94.9</w:t>
            </w:r>
          </w:p>
        </w:tc>
        <w:tc>
          <w:tcPr>
            <w:tcW w:w="1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CFF0FC"/>
            </w:tcBorders>
            <w:gridSpan w:val="2"/>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5.2</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86.0</w:t>
            </w:r>
          </w:p>
        </w:tc>
        <w:tc>
          <w:tcPr>
            <w:tcW w:w="2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5.5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3"/>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380"/>
              <w:spacing w:after="0"/>
              <w:rPr>
                <w:sz w:val="20"/>
                <w:szCs w:val="20"/>
                <w:color w:val="auto"/>
              </w:rPr>
            </w:pPr>
            <w:r>
              <w:rPr>
                <w:rFonts w:ascii="Calibri" w:cs="Calibri" w:eastAsia="Calibri" w:hAnsi="Calibri"/>
                <w:sz w:val="20"/>
                <w:szCs w:val="20"/>
                <w:color w:val="auto"/>
              </w:rPr>
              <w:t>Three Months Ended September 30,</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line="229" w:lineRule="exact"/>
              <w:rPr>
                <w:sz w:val="20"/>
                <w:szCs w:val="20"/>
                <w:color w:val="auto"/>
              </w:rPr>
            </w:pPr>
            <w:r>
              <w:rPr>
                <w:rFonts w:ascii="Calibri" w:cs="Calibri" w:eastAsia="Calibri" w:hAnsi="Calibri"/>
                <w:sz w:val="20"/>
                <w:szCs w:val="20"/>
                <w:color w:val="auto"/>
              </w:rPr>
              <w:t>2022</w:t>
            </w:r>
          </w:p>
        </w:tc>
        <w:tc>
          <w:tcPr>
            <w:tcW w:w="1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0"/>
              <w:spacing w:after="0" w:line="229" w:lineRule="exact"/>
              <w:rPr>
                <w:sz w:val="20"/>
                <w:szCs w:val="20"/>
                <w:color w:val="auto"/>
              </w:rPr>
            </w:pPr>
            <w:r>
              <w:rPr>
                <w:rFonts w:ascii="Calibri" w:cs="Calibri" w:eastAsia="Calibri" w:hAnsi="Calibri"/>
                <w:sz w:val="20"/>
                <w:szCs w:val="20"/>
                <w:color w:val="auto"/>
              </w:rPr>
              <w:t>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540"/>
              <w:spacing w:after="0" w:line="223" w:lineRule="exact"/>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Calibri" w:cs="Calibri" w:eastAsia="Calibri" w:hAnsi="Calibri"/>
                <w:sz w:val="20"/>
                <w:szCs w:val="20"/>
                <w:color w:val="auto"/>
              </w:rPr>
              <w:t>% of Revenues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700"/>
              <w:spacing w:after="0" w:line="223" w:lineRule="exact"/>
              <w:rPr>
                <w:sz w:val="20"/>
                <w:szCs w:val="20"/>
                <w:color w:val="auto"/>
              </w:rPr>
            </w:pPr>
            <w:r>
              <w:rPr>
                <w:rFonts w:ascii="Calibri" w:cs="Calibri" w:eastAsia="Calibri" w:hAnsi="Calibri"/>
                <w:sz w:val="20"/>
                <w:szCs w:val="20"/>
                <w:color w:val="auto"/>
              </w:rPr>
              <w:t>Amount</w:t>
            </w:r>
          </w:p>
        </w:tc>
        <w:tc>
          <w:tcPr>
            <w:tcW w:w="1300" w:type="dxa"/>
            <w:vAlign w:val="bottom"/>
          </w:tcPr>
          <w:p>
            <w:pPr>
              <w:jc w:val="center"/>
              <w:ind w:right="3"/>
              <w:spacing w:after="0" w:line="223" w:lineRule="exact"/>
              <w:rPr>
                <w:sz w:val="20"/>
                <w:szCs w:val="20"/>
                <w:color w:val="auto"/>
              </w:rPr>
            </w:pPr>
            <w:r>
              <w:rPr>
                <w:rFonts w:ascii="Calibri" w:cs="Calibri" w:eastAsia="Calibri" w:hAnsi="Calibri"/>
                <w:sz w:val="20"/>
                <w:szCs w:val="20"/>
                <w:color w:val="auto"/>
              </w:rPr>
              <w:t>% of Revenues</w:t>
            </w:r>
          </w:p>
        </w:tc>
        <w:tc>
          <w:tcPr>
            <w:tcW w:w="100" w:type="dxa"/>
            <w:vAlign w:val="bottom"/>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top w:val="single" w:sz="8" w:color="auto"/>
            </w:tcBorders>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tcPr>
          <w:p>
            <w:pPr>
              <w:spacing w:after="0" w:line="214" w:lineRule="exact"/>
              <w:rPr>
                <w:sz w:val="20"/>
                <w:szCs w:val="20"/>
                <w:color w:val="auto"/>
              </w:rPr>
            </w:pPr>
            <w:r>
              <w:rPr>
                <w:rFonts w:ascii="Calibri" w:cs="Calibri" w:eastAsia="Calibri" w:hAnsi="Calibri"/>
                <w:sz w:val="20"/>
                <w:szCs w:val="20"/>
                <w:i w:val="1"/>
                <w:iCs w:val="1"/>
                <w:color w:val="auto"/>
              </w:rPr>
              <w:t>in</w:t>
            </w:r>
          </w:p>
        </w:tc>
        <w:tc>
          <w:tcPr>
            <w:tcW w:w="1420" w:type="dxa"/>
            <w:vAlign w:val="bottom"/>
            <w:tcBorders>
              <w:top w:val="single" w:sz="8" w:color="auto"/>
            </w:tcBorders>
            <w:gridSpan w:val="2"/>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Earnings (Loss) from operatons: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East Group</w:t>
            </w:r>
          </w:p>
        </w:tc>
        <w:tc>
          <w:tcPr>
            <w:tcW w:w="240" w:type="dxa"/>
            <w:vAlign w:val="bottom"/>
            <w:shd w:val="clear" w:color="auto" w:fill="CFF0FC"/>
          </w:tcPr>
          <w:p>
            <w:pPr>
              <w:jc w:val="right"/>
              <w:ind w:right="41"/>
              <w:spacing w:after="0" w:line="229" w:lineRule="exact"/>
              <w:rPr>
                <w:sz w:val="20"/>
                <w:szCs w:val="20"/>
                <w:color w:val="auto"/>
              </w:rPr>
            </w:pPr>
            <w:r>
              <w:rPr>
                <w:rFonts w:ascii="Calibri" w:cs="Calibri" w:eastAsia="Calibri" w:hAnsi="Calibri"/>
                <w:sz w:val="20"/>
                <w:szCs w:val="20"/>
                <w:color w:val="auto"/>
                <w:w w:val="78"/>
              </w:rPr>
              <w:t>$</w:t>
            </w: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239.4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260"/>
              <w:spacing w:after="0" w:line="229" w:lineRule="exact"/>
              <w:rPr>
                <w:sz w:val="20"/>
                <w:szCs w:val="20"/>
                <w:color w:val="auto"/>
              </w:rPr>
            </w:pPr>
            <w:r>
              <w:rPr>
                <w:rFonts w:ascii="Calibri" w:cs="Calibri" w:eastAsia="Calibri" w:hAnsi="Calibri"/>
                <w:sz w:val="20"/>
                <w:szCs w:val="20"/>
                <w:color w:val="auto"/>
              </w:rPr>
              <w:t>$</w:t>
            </w: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205.8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00"/>
              <w:spacing w:after="0" w:line="229" w:lineRule="exact"/>
              <w:rPr>
                <w:sz w:val="20"/>
                <w:szCs w:val="20"/>
                <w:color w:val="auto"/>
              </w:rPr>
            </w:pPr>
            <w:r>
              <w:rPr>
                <w:rFonts w:ascii="Calibri" w:cs="Calibri" w:eastAsia="Calibri" w:hAnsi="Calibri"/>
                <w:sz w:val="20"/>
                <w:szCs w:val="20"/>
                <w:color w:val="auto"/>
              </w:rPr>
              <w:t>West Group</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159.7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150.6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2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399.1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356.4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16.5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23.1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Corporate</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line="229" w:lineRule="exact"/>
              <w:rPr>
                <w:sz w:val="20"/>
                <w:szCs w:val="20"/>
                <w:color w:val="auto"/>
              </w:rPr>
            </w:pPr>
            <w:r>
              <w:rPr>
                <w:rFonts w:ascii="Calibri" w:cs="Calibri" w:eastAsia="Calibri" w:hAnsi="Calibri"/>
                <w:sz w:val="20"/>
                <w:szCs w:val="20"/>
                <w:color w:val="auto"/>
              </w:rPr>
              <w:t>(9.7 )</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line="229" w:lineRule="exact"/>
              <w:rPr>
                <w:sz w:val="20"/>
                <w:szCs w:val="20"/>
                <w:color w:val="auto"/>
              </w:rPr>
            </w:pPr>
            <w:r>
              <w:rPr>
                <w:rFonts w:ascii="Calibri" w:cs="Calibri" w:eastAsia="Calibri" w:hAnsi="Calibri"/>
                <w:sz w:val="20"/>
                <w:szCs w:val="20"/>
                <w:color w:val="auto"/>
              </w:rPr>
              <w:t>(22.6 )</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Borders>
              <w:top w:val="single" w:sz="8" w:color="CFF0FC"/>
            </w:tcBorders>
          </w:tcPr>
          <w:p>
            <w:pPr>
              <w:ind w:left="20"/>
              <w:spacing w:after="0" w:line="223" w:lineRule="exact"/>
              <w:rPr>
                <w:sz w:val="20"/>
                <w:szCs w:val="20"/>
                <w:color w:val="auto"/>
              </w:rPr>
            </w:pPr>
            <w:r>
              <w:rPr>
                <w:rFonts w:ascii="Calibri" w:cs="Calibri" w:eastAsia="Calibri" w:hAnsi="Calibri"/>
                <w:sz w:val="20"/>
                <w:szCs w:val="20"/>
                <w:color w:val="auto"/>
              </w:rPr>
              <w:t>Total</w:t>
            </w:r>
          </w:p>
        </w:tc>
        <w:tc>
          <w:tcPr>
            <w:tcW w:w="240" w:type="dxa"/>
            <w:vAlign w:val="bottom"/>
            <w:tcBorders>
              <w:top w:val="single" w:sz="8" w:color="auto"/>
              <w:bottom w:val="single" w:sz="8" w:color="auto"/>
            </w:tcBorders>
          </w:tcPr>
          <w:p>
            <w:pPr>
              <w:jc w:val="right"/>
              <w:ind w:right="41"/>
              <w:spacing w:after="0" w:line="223" w:lineRule="exact"/>
              <w:rPr>
                <w:sz w:val="20"/>
                <w:szCs w:val="20"/>
                <w:color w:val="auto"/>
              </w:rPr>
            </w:pPr>
            <w:r>
              <w:rPr>
                <w:rFonts w:ascii="Calibri" w:cs="Calibri" w:eastAsia="Calibri" w:hAnsi="Calibri"/>
                <w:sz w:val="20"/>
                <w:szCs w:val="20"/>
                <w:color w:val="auto"/>
                <w:w w:val="78"/>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405.9</w:t>
            </w:r>
          </w:p>
        </w:tc>
        <w:tc>
          <w:tcPr>
            <w:tcW w:w="16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gridSpan w:val="2"/>
          </w:tcPr>
          <w:p>
            <w:pPr>
              <w:jc w:val="right"/>
              <w:spacing w:after="0" w:line="223" w:lineRule="exact"/>
              <w:rPr>
                <w:sz w:val="20"/>
                <w:szCs w:val="20"/>
                <w:color w:val="auto"/>
              </w:rPr>
            </w:pPr>
            <w:r>
              <w:rPr>
                <w:rFonts w:ascii="Calibri" w:cs="Calibri" w:eastAsia="Calibri" w:hAnsi="Calibri"/>
                <w:sz w:val="20"/>
                <w:szCs w:val="20"/>
                <w:color w:val="auto"/>
              </w:rPr>
              <w:t>22.4</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line="223" w:lineRule="exact"/>
              <w:rPr>
                <w:sz w:val="20"/>
                <w:szCs w:val="20"/>
                <w:color w:val="auto"/>
              </w:rPr>
            </w:pPr>
            <w:r>
              <w:rPr>
                <w:rFonts w:ascii="Calibri" w:cs="Calibri" w:eastAsia="Calibri" w:hAnsi="Calibri"/>
                <w:sz w:val="20"/>
                <w:szCs w:val="20"/>
                <w:color w:val="auto"/>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356.9</w:t>
            </w:r>
          </w:p>
        </w:tc>
        <w:tc>
          <w:tcPr>
            <w:tcW w:w="2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spacing w:after="0" w:line="223" w:lineRule="exact"/>
              <w:rPr>
                <w:sz w:val="20"/>
                <w:szCs w:val="20"/>
                <w:color w:val="auto"/>
              </w:rPr>
            </w:pPr>
            <w:r>
              <w:rPr>
                <w:rFonts w:ascii="Calibri" w:cs="Calibri" w:eastAsia="Calibri" w:hAnsi="Calibri"/>
                <w:sz w:val="20"/>
                <w:szCs w:val="20"/>
                <w:color w:val="auto"/>
              </w:rPr>
              <w:t>22.9</w:t>
            </w:r>
          </w:p>
        </w:tc>
        <w:tc>
          <w:tcPr>
            <w:tcW w:w="100" w:type="dxa"/>
            <w:vAlign w:val="bottom"/>
            <w:tcBorders>
              <w:top w:val="single" w:sz="8" w:color="CFF0FC"/>
            </w:tcBorders>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-2588260</wp:posOffset>
            </wp:positionV>
            <wp:extent cx="76835"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-2588260</wp:posOffset>
            </wp:positionV>
            <wp:extent cx="6858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-1988185</wp:posOffset>
            </wp:positionV>
            <wp:extent cx="2143125"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43125" cy="17145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-179070</wp:posOffset>
            </wp:positionV>
            <wp:extent cx="76835"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-179070</wp:posOffset>
            </wp:positionV>
            <wp:extent cx="68580"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4" w:name="page35"/>
    <w:bookmarkEnd w:id="34"/>
    <w:p>
      <w:pPr>
        <w:jc w:val="center"/>
        <w:ind w:right="8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80"/>
        <w:spacing w:after="0" w:line="225" w:lineRule="auto"/>
        <w:rPr>
          <w:sz w:val="20"/>
          <w:szCs w:val="20"/>
          <w:color w:val="auto"/>
        </w:rPr>
      </w:pPr>
      <w:r>
        <w:rPr>
          <w:rFonts w:ascii="Calibri" w:cs="Calibri" w:eastAsia="Calibri" w:hAnsi="Calibri"/>
          <w:sz w:val="20"/>
          <w:szCs w:val="20"/>
          <w:color w:val="auto"/>
        </w:rPr>
        <w:t>FORM 10-Q</w:t>
      </w:r>
    </w:p>
    <w:p>
      <w:pPr>
        <w:jc w:val="center"/>
        <w:ind w:right="40"/>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40"/>
        <w:spacing w:after="0" w:line="225" w:lineRule="auto"/>
        <w:rPr>
          <w:sz w:val="20"/>
          <w:szCs w:val="20"/>
          <w:color w:val="auto"/>
        </w:rPr>
      </w:pPr>
      <w:r>
        <w:rPr>
          <w:rFonts w:ascii="Calibri" w:cs="Calibri" w:eastAsia="Calibri" w:hAnsi="Calibri"/>
          <w:sz w:val="20"/>
          <w:szCs w:val="20"/>
          <w:color w:val="auto"/>
        </w:rPr>
        <w:t>RESULTS OF OPERATIONS</w:t>
      </w:r>
    </w:p>
    <w:p>
      <w:pPr>
        <w:jc w:val="center"/>
        <w:ind w:right="-19"/>
        <w:spacing w:after="0" w:line="226" w:lineRule="auto"/>
        <w:rPr>
          <w:sz w:val="20"/>
          <w:szCs w:val="20"/>
          <w:color w:val="auto"/>
        </w:rPr>
      </w:pPr>
      <w:r>
        <w:rPr>
          <w:rFonts w:ascii="Calibri" w:cs="Calibri" w:eastAsia="Calibri" w:hAnsi="Calibri"/>
          <w:sz w:val="20"/>
          <w:szCs w:val="20"/>
          <w:color w:val="auto"/>
        </w:rPr>
        <w:t>(Contnued)</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tables present aggregates volume and pricing variance data and shipments data by segment:</w:t>
      </w:r>
    </w:p>
    <w:p>
      <w:pPr>
        <w:spacing w:after="0" w:line="201" w:lineRule="exact"/>
        <w:rPr>
          <w:sz w:val="20"/>
          <w:szCs w:val="20"/>
          <w:color w:val="auto"/>
        </w:rPr>
      </w:pPr>
    </w:p>
    <w:p>
      <w:pPr>
        <w:ind w:left="8220"/>
        <w:spacing w:after="0"/>
        <w:rPr>
          <w:sz w:val="20"/>
          <w:szCs w:val="20"/>
          <w:color w:val="auto"/>
        </w:rPr>
      </w:pPr>
      <w:r>
        <w:rPr>
          <w:rFonts w:ascii="Calibri" w:cs="Calibri" w:eastAsia="Calibri" w:hAnsi="Calibri"/>
          <w:sz w:val="20"/>
          <w:szCs w:val="20"/>
          <w:color w:val="auto"/>
        </w:rPr>
        <w:t>Three Months Ended</w:t>
      </w:r>
    </w:p>
    <w:p>
      <w:pPr>
        <w:ind w:left="8260"/>
        <w:spacing w:after="0" w:line="225" w:lineRule="auto"/>
        <w:rPr>
          <w:sz w:val="20"/>
          <w:szCs w:val="20"/>
          <w:color w:val="auto"/>
        </w:rPr>
      </w:pPr>
      <w:r>
        <w:rPr>
          <w:rFonts w:ascii="Calibri" w:cs="Calibri" w:eastAsia="Calibri" w:hAnsi="Calibri"/>
          <w:sz w:val="20"/>
          <w:szCs w:val="20"/>
          <w:color w:val="auto"/>
        </w:rPr>
        <w:t>September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40" w:type="dxa"/>
            <w:vAlign w:val="bottom"/>
            <w:vMerge w:val="restart"/>
          </w:tcPr>
          <w:p>
            <w:pPr>
              <w:ind w:left="20"/>
              <w:spacing w:after="0"/>
              <w:rPr>
                <w:sz w:val="20"/>
                <w:szCs w:val="20"/>
                <w:color w:val="auto"/>
              </w:rPr>
            </w:pPr>
            <w:r>
              <w:rPr>
                <w:rFonts w:ascii="Calibri" w:cs="Calibri" w:eastAsia="Calibri" w:hAnsi="Calibri"/>
                <w:sz w:val="20"/>
                <w:szCs w:val="20"/>
                <w:b w:val="1"/>
                <w:bCs w:val="1"/>
                <w:color w:val="auto"/>
              </w:rPr>
              <w:t>Volume/Pricing Variance</w:t>
            </w:r>
            <w:r>
              <w:rPr>
                <w:rFonts w:ascii="Calibri" w:cs="Calibri" w:eastAsia="Calibri" w:hAnsi="Calibri"/>
                <w:sz w:val="26"/>
                <w:szCs w:val="26"/>
                <w:color w:val="auto"/>
                <w:vertAlign w:val="superscript"/>
              </w:rPr>
              <w:t>(1)</w:t>
            </w:r>
          </w:p>
        </w:tc>
        <w:tc>
          <w:tcPr>
            <w:tcW w:w="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line="243" w:lineRule="exact"/>
              <w:rPr>
                <w:sz w:val="20"/>
                <w:szCs w:val="20"/>
                <w:color w:val="auto"/>
              </w:rPr>
            </w:pPr>
            <w:r>
              <w:rPr>
                <w:rFonts w:ascii="Calibri" w:cs="Calibri" w:eastAsia="Calibri" w:hAnsi="Calibri"/>
                <w:sz w:val="20"/>
                <w:szCs w:val="20"/>
                <w:color w:val="auto"/>
              </w:rPr>
              <w:t>Volume</w:t>
            </w:r>
          </w:p>
        </w:tc>
        <w:tc>
          <w:tcPr>
            <w:tcW w:w="5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center"/>
              <w:ind w:left="381"/>
              <w:spacing w:after="0" w:line="243" w:lineRule="exact"/>
              <w:rPr>
                <w:sz w:val="20"/>
                <w:szCs w:val="20"/>
                <w:color w:val="auto"/>
              </w:rPr>
            </w:pPr>
            <w:r>
              <w:rPr>
                <w:rFonts w:ascii="Calibri" w:cs="Calibri" w:eastAsia="Calibri" w:hAnsi="Calibri"/>
                <w:sz w:val="20"/>
                <w:szCs w:val="20"/>
                <w:color w:val="auto"/>
              </w:rPr>
              <w:t>Pricing</w:t>
            </w: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gridSpan w:val="3"/>
          </w:tcPr>
          <w:p>
            <w:pPr>
              <w:ind w:left="200"/>
              <w:spacing w:after="0" w:line="229" w:lineRule="exact"/>
              <w:rPr>
                <w:sz w:val="20"/>
                <w:szCs w:val="20"/>
                <w:color w:val="auto"/>
              </w:rPr>
            </w:pPr>
            <w:r>
              <w:rPr>
                <w:rFonts w:ascii="Calibri" w:cs="Calibri" w:eastAsia="Calibri" w:hAnsi="Calibri"/>
                <w:sz w:val="20"/>
                <w:szCs w:val="20"/>
                <w:color w:val="auto"/>
              </w:rPr>
              <w:t>East Group</w:t>
            </w:r>
          </w:p>
        </w:tc>
        <w:tc>
          <w:tcPr>
            <w:tcW w:w="860" w:type="dxa"/>
            <w:vAlign w:val="bottom"/>
            <w:gridSpan w:val="2"/>
          </w:tcPr>
          <w:p>
            <w:pPr>
              <w:jc w:val="right"/>
              <w:ind w:right="120"/>
              <w:spacing w:after="0" w:line="229" w:lineRule="exact"/>
              <w:rPr>
                <w:sz w:val="20"/>
                <w:szCs w:val="20"/>
                <w:color w:val="auto"/>
              </w:rPr>
            </w:pPr>
            <w:r>
              <w:rPr>
                <w:rFonts w:ascii="Calibri" w:cs="Calibri" w:eastAsia="Calibri" w:hAnsi="Calibri"/>
                <w:sz w:val="20"/>
                <w:szCs w:val="20"/>
                <w:color w:val="auto"/>
              </w:rPr>
              <w:t>0.2 %</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gridSpan w:val="3"/>
          </w:tcPr>
          <w:p>
            <w:pPr>
              <w:ind w:left="140"/>
              <w:spacing w:after="0" w:line="229" w:lineRule="exact"/>
              <w:rPr>
                <w:sz w:val="20"/>
                <w:szCs w:val="20"/>
                <w:color w:val="auto"/>
              </w:rPr>
            </w:pPr>
            <w:r>
              <w:rPr>
                <w:rFonts w:ascii="Calibri" w:cs="Calibri" w:eastAsia="Calibri" w:hAnsi="Calibri"/>
                <w:sz w:val="20"/>
                <w:szCs w:val="20"/>
                <w:color w:val="auto"/>
                <w:w w:val="92"/>
              </w:rPr>
              <w:t>11.5 %</w:t>
            </w:r>
          </w:p>
        </w:tc>
        <w:tc>
          <w:tcPr>
            <w:tcW w:w="0" w:type="dxa"/>
            <w:vAlign w:val="bottom"/>
          </w:tcPr>
          <w:p>
            <w:pPr>
              <w:spacing w:after="0"/>
              <w:rPr>
                <w:sz w:val="1"/>
                <w:szCs w:val="1"/>
                <w:color w:val="auto"/>
              </w:rPr>
            </w:pPr>
          </w:p>
        </w:tc>
      </w:tr>
      <w:tr>
        <w:trPr>
          <w:trHeight w:val="172"/>
        </w:trPr>
        <w:tc>
          <w:tcPr>
            <w:tcW w:w="8380" w:type="dxa"/>
            <w:vAlign w:val="bottom"/>
            <w:gridSpan w:val="3"/>
          </w:tcPr>
          <w:p>
            <w:pPr>
              <w:ind w:left="200"/>
              <w:spacing w:after="0" w:line="172" w:lineRule="exact"/>
              <w:rPr>
                <w:sz w:val="20"/>
                <w:szCs w:val="20"/>
                <w:color w:val="auto"/>
              </w:rPr>
            </w:pPr>
            <w:r>
              <w:rPr>
                <w:rFonts w:ascii="Calibri" w:cs="Calibri" w:eastAsia="Calibri" w:hAnsi="Calibri"/>
                <w:sz w:val="18"/>
                <w:szCs w:val="18"/>
                <w:color w:val="auto"/>
              </w:rPr>
              <w:t>West Group</w:t>
            </w:r>
          </w:p>
        </w:tc>
        <w:tc>
          <w:tcPr>
            <w:tcW w:w="860" w:type="dxa"/>
            <w:vAlign w:val="bottom"/>
            <w:gridSpan w:val="2"/>
          </w:tcPr>
          <w:p>
            <w:pPr>
              <w:jc w:val="right"/>
              <w:ind w:right="120"/>
              <w:spacing w:after="0" w:line="172" w:lineRule="exact"/>
              <w:rPr>
                <w:sz w:val="20"/>
                <w:szCs w:val="20"/>
                <w:color w:val="auto"/>
              </w:rPr>
            </w:pPr>
            <w:r>
              <w:rPr>
                <w:rFonts w:ascii="Calibri" w:cs="Calibri" w:eastAsia="Calibri" w:hAnsi="Calibri"/>
                <w:sz w:val="18"/>
                <w:szCs w:val="18"/>
                <w:color w:val="auto"/>
              </w:rPr>
              <w:t>15.6 %</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gridSpan w:val="3"/>
          </w:tcPr>
          <w:p>
            <w:pPr>
              <w:ind w:left="140"/>
              <w:spacing w:after="0" w:line="172" w:lineRule="exact"/>
              <w:rPr>
                <w:sz w:val="20"/>
                <w:szCs w:val="20"/>
                <w:color w:val="auto"/>
              </w:rPr>
            </w:pPr>
            <w:r>
              <w:rPr>
                <w:rFonts w:ascii="Calibri" w:cs="Calibri" w:eastAsia="Calibri" w:hAnsi="Calibri"/>
                <w:sz w:val="18"/>
                <w:szCs w:val="18"/>
                <w:color w:val="auto"/>
              </w:rPr>
              <w:t>12.2 %</w:t>
            </w:r>
          </w:p>
        </w:tc>
        <w:tc>
          <w:tcPr>
            <w:tcW w:w="0" w:type="dxa"/>
            <w:vAlign w:val="bottom"/>
          </w:tcPr>
          <w:p>
            <w:pPr>
              <w:spacing w:after="0"/>
              <w:rPr>
                <w:sz w:val="1"/>
                <w:szCs w:val="1"/>
                <w:color w:val="auto"/>
              </w:rPr>
            </w:pPr>
          </w:p>
        </w:tc>
      </w:tr>
      <w:tr>
        <w:trPr>
          <w:trHeight w:val="229"/>
        </w:trPr>
        <w:tc>
          <w:tcPr>
            <w:tcW w:w="8380" w:type="dxa"/>
            <w:vAlign w:val="bottom"/>
            <w:gridSpan w:val="3"/>
          </w:tcPr>
          <w:p>
            <w:pPr>
              <w:ind w:left="20"/>
              <w:spacing w:after="0" w:line="229" w:lineRule="exact"/>
              <w:rPr>
                <w:sz w:val="20"/>
                <w:szCs w:val="20"/>
                <w:color w:val="auto"/>
              </w:rPr>
            </w:pPr>
            <w:r>
              <w:rPr>
                <w:rFonts w:ascii="Calibri" w:cs="Calibri" w:eastAsia="Calibri" w:hAnsi="Calibri"/>
                <w:sz w:val="19"/>
                <w:szCs w:val="19"/>
                <w:color w:val="auto"/>
              </w:rPr>
              <w:t>Total aggregates operatons</w:t>
            </w:r>
            <w:r>
              <w:rPr>
                <w:rFonts w:ascii="Calibri" w:cs="Calibri" w:eastAsia="Calibri" w:hAnsi="Calibri"/>
                <w:sz w:val="25"/>
                <w:szCs w:val="25"/>
                <w:color w:val="auto"/>
                <w:vertAlign w:val="superscript"/>
              </w:rPr>
              <w:t>(2)</w:t>
            </w:r>
          </w:p>
        </w:tc>
        <w:tc>
          <w:tcPr>
            <w:tcW w:w="860" w:type="dxa"/>
            <w:vAlign w:val="bottom"/>
            <w:gridSpan w:val="2"/>
          </w:tcPr>
          <w:p>
            <w:pPr>
              <w:jc w:val="right"/>
              <w:ind w:right="120"/>
              <w:spacing w:after="0" w:line="229" w:lineRule="exact"/>
              <w:rPr>
                <w:sz w:val="20"/>
                <w:szCs w:val="20"/>
                <w:color w:val="auto"/>
              </w:rPr>
            </w:pPr>
            <w:r>
              <w:rPr>
                <w:rFonts w:ascii="Calibri" w:cs="Calibri" w:eastAsia="Calibri" w:hAnsi="Calibri"/>
                <w:sz w:val="20"/>
                <w:szCs w:val="20"/>
                <w:color w:val="auto"/>
              </w:rPr>
              <w:t>5.6 %</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gridSpan w:val="3"/>
          </w:tcPr>
          <w:p>
            <w:pPr>
              <w:ind w:left="140"/>
              <w:spacing w:after="0" w:line="229" w:lineRule="exact"/>
              <w:rPr>
                <w:sz w:val="20"/>
                <w:szCs w:val="20"/>
                <w:color w:val="auto"/>
              </w:rPr>
            </w:pPr>
            <w:r>
              <w:rPr>
                <w:rFonts w:ascii="Calibri" w:cs="Calibri" w:eastAsia="Calibri" w:hAnsi="Calibri"/>
                <w:sz w:val="20"/>
                <w:szCs w:val="20"/>
                <w:color w:val="auto"/>
                <w:w w:val="92"/>
              </w:rPr>
              <w:t>11.6 %</w:t>
            </w:r>
          </w:p>
        </w:tc>
        <w:tc>
          <w:tcPr>
            <w:tcW w:w="0" w:type="dxa"/>
            <w:vAlign w:val="bottom"/>
          </w:tcPr>
          <w:p>
            <w:pPr>
              <w:spacing w:after="0"/>
              <w:rPr>
                <w:sz w:val="1"/>
                <w:szCs w:val="1"/>
                <w:color w:val="auto"/>
              </w:rPr>
            </w:pPr>
          </w:p>
        </w:tc>
      </w:tr>
      <w:tr>
        <w:trPr>
          <w:trHeight w:val="287"/>
        </w:trPr>
        <w:tc>
          <w:tcPr>
            <w:tcW w:w="8380" w:type="dxa"/>
            <w:vAlign w:val="bottom"/>
            <w:gridSpan w:val="3"/>
          </w:tcPr>
          <w:p>
            <w:pPr>
              <w:ind w:left="20"/>
              <w:spacing w:after="0" w:line="287" w:lineRule="exact"/>
              <w:rPr>
                <w:sz w:val="20"/>
                <w:szCs w:val="20"/>
                <w:color w:val="auto"/>
              </w:rPr>
            </w:pPr>
            <w:r>
              <w:rPr>
                <w:rFonts w:ascii="Calibri" w:cs="Calibri" w:eastAsia="Calibri" w:hAnsi="Calibri"/>
                <w:sz w:val="20"/>
                <w:szCs w:val="20"/>
                <w:color w:val="auto"/>
              </w:rPr>
              <w:t>Organic aggregates operatons</w:t>
            </w:r>
            <w:r>
              <w:rPr>
                <w:rFonts w:ascii="Calibri" w:cs="Calibri" w:eastAsia="Calibri" w:hAnsi="Calibri"/>
                <w:sz w:val="26"/>
                <w:szCs w:val="26"/>
                <w:color w:val="auto"/>
                <w:vertAlign w:val="superscript"/>
              </w:rPr>
              <w:t>(3)</w:t>
            </w:r>
          </w:p>
        </w:tc>
        <w:tc>
          <w:tcPr>
            <w:tcW w:w="860" w:type="dxa"/>
            <w:vAlign w:val="bottom"/>
            <w:gridSpan w:val="2"/>
          </w:tcPr>
          <w:p>
            <w:pPr>
              <w:jc w:val="right"/>
              <w:ind w:right="60"/>
              <w:spacing w:after="0"/>
              <w:rPr>
                <w:sz w:val="20"/>
                <w:szCs w:val="20"/>
                <w:color w:val="auto"/>
              </w:rPr>
            </w:pPr>
            <w:r>
              <w:rPr>
                <w:rFonts w:ascii="Calibri" w:cs="Calibri" w:eastAsia="Calibri" w:hAnsi="Calibri"/>
                <w:sz w:val="20"/>
                <w:szCs w:val="20"/>
                <w:color w:val="auto"/>
              </w:rPr>
              <w:t>(0.1 )%</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gridSpan w:val="3"/>
          </w:tcPr>
          <w:p>
            <w:pPr>
              <w:ind w:left="140"/>
              <w:spacing w:after="0"/>
              <w:rPr>
                <w:sz w:val="20"/>
                <w:szCs w:val="20"/>
                <w:color w:val="auto"/>
              </w:rPr>
            </w:pPr>
            <w:r>
              <w:rPr>
                <w:rFonts w:ascii="Calibri" w:cs="Calibri" w:eastAsia="Calibri" w:hAnsi="Calibri"/>
                <w:sz w:val="20"/>
                <w:szCs w:val="20"/>
                <w:color w:val="auto"/>
                <w:w w:val="92"/>
              </w:rPr>
              <w:t>11.9 %</w:t>
            </w:r>
          </w:p>
        </w:tc>
        <w:tc>
          <w:tcPr>
            <w:tcW w:w="0" w:type="dxa"/>
            <w:vAlign w:val="bottom"/>
          </w:tcPr>
          <w:p>
            <w:pPr>
              <w:spacing w:after="0"/>
              <w:rPr>
                <w:sz w:val="1"/>
                <w:szCs w:val="1"/>
                <w:color w:val="auto"/>
              </w:rPr>
            </w:pPr>
          </w:p>
        </w:tc>
      </w:tr>
      <w:tr>
        <w:trPr>
          <w:trHeight w:val="624"/>
        </w:trPr>
        <w:tc>
          <w:tcPr>
            <w:tcW w:w="7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20" w:type="dxa"/>
            <w:vAlign w:val="bottom"/>
            <w:gridSpan w:val="5"/>
          </w:tcPr>
          <w:p>
            <w:pPr>
              <w:jc w:val="center"/>
              <w:ind w:left="421"/>
              <w:spacing w:after="0"/>
              <w:rPr>
                <w:sz w:val="20"/>
                <w:szCs w:val="20"/>
                <w:color w:val="auto"/>
              </w:rPr>
            </w:pPr>
            <w:r>
              <w:rPr>
                <w:rFonts w:ascii="Calibri" w:cs="Calibri" w:eastAsia="Calibri" w:hAnsi="Calibri"/>
                <w:sz w:val="20"/>
                <w:szCs w:val="20"/>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center"/>
              <w:ind w:right="661"/>
              <w:spacing w:after="0" w:line="234" w:lineRule="exact"/>
              <w:rPr>
                <w:sz w:val="20"/>
                <w:szCs w:val="20"/>
                <w:color w:val="auto"/>
              </w:rPr>
            </w:pPr>
            <w:r>
              <w:rPr>
                <w:rFonts w:ascii="Calibri" w:cs="Calibri" w:eastAsia="Calibri" w:hAnsi="Calibri"/>
                <w:sz w:val="20"/>
                <w:szCs w:val="20"/>
                <w:color w:val="auto"/>
              </w:rPr>
              <w:t>September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00" w:type="dxa"/>
            <w:vAlign w:val="bottom"/>
            <w:gridSpan w:val="2"/>
          </w:tcPr>
          <w:p>
            <w:pPr>
              <w:spacing w:after="0"/>
              <w:rPr>
                <w:sz w:val="19"/>
                <w:szCs w:val="19"/>
                <w:color w:val="auto"/>
              </w:rPr>
            </w:pPr>
          </w:p>
        </w:tc>
        <w:tc>
          <w:tcPr>
            <w:tcW w:w="1280" w:type="dxa"/>
            <w:vAlign w:val="bottom"/>
            <w:tcBorders>
              <w:bottom w:val="single" w:sz="8" w:color="auto"/>
            </w:tcBorders>
          </w:tcPr>
          <w:p>
            <w:pPr>
              <w:jc w:val="right"/>
              <w:ind w:right="41"/>
              <w:spacing w:after="0" w:line="229" w:lineRule="exact"/>
              <w:rPr>
                <w:sz w:val="20"/>
                <w:szCs w:val="20"/>
                <w:color w:val="auto"/>
              </w:rPr>
            </w:pPr>
            <w:r>
              <w:rPr>
                <w:rFonts w:ascii="Calibri" w:cs="Calibri" w:eastAsia="Calibri" w:hAnsi="Calibri"/>
                <w:sz w:val="20"/>
                <w:szCs w:val="20"/>
                <w:color w:val="auto"/>
              </w:rPr>
              <w:t>2022</w:t>
            </w:r>
          </w:p>
        </w:tc>
        <w:tc>
          <w:tcPr>
            <w:tcW w:w="580" w:type="dxa"/>
            <w:vAlign w:val="bottom"/>
            <w:tcBorders>
              <w:bottom w:val="single" w:sz="8" w:color="auto"/>
            </w:tcBorders>
          </w:tcPr>
          <w:p>
            <w:pPr>
              <w:spacing w:after="0"/>
              <w:rPr>
                <w:sz w:val="19"/>
                <w:szCs w:val="19"/>
                <w:color w:val="auto"/>
              </w:rPr>
            </w:pPr>
          </w:p>
        </w:tc>
        <w:tc>
          <w:tcPr>
            <w:tcW w:w="300" w:type="dxa"/>
            <w:vAlign w:val="bottom"/>
            <w:gridSpan w:val="2"/>
          </w:tcPr>
          <w:p>
            <w:pPr>
              <w:spacing w:after="0"/>
              <w:rPr>
                <w:sz w:val="19"/>
                <w:szCs w:val="19"/>
                <w:color w:val="auto"/>
              </w:rPr>
            </w:pPr>
          </w:p>
        </w:tc>
        <w:tc>
          <w:tcPr>
            <w:tcW w:w="1360" w:type="dxa"/>
            <w:vAlign w:val="bottom"/>
            <w:tcBorders>
              <w:bottom w:val="single" w:sz="8" w:color="auto"/>
            </w:tcBorders>
          </w:tcPr>
          <w:p>
            <w:pPr>
              <w:jc w:val="right"/>
              <w:ind w:right="121"/>
              <w:spacing w:after="0" w:line="229" w:lineRule="exact"/>
              <w:rPr>
                <w:sz w:val="20"/>
                <w:szCs w:val="20"/>
                <w:color w:val="auto"/>
              </w:rPr>
            </w:pPr>
            <w:r>
              <w:rPr>
                <w:rFonts w:ascii="Calibri" w:cs="Calibri" w:eastAsia="Calibri" w:hAnsi="Calibri"/>
                <w:sz w:val="20"/>
                <w:szCs w:val="20"/>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40" w:type="dxa"/>
            <w:vAlign w:val="bottom"/>
            <w:gridSpan w:val="4"/>
          </w:tcPr>
          <w:p>
            <w:pPr>
              <w:jc w:val="center"/>
              <w:ind w:right="661"/>
              <w:spacing w:after="0" w:line="223" w:lineRule="exact"/>
              <w:rPr>
                <w:sz w:val="20"/>
                <w:szCs w:val="20"/>
                <w:color w:val="auto"/>
              </w:rPr>
            </w:pPr>
            <w:r>
              <w:rPr>
                <w:rFonts w:ascii="Calibri" w:cs="Calibri" w:eastAsia="Calibri" w:hAnsi="Calibri"/>
                <w:sz w:val="20"/>
                <w:szCs w:val="20"/>
                <w:i w:val="1"/>
                <w:iCs w:val="1"/>
                <w:color w:val="auto"/>
                <w:w w:val="98"/>
              </w:rPr>
              <w:t>(Tons in Millions)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gridSpan w:val="3"/>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Shipments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80" w:type="dxa"/>
            <w:vAlign w:val="bottom"/>
            <w:gridSpan w:val="3"/>
          </w:tcPr>
          <w:p>
            <w:pPr>
              <w:ind w:left="200"/>
              <w:spacing w:after="0" w:line="234" w:lineRule="exact"/>
              <w:rPr>
                <w:sz w:val="20"/>
                <w:szCs w:val="20"/>
                <w:color w:val="auto"/>
              </w:rPr>
            </w:pPr>
            <w:r>
              <w:rPr>
                <w:rFonts w:ascii="Calibri" w:cs="Calibri" w:eastAsia="Calibri" w:hAnsi="Calibri"/>
                <w:sz w:val="20"/>
                <w:szCs w:val="20"/>
                <w:color w:val="auto"/>
              </w:rPr>
              <w:t>East Group</w:t>
            </w:r>
          </w:p>
        </w:tc>
        <w:tc>
          <w:tcPr>
            <w:tcW w:w="580" w:type="dxa"/>
            <w:vAlign w:val="bottom"/>
          </w:tcPr>
          <w:p>
            <w:pPr>
              <w:jc w:val="right"/>
              <w:spacing w:after="0" w:line="234" w:lineRule="exact"/>
              <w:rPr>
                <w:sz w:val="20"/>
                <w:szCs w:val="20"/>
                <w:color w:val="auto"/>
              </w:rPr>
            </w:pPr>
            <w:r>
              <w:rPr>
                <w:rFonts w:ascii="Calibri" w:cs="Calibri" w:eastAsia="Calibri" w:hAnsi="Calibri"/>
                <w:sz w:val="20"/>
                <w:szCs w:val="20"/>
                <w:color w:val="auto"/>
              </w:rPr>
              <w:t>37.2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Pr>
          <w:p>
            <w:pPr>
              <w:ind w:left="140"/>
              <w:spacing w:after="0" w:line="234" w:lineRule="exact"/>
              <w:rPr>
                <w:sz w:val="20"/>
                <w:szCs w:val="20"/>
                <w:color w:val="auto"/>
              </w:rPr>
            </w:pPr>
            <w:r>
              <w:rPr>
                <w:rFonts w:ascii="Calibri" w:cs="Calibri" w:eastAsia="Calibri" w:hAnsi="Calibri"/>
                <w:sz w:val="20"/>
                <w:szCs w:val="20"/>
                <w:color w:val="auto"/>
              </w:rPr>
              <w:t>37.1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FF0FC"/>
            </w:tcBorders>
            <w:gridSpan w:val="2"/>
            <w:shd w:val="clear" w:color="auto" w:fill="CFF0FC"/>
          </w:tcPr>
          <w:p>
            <w:pPr>
              <w:ind w:left="200"/>
              <w:spacing w:after="0" w:line="233" w:lineRule="exact"/>
              <w:rPr>
                <w:sz w:val="20"/>
                <w:szCs w:val="20"/>
                <w:color w:val="auto"/>
              </w:rPr>
            </w:pPr>
            <w:r>
              <w:rPr>
                <w:rFonts w:ascii="Calibri" w:cs="Calibri" w:eastAsia="Calibri" w:hAnsi="Calibri"/>
                <w:sz w:val="20"/>
                <w:szCs w:val="20"/>
                <w:color w:val="auto"/>
              </w:rPr>
              <w:t>West Group</w:t>
            </w:r>
          </w:p>
        </w:tc>
        <w:tc>
          <w:tcPr>
            <w:tcW w:w="12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line="233" w:lineRule="exact"/>
              <w:rPr>
                <w:sz w:val="20"/>
                <w:szCs w:val="20"/>
                <w:color w:val="auto"/>
              </w:rPr>
            </w:pPr>
            <w:r>
              <w:rPr>
                <w:rFonts w:ascii="Calibri" w:cs="Calibri" w:eastAsia="Calibri" w:hAnsi="Calibri"/>
                <w:sz w:val="20"/>
                <w:szCs w:val="20"/>
                <w:color w:val="auto"/>
              </w:rPr>
              <w:t>23.0</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ind w:left="140"/>
              <w:spacing w:after="0" w:line="233" w:lineRule="exact"/>
              <w:rPr>
                <w:sz w:val="20"/>
                <w:szCs w:val="20"/>
                <w:color w:val="auto"/>
              </w:rPr>
            </w:pPr>
            <w:r>
              <w:rPr>
                <w:rFonts w:ascii="Calibri" w:cs="Calibri" w:eastAsia="Calibri" w:hAnsi="Calibri"/>
                <w:sz w:val="20"/>
                <w:szCs w:val="20"/>
                <w:color w:val="auto"/>
              </w:rPr>
              <w:t>19.9</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gridSpan w:val="3"/>
          </w:tcPr>
          <w:p>
            <w:pPr>
              <w:ind w:left="20"/>
              <w:spacing w:after="0" w:line="223" w:lineRule="exact"/>
              <w:rPr>
                <w:sz w:val="20"/>
                <w:szCs w:val="20"/>
                <w:color w:val="auto"/>
              </w:rPr>
            </w:pPr>
            <w:r>
              <w:rPr>
                <w:rFonts w:ascii="Calibri" w:cs="Calibri" w:eastAsia="Calibri" w:hAnsi="Calibri"/>
                <w:sz w:val="18"/>
                <w:szCs w:val="18"/>
                <w:color w:val="auto"/>
              </w:rPr>
              <w:t>Total aggregates operatons</w:t>
            </w:r>
            <w:r>
              <w:rPr>
                <w:rFonts w:ascii="Calibri" w:cs="Calibri" w:eastAsia="Calibri" w:hAnsi="Calibri"/>
                <w:sz w:val="24"/>
                <w:szCs w:val="24"/>
                <w:color w:val="auto"/>
                <w:vertAlign w:val="superscript"/>
              </w:rPr>
              <w:t>(2)</w:t>
            </w:r>
          </w:p>
        </w:tc>
        <w:tc>
          <w:tcPr>
            <w:tcW w:w="580" w:type="dxa"/>
            <w:vAlign w:val="bottom"/>
          </w:tcPr>
          <w:p>
            <w:pPr>
              <w:jc w:val="right"/>
              <w:spacing w:after="0" w:line="223" w:lineRule="exact"/>
              <w:rPr>
                <w:sz w:val="20"/>
                <w:szCs w:val="20"/>
                <w:color w:val="auto"/>
              </w:rPr>
            </w:pPr>
            <w:r>
              <w:rPr>
                <w:rFonts w:ascii="Calibri" w:cs="Calibri" w:eastAsia="Calibri" w:hAnsi="Calibri"/>
                <w:sz w:val="20"/>
                <w:szCs w:val="20"/>
                <w:color w:val="auto"/>
              </w:rPr>
              <w:t>60.2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tcPr>
          <w:p>
            <w:pPr>
              <w:ind w:left="140"/>
              <w:spacing w:after="0" w:line="223" w:lineRule="exact"/>
              <w:rPr>
                <w:sz w:val="20"/>
                <w:szCs w:val="20"/>
                <w:color w:val="auto"/>
              </w:rPr>
            </w:pPr>
            <w:r>
              <w:rPr>
                <w:rFonts w:ascii="Calibri" w:cs="Calibri" w:eastAsia="Calibri" w:hAnsi="Calibri"/>
                <w:sz w:val="20"/>
                <w:szCs w:val="20"/>
                <w:color w:val="auto"/>
              </w:rPr>
              <w:t>57.0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-179070</wp:posOffset>
            </wp:positionV>
            <wp:extent cx="76835"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3" w:lineRule="exact"/>
        <w:rPr>
          <w:sz w:val="20"/>
          <w:szCs w:val="20"/>
          <w:color w:val="auto"/>
        </w:rPr>
      </w:pPr>
    </w:p>
    <w:p>
      <w:pPr>
        <w:ind w:left="180" w:hanging="172"/>
        <w:spacing w:after="0"/>
        <w:tabs>
          <w:tab w:leader="none" w:pos="180" w:val="left"/>
        </w:tabs>
        <w:numPr>
          <w:ilvl w:val="0"/>
          <w:numId w:val="13"/>
        </w:numPr>
        <w:rPr>
          <w:rFonts w:ascii="Calibri" w:cs="Calibri" w:eastAsia="Calibri" w:hAnsi="Calibri"/>
          <w:sz w:val="23"/>
          <w:szCs w:val="23"/>
          <w:i w:val="1"/>
          <w:iCs w:val="1"/>
          <w:color w:val="auto"/>
          <w:vertAlign w:val="superscript"/>
        </w:rPr>
      </w:pPr>
      <w:r>
        <w:rPr>
          <w:rFonts w:ascii="Calibri" w:cs="Calibri" w:eastAsia="Calibri" w:hAnsi="Calibri"/>
          <w:sz w:val="17"/>
          <w:szCs w:val="17"/>
          <w:i w:val="1"/>
          <w:iCs w:val="1"/>
          <w:color w:val="auto"/>
        </w:rPr>
        <w:t>Volume/pricing variances refect the percentage increase from the comparable period in the prior year.</w:t>
      </w:r>
    </w:p>
    <w:p>
      <w:pPr>
        <w:spacing w:after="0" w:line="37" w:lineRule="exact"/>
        <w:rPr>
          <w:rFonts w:ascii="Calibri" w:cs="Calibri" w:eastAsia="Calibri" w:hAnsi="Calibri"/>
          <w:sz w:val="23"/>
          <w:szCs w:val="23"/>
          <w:i w:val="1"/>
          <w:iCs w:val="1"/>
          <w:color w:val="auto"/>
          <w:vertAlign w:val="superscript"/>
        </w:rPr>
      </w:pPr>
    </w:p>
    <w:p>
      <w:pPr>
        <w:ind w:left="180" w:hanging="172"/>
        <w:spacing w:after="0" w:line="185" w:lineRule="auto"/>
        <w:tabs>
          <w:tab w:leader="none" w:pos="180" w:val="left"/>
        </w:tabs>
        <w:numPr>
          <w:ilvl w:val="0"/>
          <w:numId w:val="13"/>
        </w:numPr>
        <w:rPr>
          <w:rFonts w:ascii="Calibri" w:cs="Calibri" w:eastAsia="Calibri" w:hAnsi="Calibri"/>
          <w:sz w:val="19"/>
          <w:szCs w:val="19"/>
          <w:i w:val="1"/>
          <w:iCs w:val="1"/>
          <w:color w:val="auto"/>
          <w:vertAlign w:val="superscript"/>
        </w:rPr>
      </w:pPr>
      <w:r>
        <w:rPr>
          <w:rFonts w:ascii="Calibri" w:cs="Calibri" w:eastAsia="Calibri" w:hAnsi="Calibri"/>
          <w:sz w:val="15"/>
          <w:szCs w:val="15"/>
          <w:i w:val="1"/>
          <w:iCs w:val="1"/>
          <w:color w:val="auto"/>
        </w:rPr>
        <w:t>Total aggregates operatons include acquisitons from the date of acquisiton and divesttures through the date of disposal.</w:t>
      </w:r>
    </w:p>
    <w:p>
      <w:pPr>
        <w:spacing w:after="0" w:line="50" w:lineRule="exact"/>
        <w:rPr>
          <w:rFonts w:ascii="Calibri" w:cs="Calibri" w:eastAsia="Calibri" w:hAnsi="Calibri"/>
          <w:sz w:val="19"/>
          <w:szCs w:val="19"/>
          <w:i w:val="1"/>
          <w:iCs w:val="1"/>
          <w:color w:val="auto"/>
          <w:vertAlign w:val="superscript"/>
        </w:rPr>
      </w:pPr>
    </w:p>
    <w:p>
      <w:pPr>
        <w:ind w:right="40" w:firstLine="8"/>
        <w:spacing w:after="0"/>
        <w:tabs>
          <w:tab w:leader="none" w:pos="161" w:val="left"/>
        </w:tabs>
        <w:numPr>
          <w:ilvl w:val="0"/>
          <w:numId w:val="13"/>
        </w:numPr>
        <w:rPr>
          <w:rFonts w:ascii="Calibri" w:cs="Calibri" w:eastAsia="Calibri" w:hAnsi="Calibri"/>
          <w:sz w:val="20"/>
          <w:szCs w:val="20"/>
          <w:i w:val="1"/>
          <w:iCs w:val="1"/>
          <w:color w:val="auto"/>
          <w:vertAlign w:val="superscript"/>
        </w:rPr>
      </w:pPr>
      <w:r>
        <w:rPr>
          <w:rFonts w:ascii="Calibri" w:cs="Calibri" w:eastAsia="Calibri" w:hAnsi="Calibri"/>
          <w:sz w:val="15"/>
          <w:szCs w:val="15"/>
          <w:i w:val="1"/>
          <w:iCs w:val="1"/>
          <w:color w:val="auto"/>
        </w:rPr>
        <w:t>Organic aggregates operatons exclude volume and pricing data for acquisitons that have not been included in prior-year operatons for the comparable period and divesttures.</w:t>
      </w:r>
    </w:p>
    <w:p>
      <w:pPr>
        <w:spacing w:after="0" w:line="100"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Page 35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2" w:right="299" w:bottom="1440" w:gutter="0" w:footer="0" w:header="0"/>
        </w:sectPr>
      </w:pPr>
    </w:p>
    <w:bookmarkStart w:id="35" w:name="page36"/>
    <w:bookmarkEnd w:id="35"/>
    <w:p>
      <w:pPr>
        <w:jc w:val="center"/>
        <w:ind w:right="1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140"/>
        <w:spacing w:after="0" w:line="225" w:lineRule="auto"/>
        <w:rPr>
          <w:sz w:val="20"/>
          <w:szCs w:val="20"/>
          <w:color w:val="auto"/>
        </w:rPr>
      </w:pPr>
      <w:r>
        <w:rPr>
          <w:rFonts w:ascii="Calibri" w:cs="Calibri" w:eastAsia="Calibri" w:hAnsi="Calibri"/>
          <w:sz w:val="20"/>
          <w:szCs w:val="20"/>
          <w:color w:val="auto"/>
        </w:rPr>
        <w:t>FORM 10-Q</w:t>
      </w:r>
    </w:p>
    <w:p>
      <w:pPr>
        <w:jc w:val="center"/>
        <w:ind w:right="100"/>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00"/>
        <w:spacing w:after="0" w:line="225" w:lineRule="auto"/>
        <w:rPr>
          <w:sz w:val="20"/>
          <w:szCs w:val="20"/>
          <w:color w:val="auto"/>
        </w:rPr>
      </w:pPr>
      <w:r>
        <w:rPr>
          <w:rFonts w:ascii="Calibri" w:cs="Calibri" w:eastAsia="Calibri" w:hAnsi="Calibri"/>
          <w:sz w:val="20"/>
          <w:szCs w:val="20"/>
          <w:color w:val="auto"/>
        </w:rPr>
        <w:t>RESULTS OF OPERATIONS</w:t>
      </w:r>
    </w:p>
    <w:p>
      <w:pPr>
        <w:jc w:val="center"/>
        <w:ind w:right="40"/>
        <w:spacing w:after="0" w:line="226" w:lineRule="auto"/>
        <w:rPr>
          <w:sz w:val="20"/>
          <w:szCs w:val="20"/>
          <w:color w:val="auto"/>
        </w:rPr>
      </w:pPr>
      <w:r>
        <w:rPr>
          <w:rFonts w:ascii="Calibri" w:cs="Calibri" w:eastAsia="Calibri" w:hAnsi="Calibri"/>
          <w:sz w:val="20"/>
          <w:szCs w:val="20"/>
          <w:color w:val="auto"/>
        </w:rPr>
        <w:t>(Contnued)</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shipments data by product line for the Building Materials business:</w:t>
      </w:r>
    </w:p>
    <w:p>
      <w:pPr>
        <w:spacing w:after="0" w:line="201" w:lineRule="exact"/>
        <w:rPr>
          <w:sz w:val="20"/>
          <w:szCs w:val="20"/>
          <w:color w:val="auto"/>
        </w:rPr>
      </w:pPr>
    </w:p>
    <w:p>
      <w:pPr>
        <w:ind w:left="7600"/>
        <w:spacing w:after="0"/>
        <w:rPr>
          <w:sz w:val="20"/>
          <w:szCs w:val="20"/>
          <w:color w:val="auto"/>
        </w:rPr>
      </w:pPr>
      <w:r>
        <w:rPr>
          <w:rFonts w:ascii="Calibri" w:cs="Calibri" w:eastAsia="Calibri" w:hAnsi="Calibri"/>
          <w:sz w:val="20"/>
          <w:szCs w:val="20"/>
          <w:color w:val="auto"/>
        </w:rPr>
        <w:t>Three Months Ended September 30,</w:t>
      </w:r>
    </w:p>
    <w:p>
      <w:pPr>
        <w:jc w:val="both"/>
        <w:ind w:left="7420"/>
        <w:spacing w:after="0" w:line="238" w:lineRule="auto"/>
        <w:tabs>
          <w:tab w:leader="none" w:pos="8800" w:val="left"/>
          <w:tab w:leader="none" w:pos="10100" w:val="left"/>
        </w:tabs>
        <w:rPr>
          <w:sz w:val="20"/>
          <w:szCs w:val="20"/>
          <w:color w:val="auto"/>
        </w:rPr>
      </w:pPr>
      <w:r>
        <w:rPr>
          <w:rFonts w:ascii="Calibri" w:cs="Calibri" w:eastAsia="Calibri" w:hAnsi="Calibri"/>
          <w:sz w:val="20"/>
          <w:szCs w:val="20"/>
          <w:color w:val="auto"/>
        </w:rPr>
        <w:t>2022</w:t>
      </w:r>
      <w:r>
        <w:rPr>
          <w:sz w:val="20"/>
          <w:szCs w:val="20"/>
          <w:color w:val="auto"/>
        </w:rPr>
        <w:tab/>
      </w:r>
      <w:r>
        <w:rPr>
          <w:rFonts w:ascii="Calibri" w:cs="Calibri" w:eastAsia="Calibri" w:hAnsi="Calibri"/>
          <w:sz w:val="20"/>
          <w:szCs w:val="20"/>
          <w:color w:val="auto"/>
        </w:rPr>
        <w:t>2021</w:t>
      </w:r>
      <w:r>
        <w:rPr>
          <w:sz w:val="20"/>
          <w:szCs w:val="20"/>
          <w:color w:val="auto"/>
        </w:rPr>
        <w:tab/>
      </w:r>
      <w:r>
        <w:rPr>
          <w:rFonts w:ascii="Calibri" w:cs="Calibri" w:eastAsia="Calibri" w:hAnsi="Calibri"/>
          <w:sz w:val="20"/>
          <w:szCs w:val="20"/>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-140970</wp:posOffset>
            </wp:positionV>
            <wp:extent cx="26060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20"/>
          <w:szCs w:val="20"/>
          <w:b w:val="1"/>
          <w:bCs w:val="1"/>
          <w:color w:val="auto"/>
        </w:rPr>
        <w:t>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-141605</wp:posOffset>
            </wp:positionV>
            <wp:extent cx="26060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ind w:left="20"/>
        <w:spacing w:after="0" w:line="225" w:lineRule="auto"/>
        <w:rPr>
          <w:sz w:val="20"/>
          <w:szCs w:val="20"/>
          <w:color w:val="auto"/>
        </w:rPr>
      </w:pPr>
      <w:r>
        <w:rPr>
          <w:rFonts w:ascii="Calibri" w:cs="Calibri" w:eastAsia="Calibri" w:hAnsi="Calibri"/>
          <w:sz w:val="20"/>
          <w:szCs w:val="20"/>
          <w:color w:val="auto"/>
        </w:rPr>
        <w:t>Aggregates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45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340"/>
          </w:cols>
          <w:pgMar w:left="320" w:top="92" w:right="239" w:bottom="1440" w:gutter="0" w:footer="0" w:header="0"/>
        </w:sectPr>
      </w:pPr>
    </w:p>
    <w:p>
      <w:pPr>
        <w:spacing w:after="0" w:line="202"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Tons to 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5657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81"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Internal tons used in other product lines</w:t>
      </w:r>
    </w:p>
    <w:p>
      <w:pPr>
        <w:spacing w:after="0" w:line="201"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Total aggregates 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Cement (in millions):</w:t>
      </w:r>
    </w:p>
    <w:p>
      <w:pPr>
        <w:ind w:left="300"/>
        <w:spacing w:after="0" w:line="225" w:lineRule="auto"/>
        <w:rPr>
          <w:sz w:val="20"/>
          <w:szCs w:val="20"/>
          <w:color w:val="auto"/>
        </w:rPr>
      </w:pPr>
      <w:r>
        <w:rPr>
          <w:rFonts w:ascii="Calibri" w:cs="Calibri" w:eastAsia="Calibri" w:hAnsi="Calibri"/>
          <w:sz w:val="20"/>
          <w:szCs w:val="20"/>
          <w:color w:val="auto"/>
        </w:rPr>
        <w:t>Tons to 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45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00"/>
        <w:spacing w:after="0"/>
        <w:rPr>
          <w:sz w:val="20"/>
          <w:szCs w:val="20"/>
          <w:color w:val="auto"/>
        </w:rPr>
      </w:pPr>
      <w:r>
        <w:rPr>
          <w:rFonts w:ascii="Calibri" w:cs="Calibri" w:eastAsia="Calibri" w:hAnsi="Calibri"/>
          <w:sz w:val="20"/>
          <w:szCs w:val="20"/>
          <w:color w:val="auto"/>
        </w:rPr>
        <w:t>Internal tons used in ready mixed concrete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3168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Total cement 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3168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Ready Mixed Concrete (in millions of cubic yards)</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Asphalt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00"/>
        <w:spacing w:after="0" w:line="225" w:lineRule="auto"/>
        <w:rPr>
          <w:sz w:val="20"/>
          <w:szCs w:val="20"/>
          <w:color w:val="auto"/>
        </w:rPr>
      </w:pPr>
      <w:r>
        <w:rPr>
          <w:rFonts w:ascii="Calibri" w:cs="Calibri" w:eastAsia="Calibri" w:hAnsi="Calibri"/>
          <w:sz w:val="20"/>
          <w:szCs w:val="20"/>
          <w:color w:val="auto"/>
        </w:rPr>
        <w:t>Tons to external customers</w:t>
      </w:r>
    </w:p>
    <w:p>
      <w:pPr>
        <w:ind w:left="300"/>
        <w:spacing w:after="0"/>
        <w:rPr>
          <w:sz w:val="20"/>
          <w:szCs w:val="20"/>
          <w:color w:val="auto"/>
        </w:rPr>
      </w:pPr>
      <w:r>
        <w:rPr>
          <w:rFonts w:ascii="Calibri" w:cs="Calibri" w:eastAsia="Calibri" w:hAnsi="Calibri"/>
          <w:sz w:val="20"/>
          <w:szCs w:val="20"/>
          <w:color w:val="auto"/>
        </w:rPr>
        <w:t>Internal tons used in paving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3257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Total asphalt tons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The average selling price by product line for the Building Materials business is as follows: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Pr>
          <w:p>
            <w:pPr>
              <w:jc w:val="right"/>
              <w:ind w:right="161"/>
              <w:spacing w:after="0"/>
              <w:rPr>
                <w:sz w:val="20"/>
                <w:szCs w:val="20"/>
                <w:color w:val="auto"/>
              </w:rPr>
            </w:pPr>
            <w:r>
              <w:rPr>
                <w:rFonts w:ascii="Calibri" w:cs="Calibri" w:eastAsia="Calibri" w:hAnsi="Calibri"/>
                <w:sz w:val="20"/>
                <w:szCs w:val="20"/>
                <w:color w:val="auto"/>
                <w:w w:val="90"/>
              </w:rPr>
              <w:t>55.9</w:t>
            </w:r>
          </w:p>
        </w:tc>
        <w:tc>
          <w:tcPr>
            <w:tcW w:w="1160" w:type="dxa"/>
            <w:vAlign w:val="bottom"/>
          </w:tcPr>
          <w:p>
            <w:pPr>
              <w:jc w:val="right"/>
              <w:spacing w:after="0"/>
              <w:rPr>
                <w:sz w:val="20"/>
                <w:szCs w:val="20"/>
                <w:color w:val="auto"/>
              </w:rPr>
            </w:pPr>
            <w:r>
              <w:rPr>
                <w:rFonts w:ascii="Calibri" w:cs="Calibri" w:eastAsia="Calibri" w:hAnsi="Calibri"/>
                <w:sz w:val="20"/>
                <w:szCs w:val="20"/>
                <w:color w:val="auto"/>
              </w:rPr>
              <w:t>52.0</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600" w:type="dxa"/>
            <w:vAlign w:val="bottom"/>
          </w:tcPr>
          <w:p>
            <w:pPr>
              <w:jc w:val="right"/>
              <w:ind w:right="161"/>
              <w:spacing w:after="0"/>
              <w:rPr>
                <w:sz w:val="20"/>
                <w:szCs w:val="20"/>
                <w:color w:val="auto"/>
              </w:rPr>
            </w:pPr>
            <w:r>
              <w:rPr>
                <w:rFonts w:ascii="Calibri" w:cs="Calibri" w:eastAsia="Calibri" w:hAnsi="Calibri"/>
                <w:sz w:val="20"/>
                <w:szCs w:val="20"/>
                <w:color w:val="auto"/>
              </w:rPr>
              <w:t>4.3</w:t>
            </w: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vMerge w:val="restart"/>
          </w:tcPr>
          <w:p>
            <w:pPr>
              <w:jc w:val="right"/>
              <w:ind w:right="161"/>
              <w:spacing w:after="0"/>
              <w:rPr>
                <w:sz w:val="20"/>
                <w:szCs w:val="20"/>
                <w:color w:val="auto"/>
              </w:rPr>
            </w:pPr>
            <w:r>
              <w:rPr>
                <w:rFonts w:ascii="Calibri" w:cs="Calibri" w:eastAsia="Calibri" w:hAnsi="Calibri"/>
                <w:sz w:val="20"/>
                <w:szCs w:val="20"/>
                <w:color w:val="auto"/>
                <w:w w:val="90"/>
              </w:rPr>
              <w:t>60.2</w:t>
            </w:r>
          </w:p>
        </w:tc>
        <w:tc>
          <w:tcPr>
            <w:tcW w:w="1160" w:type="dxa"/>
            <w:vAlign w:val="bottom"/>
            <w:vMerge w:val="restart"/>
          </w:tcPr>
          <w:p>
            <w:pPr>
              <w:jc w:val="right"/>
              <w:spacing w:after="0"/>
              <w:rPr>
                <w:sz w:val="20"/>
                <w:szCs w:val="20"/>
                <w:color w:val="auto"/>
              </w:rPr>
            </w:pPr>
            <w:r>
              <w:rPr>
                <w:rFonts w:ascii="Calibri" w:cs="Calibri" w:eastAsia="Calibri" w:hAnsi="Calibri"/>
                <w:sz w:val="20"/>
                <w:szCs w:val="20"/>
                <w:color w:val="auto"/>
              </w:rPr>
              <w:t>57.0</w:t>
            </w:r>
          </w:p>
        </w:tc>
        <w:tc>
          <w:tcPr>
            <w:tcW w:w="1740" w:type="dxa"/>
            <w:vAlign w:val="bottom"/>
          </w:tcPr>
          <w:p>
            <w:pPr>
              <w:jc w:val="right"/>
              <w:spacing w:after="0"/>
              <w:rPr>
                <w:sz w:val="20"/>
                <w:szCs w:val="20"/>
                <w:color w:val="auto"/>
              </w:rPr>
            </w:pPr>
            <w:r>
              <w:rPr>
                <w:rFonts w:ascii="Calibri" w:cs="Calibri" w:eastAsia="Calibri" w:hAnsi="Calibri"/>
                <w:sz w:val="20"/>
                <w:szCs w:val="20"/>
                <w:color w:val="auto"/>
              </w:rPr>
              <w:t>5.6 %</w:t>
            </w: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600" w:type="dxa"/>
            <w:vAlign w:val="bottom"/>
          </w:tcPr>
          <w:p>
            <w:pPr>
              <w:jc w:val="right"/>
              <w:ind w:right="161"/>
              <w:spacing w:after="0"/>
              <w:rPr>
                <w:sz w:val="20"/>
                <w:szCs w:val="20"/>
                <w:color w:val="auto"/>
              </w:rPr>
            </w:pPr>
            <w:r>
              <w:rPr>
                <w:rFonts w:ascii="Calibri" w:cs="Calibri" w:eastAsia="Calibri" w:hAnsi="Calibri"/>
                <w:sz w:val="20"/>
                <w:szCs w:val="20"/>
                <w:color w:val="auto"/>
              </w:rPr>
              <w:t>0.8</w:t>
            </w:r>
          </w:p>
        </w:tc>
        <w:tc>
          <w:tcPr>
            <w:tcW w:w="1160" w:type="dxa"/>
            <w:vAlign w:val="bottom"/>
          </w:tcPr>
          <w:p>
            <w:pPr>
              <w:jc w:val="right"/>
              <w:spacing w:after="0"/>
              <w:rPr>
                <w:sz w:val="20"/>
                <w:szCs w:val="20"/>
                <w:color w:val="auto"/>
              </w:rPr>
            </w:pPr>
            <w:r>
              <w:rPr>
                <w:rFonts w:ascii="Calibri" w:cs="Calibri" w:eastAsia="Calibri" w:hAnsi="Calibri"/>
                <w:sz w:val="20"/>
                <w:szCs w:val="20"/>
                <w:color w:val="auto"/>
              </w:rPr>
              <w:t>0.7</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0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0.3</w:t>
            </w:r>
          </w:p>
        </w:tc>
        <w:tc>
          <w:tcPr>
            <w:tcW w:w="116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0.4</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 w:type="dxa"/>
            <w:vAlign w:val="bottom"/>
          </w:tcPr>
          <w:p>
            <w:pPr>
              <w:jc w:val="right"/>
              <w:ind w:right="161"/>
              <w:spacing w:after="0" w:line="210" w:lineRule="exact"/>
              <w:rPr>
                <w:sz w:val="20"/>
                <w:szCs w:val="20"/>
                <w:color w:val="auto"/>
              </w:rPr>
            </w:pPr>
            <w:r>
              <w:rPr>
                <w:rFonts w:ascii="Calibri" w:cs="Calibri" w:eastAsia="Calibri" w:hAnsi="Calibri"/>
                <w:sz w:val="20"/>
                <w:szCs w:val="20"/>
                <w:color w:val="auto"/>
              </w:rPr>
              <w:t>1.1</w:t>
            </w:r>
          </w:p>
        </w:tc>
        <w:tc>
          <w:tcPr>
            <w:tcW w:w="11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1.1</w:t>
            </w:r>
          </w:p>
        </w:tc>
        <w:tc>
          <w:tcPr>
            <w:tcW w:w="1740" w:type="dxa"/>
            <w:vAlign w:val="bottom"/>
          </w:tcPr>
          <w:p>
            <w:pPr>
              <w:jc w:val="right"/>
              <w:spacing w:after="0" w:line="223" w:lineRule="exact"/>
              <w:rPr>
                <w:sz w:val="20"/>
                <w:szCs w:val="20"/>
                <w:color w:val="auto"/>
              </w:rPr>
            </w:pPr>
            <w:r>
              <w:rPr>
                <w:rFonts w:ascii="Calibri" w:cs="Calibri" w:eastAsia="Calibri" w:hAnsi="Calibri"/>
                <w:sz w:val="20"/>
                <w:szCs w:val="20"/>
                <w:color w:val="auto"/>
              </w:rPr>
              <w:t>2.3 %</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00" w:type="dxa"/>
            <w:vAlign w:val="bottom"/>
          </w:tcPr>
          <w:p>
            <w:pPr>
              <w:jc w:val="right"/>
              <w:ind w:right="161"/>
              <w:spacing w:after="0"/>
              <w:rPr>
                <w:sz w:val="20"/>
                <w:szCs w:val="20"/>
                <w:color w:val="auto"/>
              </w:rPr>
            </w:pPr>
            <w:r>
              <w:rPr>
                <w:rFonts w:ascii="Calibri" w:cs="Calibri" w:eastAsia="Calibri" w:hAnsi="Calibri"/>
                <w:sz w:val="20"/>
                <w:szCs w:val="20"/>
                <w:color w:val="auto"/>
              </w:rPr>
              <w:t>1.7</w:t>
            </w: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2.7</w:t>
            </w:r>
          </w:p>
        </w:tc>
        <w:tc>
          <w:tcPr>
            <w:tcW w:w="1740" w:type="dxa"/>
            <w:vAlign w:val="bottom"/>
          </w:tcPr>
          <w:p>
            <w:pPr>
              <w:jc w:val="right"/>
              <w:spacing w:after="0"/>
              <w:rPr>
                <w:sz w:val="20"/>
                <w:szCs w:val="20"/>
                <w:color w:val="auto"/>
              </w:rPr>
            </w:pPr>
            <w:r>
              <w:rPr>
                <w:rFonts w:ascii="Calibri" w:cs="Calibri" w:eastAsia="Calibri" w:hAnsi="Calibri"/>
                <w:sz w:val="20"/>
                <w:szCs w:val="20"/>
                <w:color w:val="auto"/>
              </w:rPr>
              <w:t>(37.6 )%</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600" w:type="dxa"/>
            <w:vAlign w:val="bottom"/>
          </w:tcPr>
          <w:p>
            <w:pPr>
              <w:jc w:val="right"/>
              <w:ind w:right="161"/>
              <w:spacing w:after="0"/>
              <w:rPr>
                <w:sz w:val="20"/>
                <w:szCs w:val="20"/>
                <w:color w:val="auto"/>
              </w:rPr>
            </w:pPr>
            <w:r>
              <w:rPr>
                <w:rFonts w:ascii="Calibri" w:cs="Calibri" w:eastAsia="Calibri" w:hAnsi="Calibri"/>
                <w:sz w:val="20"/>
                <w:szCs w:val="20"/>
                <w:color w:val="auto"/>
              </w:rPr>
              <w:t>2.8</w:t>
            </w:r>
          </w:p>
        </w:tc>
        <w:tc>
          <w:tcPr>
            <w:tcW w:w="1160" w:type="dxa"/>
            <w:vAlign w:val="bottom"/>
          </w:tcPr>
          <w:p>
            <w:pPr>
              <w:jc w:val="right"/>
              <w:spacing w:after="0"/>
              <w:rPr>
                <w:sz w:val="20"/>
                <w:szCs w:val="20"/>
                <w:color w:val="auto"/>
              </w:rPr>
            </w:pPr>
            <w:r>
              <w:rPr>
                <w:rFonts w:ascii="Calibri" w:cs="Calibri" w:eastAsia="Calibri" w:hAnsi="Calibri"/>
                <w:sz w:val="20"/>
                <w:szCs w:val="20"/>
                <w:color w:val="auto"/>
              </w:rPr>
              <w:t>2.0</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0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0.9</w:t>
            </w:r>
          </w:p>
        </w:tc>
        <w:tc>
          <w:tcPr>
            <w:tcW w:w="116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0.8</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 w:type="dxa"/>
            <w:vAlign w:val="bottom"/>
          </w:tcPr>
          <w:p>
            <w:pPr>
              <w:jc w:val="right"/>
              <w:ind w:right="161"/>
              <w:spacing w:after="0" w:line="210" w:lineRule="exact"/>
              <w:rPr>
                <w:sz w:val="20"/>
                <w:szCs w:val="20"/>
                <w:color w:val="auto"/>
              </w:rPr>
            </w:pPr>
            <w:r>
              <w:rPr>
                <w:rFonts w:ascii="Calibri" w:cs="Calibri" w:eastAsia="Calibri" w:hAnsi="Calibri"/>
                <w:sz w:val="20"/>
                <w:szCs w:val="20"/>
                <w:color w:val="auto"/>
              </w:rPr>
              <w:t>3.7</w:t>
            </w:r>
          </w:p>
        </w:tc>
        <w:tc>
          <w:tcPr>
            <w:tcW w:w="116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2.8</w:t>
            </w:r>
          </w:p>
        </w:tc>
        <w:tc>
          <w:tcPr>
            <w:tcW w:w="1740" w:type="dxa"/>
            <w:vAlign w:val="bottom"/>
          </w:tcPr>
          <w:p>
            <w:pPr>
              <w:jc w:val="right"/>
              <w:spacing w:after="0" w:line="223" w:lineRule="exact"/>
              <w:rPr>
                <w:sz w:val="20"/>
                <w:szCs w:val="20"/>
                <w:color w:val="auto"/>
              </w:rPr>
            </w:pPr>
            <w:r>
              <w:rPr>
                <w:rFonts w:ascii="Calibri" w:cs="Calibri" w:eastAsia="Calibri" w:hAnsi="Calibri"/>
                <w:sz w:val="20"/>
                <w:szCs w:val="20"/>
                <w:color w:val="auto"/>
              </w:rPr>
              <w:t>31.3 %</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-1259205</wp:posOffset>
            </wp:positionV>
            <wp:extent cx="7454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7260" w:space="580"/>
            <w:col w:w="3500"/>
          </w:cols>
          <w:pgMar w:left="320" w:top="92" w:right="2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6"/>
          </w:tcPr>
          <w:p>
            <w:pPr>
              <w:ind w:left="160"/>
              <w:spacing w:after="0"/>
              <w:rPr>
                <w:sz w:val="20"/>
                <w:szCs w:val="20"/>
                <w:color w:val="auto"/>
              </w:rPr>
            </w:pPr>
            <w:r>
              <w:rPr>
                <w:rFonts w:ascii="Calibri" w:cs="Calibri" w:eastAsia="Calibri" w:hAnsi="Calibri"/>
                <w:sz w:val="20"/>
                <w:szCs w:val="20"/>
                <w:color w:val="auto"/>
              </w:rPr>
              <w:t>Three Months Ended September 30,</w:t>
            </w:r>
          </w:p>
        </w:tc>
        <w:tc>
          <w:tcPr>
            <w:tcW w:w="11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30"/>
        </w:trPr>
        <w:tc>
          <w:tcPr>
            <w:tcW w:w="5660" w:type="dxa"/>
            <w:vAlign w:val="bottom"/>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2022</w:t>
            </w: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1"/>
              <w:spacing w:after="0" w:line="229" w:lineRule="exact"/>
              <w:rPr>
                <w:sz w:val="20"/>
                <w:szCs w:val="20"/>
                <w:color w:val="auto"/>
              </w:rPr>
            </w:pPr>
            <w:r>
              <w:rPr>
                <w:rFonts w:ascii="Calibri" w:cs="Calibri" w:eastAsia="Calibri" w:hAnsi="Calibri"/>
                <w:sz w:val="20"/>
                <w:szCs w:val="20"/>
                <w:color w:val="auto"/>
              </w:rPr>
              <w:t>2021</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21"/>
              <w:spacing w:after="0" w:line="229" w:lineRule="exact"/>
              <w:rPr>
                <w:sz w:val="20"/>
                <w:szCs w:val="20"/>
                <w:color w:val="auto"/>
              </w:rPr>
            </w:pPr>
            <w:r>
              <w:rPr>
                <w:rFonts w:ascii="Calibri" w:cs="Calibri" w:eastAsia="Calibri" w:hAnsi="Calibri"/>
                <w:sz w:val="20"/>
                <w:szCs w:val="20"/>
                <w:color w:val="auto"/>
              </w:rPr>
              <w:t>% Change</w:t>
            </w:r>
          </w:p>
        </w:tc>
        <w:tc>
          <w:tcPr>
            <w:tcW w:w="140" w:type="dxa"/>
            <w:vAlign w:val="bottom"/>
          </w:tcPr>
          <w:p>
            <w:pPr>
              <w:spacing w:after="0"/>
              <w:rPr>
                <w:sz w:val="19"/>
                <w:szCs w:val="19"/>
                <w:color w:val="auto"/>
              </w:rPr>
            </w:pPr>
          </w:p>
        </w:tc>
      </w:tr>
      <w:tr>
        <w:trPr>
          <w:trHeight w:val="223"/>
        </w:trPr>
        <w:tc>
          <w:tcPr>
            <w:tcW w:w="5660" w:type="dxa"/>
            <w:vAlign w:val="bottom"/>
          </w:tcPr>
          <w:p>
            <w:pPr>
              <w:ind w:left="20"/>
              <w:spacing w:after="0" w:line="214" w:lineRule="exact"/>
              <w:rPr>
                <w:sz w:val="20"/>
                <w:szCs w:val="20"/>
                <w:color w:val="auto"/>
              </w:rPr>
            </w:pPr>
            <w:r>
              <w:rPr>
                <w:rFonts w:ascii="Calibri" w:cs="Calibri" w:eastAsia="Calibri" w:hAnsi="Calibri"/>
                <w:sz w:val="20"/>
                <w:szCs w:val="20"/>
                <w:color w:val="auto"/>
              </w:rPr>
              <w:t>Aggregates (per ton)</w:t>
            </w:r>
          </w:p>
        </w:tc>
        <w:tc>
          <w:tcPr>
            <w:tcW w:w="1100" w:type="dxa"/>
            <w:vAlign w:val="bottom"/>
          </w:tcPr>
          <w:p>
            <w:pPr>
              <w:jc w:val="right"/>
              <w:ind w:right="881"/>
              <w:spacing w:after="0" w:line="223"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23" w:lineRule="exact"/>
              <w:rPr>
                <w:sz w:val="20"/>
                <w:szCs w:val="20"/>
                <w:color w:val="auto"/>
              </w:rPr>
            </w:pPr>
            <w:r>
              <w:rPr>
                <w:rFonts w:ascii="Calibri" w:cs="Calibri" w:eastAsia="Calibri" w:hAnsi="Calibri"/>
                <w:sz w:val="20"/>
                <w:szCs w:val="20"/>
                <w:color w:val="auto"/>
              </w:rPr>
              <w:t>16.65</w:t>
            </w:r>
          </w:p>
        </w:tc>
        <w:tc>
          <w:tcPr>
            <w:tcW w:w="320" w:type="dxa"/>
            <w:vAlign w:val="bottom"/>
          </w:tcPr>
          <w:p>
            <w:pPr>
              <w:spacing w:after="0"/>
              <w:rPr>
                <w:sz w:val="19"/>
                <w:szCs w:val="19"/>
                <w:color w:val="auto"/>
              </w:rPr>
            </w:pPr>
          </w:p>
        </w:tc>
        <w:tc>
          <w:tcPr>
            <w:tcW w:w="380" w:type="dxa"/>
            <w:vAlign w:val="bottom"/>
          </w:tcPr>
          <w:p>
            <w:pPr>
              <w:jc w:val="right"/>
              <w:ind w:right="181"/>
              <w:spacing w:after="0" w:line="223" w:lineRule="exact"/>
              <w:rPr>
                <w:sz w:val="20"/>
                <w:szCs w:val="20"/>
                <w:color w:val="auto"/>
              </w:rPr>
            </w:pPr>
            <w:r>
              <w:rPr>
                <w:rFonts w:ascii="Calibri" w:cs="Calibri" w:eastAsia="Calibri" w:hAnsi="Calibri"/>
                <w:sz w:val="20"/>
                <w:szCs w:val="20"/>
                <w:color w:val="auto"/>
                <w:w w:val="78"/>
              </w:rPr>
              <w:t>$</w:t>
            </w:r>
          </w:p>
        </w:tc>
        <w:tc>
          <w:tcPr>
            <w:tcW w:w="1300" w:type="dxa"/>
            <w:vAlign w:val="bottom"/>
          </w:tcPr>
          <w:p>
            <w:pPr>
              <w:jc w:val="right"/>
              <w:spacing w:after="0" w:line="223" w:lineRule="exact"/>
              <w:rPr>
                <w:sz w:val="20"/>
                <w:szCs w:val="20"/>
                <w:color w:val="auto"/>
              </w:rPr>
            </w:pPr>
            <w:r>
              <w:rPr>
                <w:rFonts w:ascii="Calibri" w:cs="Calibri" w:eastAsia="Calibri" w:hAnsi="Calibri"/>
                <w:sz w:val="20"/>
                <w:szCs w:val="20"/>
                <w:color w:val="auto"/>
              </w:rPr>
              <w:t>14.93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11.6</w:t>
            </w:r>
          </w:p>
        </w:tc>
        <w:tc>
          <w:tcPr>
            <w:tcW w:w="140" w:type="dxa"/>
            <w:vAlign w:val="bottom"/>
          </w:tcPr>
          <w:p>
            <w:pPr>
              <w:jc w:val="right"/>
              <w:spacing w:after="0" w:line="214" w:lineRule="exact"/>
              <w:rPr>
                <w:sz w:val="20"/>
                <w:szCs w:val="20"/>
                <w:color w:val="auto"/>
              </w:rPr>
            </w:pPr>
            <w:r>
              <w:rPr>
                <w:rFonts w:ascii="Calibri" w:cs="Calibri" w:eastAsia="Calibri" w:hAnsi="Calibri"/>
                <w:sz w:val="20"/>
                <w:szCs w:val="20"/>
                <w:color w:val="auto"/>
                <w:w w:val="83"/>
              </w:rPr>
              <w:t>%</w:t>
            </w:r>
          </w:p>
        </w:tc>
      </w:tr>
      <w:tr>
        <w:trPr>
          <w:trHeight w:val="230"/>
        </w:trPr>
        <w:tc>
          <w:tcPr>
            <w:tcW w:w="5660" w:type="dxa"/>
            <w:vAlign w:val="bottom"/>
          </w:tcPr>
          <w:p>
            <w:pPr>
              <w:ind w:left="20"/>
              <w:spacing w:after="0" w:line="229" w:lineRule="exact"/>
              <w:rPr>
                <w:sz w:val="20"/>
                <w:szCs w:val="20"/>
                <w:color w:val="auto"/>
              </w:rPr>
            </w:pPr>
            <w:r>
              <w:rPr>
                <w:rFonts w:ascii="Calibri" w:cs="Calibri" w:eastAsia="Calibri" w:hAnsi="Calibri"/>
                <w:sz w:val="20"/>
                <w:szCs w:val="20"/>
                <w:color w:val="auto"/>
              </w:rPr>
              <w:t>Cement (per ton)</w:t>
            </w:r>
          </w:p>
        </w:tc>
        <w:tc>
          <w:tcPr>
            <w:tcW w:w="1100" w:type="dxa"/>
            <w:vAlign w:val="bottom"/>
          </w:tcPr>
          <w:p>
            <w:pPr>
              <w:jc w:val="right"/>
              <w:ind w:right="881"/>
              <w:spacing w:after="0" w:line="229"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29" w:lineRule="exact"/>
              <w:rPr>
                <w:sz w:val="20"/>
                <w:szCs w:val="20"/>
                <w:color w:val="auto"/>
              </w:rPr>
            </w:pPr>
            <w:r>
              <w:rPr>
                <w:rFonts w:ascii="Calibri" w:cs="Calibri" w:eastAsia="Calibri" w:hAnsi="Calibri"/>
                <w:sz w:val="20"/>
                <w:szCs w:val="20"/>
                <w:color w:val="auto"/>
              </w:rPr>
              <w:t>149.24</w:t>
            </w:r>
          </w:p>
        </w:tc>
        <w:tc>
          <w:tcPr>
            <w:tcW w:w="70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122.91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21.4 %</w:t>
            </w:r>
          </w:p>
        </w:tc>
      </w:tr>
      <w:tr>
        <w:trPr>
          <w:trHeight w:val="230"/>
        </w:trPr>
        <w:tc>
          <w:tcPr>
            <w:tcW w:w="5660" w:type="dxa"/>
            <w:vAlign w:val="bottom"/>
          </w:tcPr>
          <w:p>
            <w:pPr>
              <w:ind w:left="20"/>
              <w:spacing w:after="0" w:line="229" w:lineRule="exact"/>
              <w:rPr>
                <w:sz w:val="20"/>
                <w:szCs w:val="20"/>
                <w:color w:val="auto"/>
              </w:rPr>
            </w:pPr>
            <w:r>
              <w:rPr>
                <w:rFonts w:ascii="Calibri" w:cs="Calibri" w:eastAsia="Calibri" w:hAnsi="Calibri"/>
                <w:sz w:val="20"/>
                <w:szCs w:val="20"/>
                <w:color w:val="auto"/>
              </w:rPr>
              <w:t>Ready Mixed Concrete (per cubic yard)</w:t>
            </w:r>
          </w:p>
        </w:tc>
        <w:tc>
          <w:tcPr>
            <w:tcW w:w="1100" w:type="dxa"/>
            <w:vAlign w:val="bottom"/>
          </w:tcPr>
          <w:p>
            <w:pPr>
              <w:jc w:val="right"/>
              <w:ind w:right="881"/>
              <w:spacing w:after="0" w:line="229"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29" w:lineRule="exact"/>
              <w:rPr>
                <w:sz w:val="20"/>
                <w:szCs w:val="20"/>
                <w:color w:val="auto"/>
              </w:rPr>
            </w:pPr>
            <w:r>
              <w:rPr>
                <w:rFonts w:ascii="Calibri" w:cs="Calibri" w:eastAsia="Calibri" w:hAnsi="Calibri"/>
                <w:sz w:val="20"/>
                <w:szCs w:val="20"/>
                <w:color w:val="auto"/>
              </w:rPr>
              <w:t>132.64</w:t>
            </w:r>
          </w:p>
        </w:tc>
        <w:tc>
          <w:tcPr>
            <w:tcW w:w="70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116.75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13.6 %</w:t>
            </w:r>
          </w:p>
        </w:tc>
      </w:tr>
      <w:tr>
        <w:trPr>
          <w:trHeight w:val="234"/>
        </w:trPr>
        <w:tc>
          <w:tcPr>
            <w:tcW w:w="5660" w:type="dxa"/>
            <w:vAlign w:val="bottom"/>
          </w:tcPr>
          <w:p>
            <w:pPr>
              <w:ind w:left="20"/>
              <w:spacing w:after="0" w:line="234" w:lineRule="exact"/>
              <w:rPr>
                <w:sz w:val="20"/>
                <w:szCs w:val="20"/>
                <w:color w:val="auto"/>
              </w:rPr>
            </w:pPr>
            <w:r>
              <w:rPr>
                <w:rFonts w:ascii="Calibri" w:cs="Calibri" w:eastAsia="Calibri" w:hAnsi="Calibri"/>
                <w:sz w:val="20"/>
                <w:szCs w:val="20"/>
                <w:color w:val="auto"/>
              </w:rPr>
              <w:t>Asphalt (per ton)</w:t>
            </w:r>
          </w:p>
        </w:tc>
        <w:tc>
          <w:tcPr>
            <w:tcW w:w="1100" w:type="dxa"/>
            <w:vAlign w:val="bottom"/>
          </w:tcPr>
          <w:p>
            <w:pPr>
              <w:jc w:val="right"/>
              <w:ind w:right="881"/>
              <w:spacing w:after="0" w:line="234"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61.45</w:t>
            </w:r>
          </w:p>
        </w:tc>
        <w:tc>
          <w:tcPr>
            <w:tcW w:w="70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48.72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26.1 %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46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03" w:lineRule="exact"/>
        <w:rPr>
          <w:sz w:val="20"/>
          <w:szCs w:val="20"/>
          <w:color w:val="auto"/>
        </w:rPr>
      </w:pPr>
    </w:p>
    <w:p>
      <w:pPr>
        <w:jc w:val="both"/>
        <w:ind w:right="100"/>
        <w:spacing w:after="0" w:line="227" w:lineRule="auto"/>
        <w:rPr>
          <w:sz w:val="20"/>
          <w:szCs w:val="20"/>
          <w:color w:val="auto"/>
        </w:rPr>
      </w:pPr>
      <w:r>
        <w:rPr>
          <w:rFonts w:ascii="Calibri" w:cs="Calibri" w:eastAsia="Calibri" w:hAnsi="Calibri"/>
          <w:sz w:val="20"/>
          <w:szCs w:val="20"/>
          <w:color w:val="auto"/>
        </w:rPr>
        <w:t>Organic aggregates shipments to the infrastructure market remained fat, refectng increased highway constructon actvity in North Carolina, Colorado, Georgia and Indiana which was ofset by project delays and projects coming to completon in Texas. The infrastructure market accounted for 36% of third-quarter organic aggregates shipments.</w:t>
      </w:r>
    </w:p>
    <w:p>
      <w:pPr>
        <w:spacing w:after="0" w:line="104" w:lineRule="exact"/>
        <w:rPr>
          <w:sz w:val="20"/>
          <w:szCs w:val="20"/>
          <w:color w:val="auto"/>
        </w:rPr>
      </w:pPr>
    </w:p>
    <w:p>
      <w:pPr>
        <w:jc w:val="both"/>
        <w:ind w:right="100"/>
        <w:spacing w:after="0" w:line="222" w:lineRule="auto"/>
        <w:rPr>
          <w:sz w:val="20"/>
          <w:szCs w:val="20"/>
          <w:color w:val="auto"/>
        </w:rPr>
      </w:pPr>
      <w:r>
        <w:rPr>
          <w:rFonts w:ascii="Calibri" w:cs="Calibri" w:eastAsia="Calibri" w:hAnsi="Calibri"/>
          <w:sz w:val="20"/>
          <w:szCs w:val="20"/>
          <w:color w:val="auto"/>
        </w:rPr>
        <w:t>Organic aggregates shipments to the nonresidental market increased 2%, driven by several large manufacturing, data center and energy projects in Georgia, North Carolina, Iowa and Texas. The nonresidental market represented 35% of third-quarter organic aggregates shipments.</w:t>
      </w:r>
    </w:p>
    <w:p>
      <w:pPr>
        <w:spacing w:after="0" w:line="106" w:lineRule="exact"/>
        <w:rPr>
          <w:sz w:val="20"/>
          <w:szCs w:val="20"/>
          <w:color w:val="auto"/>
        </w:rPr>
      </w:pPr>
    </w:p>
    <w:p>
      <w:pPr>
        <w:jc w:val="both"/>
        <w:ind w:right="100"/>
        <w:spacing w:after="0" w:line="227" w:lineRule="auto"/>
        <w:rPr>
          <w:sz w:val="20"/>
          <w:szCs w:val="20"/>
          <w:color w:val="auto"/>
        </w:rPr>
      </w:pPr>
      <w:r>
        <w:rPr>
          <w:rFonts w:ascii="Calibri" w:cs="Calibri" w:eastAsia="Calibri" w:hAnsi="Calibri"/>
          <w:sz w:val="20"/>
          <w:szCs w:val="20"/>
          <w:color w:val="auto"/>
        </w:rPr>
        <w:t>Organic aggregates shipments to the residental market decreased 3%. Despite overall underbuilt conditons, several markets experienced a slowdown in this end use due to afordability concerns and logistcal challenges. The residental market accounted for 24% of third-quarter organic aggregates shipments.</w:t>
      </w:r>
    </w:p>
    <w:p>
      <w:pPr>
        <w:spacing w:after="0" w:line="104" w:lineRule="exact"/>
        <w:rPr>
          <w:sz w:val="20"/>
          <w:szCs w:val="20"/>
          <w:color w:val="auto"/>
        </w:rPr>
      </w:pPr>
    </w:p>
    <w:p>
      <w:pPr>
        <w:jc w:val="both"/>
        <w:ind w:right="120"/>
        <w:spacing w:after="0" w:line="228" w:lineRule="auto"/>
        <w:rPr>
          <w:sz w:val="20"/>
          <w:szCs w:val="20"/>
          <w:color w:val="auto"/>
        </w:rPr>
      </w:pPr>
      <w:r>
        <w:rPr>
          <w:rFonts w:ascii="Calibri" w:cs="Calibri" w:eastAsia="Calibri" w:hAnsi="Calibri"/>
          <w:sz w:val="20"/>
          <w:szCs w:val="20"/>
          <w:color w:val="auto"/>
        </w:rPr>
        <w:t>The ChemRock/Rail market accounted for the remaining 5% of third-quarter organic aggregates shipments. Volumes to this end use increased 4%, driven by increased ballast shipments.</w:t>
      </w:r>
    </w:p>
    <w:p>
      <w:pPr>
        <w:jc w:val="center"/>
        <w:ind w:right="100"/>
        <w:spacing w:after="0" w:line="212" w:lineRule="auto"/>
        <w:rPr>
          <w:sz w:val="20"/>
          <w:szCs w:val="20"/>
          <w:color w:val="auto"/>
        </w:rPr>
      </w:pPr>
      <w:r>
        <w:rPr>
          <w:rFonts w:ascii="Calibri" w:cs="Calibri" w:eastAsia="Calibri" w:hAnsi="Calibri"/>
          <w:sz w:val="20"/>
          <w:szCs w:val="20"/>
          <w:color w:val="auto"/>
        </w:rPr>
        <w:t>Page 36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2" w:right="239" w:bottom="1440" w:gutter="0" w:footer="0" w:header="0"/>
          <w:type w:val="continuous"/>
        </w:sectPr>
      </w:pPr>
    </w:p>
    <w:bookmarkStart w:id="36" w:name="page37"/>
    <w:bookmarkEnd w:id="3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103"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Third-quarter organic aggregates shipments were fat, due to logistcal constraints and cement shortages as well as inclement weather in certain key markets. Organic pricing increased 11.9%, or 11.3% on a mix-adjusted basis, over the prior-year quarter as the Company contnued to beneft from price increases. Including acquired operatons, total aggregates shipments and pricing grew 5.6% and 11.6%, respectvely. East Group total shipments were fat, as strong underlying demand was negatvely impacted by logistcal botlenecks and weather-related disruptons. East Group pricing increased 11.5%. West Group total shipments improved 15.6%, driven primarily by contributons from acquired operatons and strong Texas demand, partally ofset by historically wet weather in North Texas in the month of August. West Group pricing, inclusive of acquisitons, increased 12.2%. West Group organic pricing increased 12.4%, or 13.2% on a mix-adjusted basis. Third-quarter aggregates product gross proft improved 12.8% to $330.3 million, while product gross margin declined 170 basis points to 32.5%, primarily due to increased energy, internal freight and repairs and maintenance costs.</w:t>
      </w:r>
    </w:p>
    <w:p>
      <w:pPr>
        <w:spacing w:after="0" w:line="105"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Cement shipments of 1.1 million tons increased 2.3% driven by contnued strong demand. Pricing increased 21.4%, or 20.6% on a mix-adjusted basis, following multple price increases in Texas. Cement product gross proft grew to $67.7 million, an increase of 35.8%, and product gross margin expanded 380 basis points to 41.5%, as pricing gains more than ofset higher energy costs in the period.</w:t>
      </w:r>
    </w:p>
    <w:p>
      <w:pPr>
        <w:spacing w:after="0" w:line="104"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On an organic basis, ready mix shipments were down 16.8%, largely due to signifcant rainfall in Texas during August as well as the completon of certain large projects. Organic pricing increased 20.3% due to multple price increases implemented during the year. Ready mix product revenues and gross proft from contnuing operatons declined 29.1% and 40.3%, respectvely, driven primarily by the divestture of the Company’s Colorado and Central Texas ready mixed concrete businesses on April 1, which was partally ofset by acquired operatons in Arizona.</w:t>
      </w:r>
    </w:p>
    <w:p>
      <w:pPr>
        <w:spacing w:after="0" w:line="108"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Including contributons from the acquired West Coast operatons, total asphalt shipments and pricing increased 31.3% and 26.1%, respectvely. On an organic basis, total asphalt shipments and pricing increased 4.3% and 22.0%, respectvely. Total asphalt and paving products and services gross proft increased to a record $50.5 million. However, contnued acceleraton of liquid asphalt, or bitumen, costs contributed to products and services gross margin compression of 360 basis points in the third quarter.</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03"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Magnesia Specialtes third-quarter product revenues decreased 4.0% to $69.0 million, driven largely by lower demand in the steel industry for dolomitc lime products. Product gross proft declined 22.9% to $21.6 million, as higher energy costs, partcularly natural gas, depressed gross margin in the quarter.</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90"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color w:val="auto"/>
        </w:rPr>
        <w:t>Consolidated SG&amp;A for third quarter 2022 was 5.2% of total revenues compared with 5.5% in the prior-year quarter, a 30-basis-point improvement.</w:t>
      </w:r>
    </w:p>
    <w:p>
      <w:pPr>
        <w:spacing w:after="0" w:line="103"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Among other items, other operatng income, net, includes gains and losses on the sale of assets; recoveries and write-ofs related to customer accounts receivable; rental, royalty and services income; and accreton expense, depreciaton expense and gains and losses related to asset retrement obligatons. For the third quarter, consolidated other operatng income, net, was income of $14.8 million in 2022 and $8.4 million in 2021, with the increase driven by higher gains on sales of surplus land and other assets.</w:t>
      </w:r>
    </w:p>
    <w:p>
      <w:pPr>
        <w:spacing w:after="0" w:line="106" w:lineRule="exact"/>
        <w:rPr>
          <w:sz w:val="20"/>
          <w:szCs w:val="20"/>
          <w:color w:val="auto"/>
        </w:rPr>
      </w:pPr>
    </w:p>
    <w:p>
      <w:pPr>
        <w:jc w:val="both"/>
        <w:ind w:right="20"/>
        <w:spacing w:after="0" w:line="221" w:lineRule="auto"/>
        <w:rPr>
          <w:sz w:val="20"/>
          <w:szCs w:val="20"/>
          <w:color w:val="auto"/>
        </w:rPr>
      </w:pPr>
      <w:r>
        <w:rPr>
          <w:rFonts w:ascii="Calibri" w:cs="Calibri" w:eastAsia="Calibri" w:hAnsi="Calibri"/>
          <w:sz w:val="20"/>
          <w:szCs w:val="20"/>
          <w:color w:val="auto"/>
        </w:rPr>
        <w:t>Earnings from operatons for the quarter were $405.9 million in 2022 compared with $356.9 million in 2021, with the increase driven by year-over-year price increases, partally ofset by higher costs for energy, supplies, and freight.</w:t>
      </w: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7" w:name="page38"/>
    <w:bookmarkEnd w:id="3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ind w:right="-19"/>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9"/>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198"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Other nonoperatng income, net, includes interest income; pension and postretrement beneft cost excluding service cost; foreign currency transacton gains and losses; equity earnings or losses from nonconsolidated afliates; and other miscellaneous income and expenses. For the third quarter, other nonoperatng income, net, was $7.3 million and $5.6 million in 2022 and 2021, respectvely.</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Nine Months Ended September 30, 2022</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Financial highlights for the nine months ended September 30, 2022 (unless noted, all comparisons are versus the prior-year period:</w:t>
      </w:r>
    </w:p>
    <w:p>
      <w:pPr>
        <w:spacing w:after="0" w:line="120"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Consolidated total revenues of $4.68 billion compared with $3.92 billion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Building Materials business products and services revenues of $4.14 billion compared with $3.47 billion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Magnesia Specialtes products revenues of $214.4 million compared with $207.1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Consolidated gross proft of $1.07 billion compared with $1.00 billion</w:t>
      </w:r>
    </w:p>
    <w:p>
      <w:pPr>
        <w:spacing w:after="0" w:line="11" w:lineRule="exact"/>
        <w:rPr>
          <w:rFonts w:ascii="Times New Roman" w:cs="Times New Roman" w:eastAsia="Times New Roman" w:hAnsi="Times New Roman"/>
          <w:sz w:val="20"/>
          <w:szCs w:val="20"/>
          <w:color w:val="007DC6"/>
        </w:rPr>
      </w:pPr>
    </w:p>
    <w:p>
      <w:pPr>
        <w:ind w:left="760" w:hanging="378"/>
        <w:spacing w:after="0" w:line="227" w:lineRule="auto"/>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Consolidated earnings from operatons of $944.4 million compared with $763.7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Adjusted consolidated earnings from operatons of $798.6 million compared with $797.4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Net earnings from contnuing operatons atributable to Martn Marieta of $668.7 million compared with $545.9 million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Adjusted EBITDA of $1.21 billion compared with $1.13 billion</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Earnings per diluted share from contnuing operatons of $10.69 compared with $8.72</w:t>
      </w:r>
    </w:p>
    <w:p>
      <w:pPr>
        <w:spacing w:after="0" w:line="12" w:lineRule="exact"/>
        <w:rPr>
          <w:rFonts w:ascii="Times New Roman" w:cs="Times New Roman" w:eastAsia="Times New Roman" w:hAnsi="Times New Roman"/>
          <w:sz w:val="20"/>
          <w:szCs w:val="20"/>
          <w:color w:val="007DC6"/>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007DC6"/>
        </w:rPr>
      </w:pPr>
      <w:r>
        <w:rPr>
          <w:rFonts w:ascii="Calibri" w:cs="Calibri" w:eastAsia="Calibri" w:hAnsi="Calibri"/>
          <w:sz w:val="20"/>
          <w:szCs w:val="20"/>
          <w:color w:val="auto"/>
        </w:rPr>
        <w:t>Adjusted earnings per diluted share of $9.03 compared with $9.12</w:t>
      </w:r>
    </w:p>
    <w:p>
      <w:pPr>
        <w:jc w:val="center"/>
        <w:ind w:right="-19"/>
        <w:spacing w:after="0" w:line="212" w:lineRule="auto"/>
        <w:rPr>
          <w:sz w:val="20"/>
          <w:szCs w:val="20"/>
          <w:color w:val="auto"/>
        </w:rPr>
      </w:pPr>
      <w:r>
        <w:rPr>
          <w:rFonts w:ascii="Calibri" w:cs="Calibri" w:eastAsia="Calibri" w:hAnsi="Calibri"/>
          <w:sz w:val="20"/>
          <w:szCs w:val="20"/>
          <w:color w:val="auto"/>
        </w:rPr>
        <w:t>Page 38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8" w:name="page39"/>
    <w:bookmarkEnd w:id="3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The following tables present total revenues, gross proft (loss), selling, general and administratve (SG&amp;A) expenses and earnings (loss) from operatons data for the Company and its reportable segments by product line for contnuing operatons for the nine months ended September 30, 2022 and 2021. In each case, the data is stated as a percentage of revenues of the Company or the relevant segment or product line, as the case may be. For the nine months ended September 30, 2022, earnings from operatons for the West Group included a $151.9 million nonrecurring gain on divested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gridSpan w:val="4"/>
          </w:tcPr>
          <w:p>
            <w:pPr>
              <w:jc w:val="right"/>
              <w:ind w:right="1800"/>
              <w:spacing w:after="0"/>
              <w:rPr>
                <w:sz w:val="20"/>
                <w:szCs w:val="20"/>
                <w:color w:val="auto"/>
              </w:rPr>
            </w:pPr>
            <w:r>
              <w:rPr>
                <w:rFonts w:ascii="Calibri" w:cs="Calibri" w:eastAsia="Calibri" w:hAnsi="Calibri"/>
                <w:sz w:val="20"/>
                <w:szCs w:val="20"/>
                <w:color w:val="auto"/>
              </w:rPr>
              <w:t>Nine Months Ended September 30,</w:t>
            </w:r>
          </w:p>
        </w:tc>
      </w:tr>
      <w:tr>
        <w:trPr>
          <w:trHeight w:val="230"/>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1"/>
              <w:spacing w:after="0" w:line="229" w:lineRule="exact"/>
              <w:rPr>
                <w:sz w:val="20"/>
                <w:szCs w:val="20"/>
                <w:color w:val="auto"/>
              </w:rPr>
            </w:pPr>
            <w:r>
              <w:rPr>
                <w:rFonts w:ascii="Calibri" w:cs="Calibri" w:eastAsia="Calibri" w:hAnsi="Calibri"/>
                <w:sz w:val="20"/>
                <w:szCs w:val="20"/>
                <w:color w:val="auto"/>
              </w:rPr>
              <w:t>2022</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81"/>
              <w:spacing w:after="0" w:line="229" w:lineRule="exact"/>
              <w:rPr>
                <w:sz w:val="20"/>
                <w:szCs w:val="20"/>
                <w:color w:val="auto"/>
              </w:rPr>
            </w:pPr>
            <w:r>
              <w:rPr>
                <w:rFonts w:ascii="Calibri" w:cs="Calibri" w:eastAsia="Calibri" w:hAnsi="Calibri"/>
                <w:sz w:val="20"/>
                <w:szCs w:val="20"/>
                <w:color w:val="auto"/>
              </w:rPr>
              <w:t>2021</w:t>
            </w:r>
          </w:p>
        </w:tc>
        <w:tc>
          <w:tcPr>
            <w:tcW w:w="178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1"/>
              <w:spacing w:after="0" w:line="223" w:lineRule="exact"/>
              <w:rPr>
                <w:sz w:val="20"/>
                <w:szCs w:val="20"/>
                <w:color w:val="auto"/>
              </w:rPr>
            </w:pPr>
            <w:r>
              <w:rPr>
                <w:rFonts w:ascii="Calibri" w:cs="Calibri" w:eastAsia="Calibri" w:hAnsi="Calibri"/>
                <w:sz w:val="20"/>
                <w:szCs w:val="20"/>
                <w:color w:val="auto"/>
              </w:rPr>
              <w:t>Amount</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61"/>
              <w:spacing w:after="0" w:line="223" w:lineRule="exact"/>
              <w:rPr>
                <w:sz w:val="20"/>
                <w:szCs w:val="20"/>
                <w:color w:val="auto"/>
              </w:rPr>
            </w:pPr>
            <w:r>
              <w:rPr>
                <w:rFonts w:ascii="Calibri" w:cs="Calibri" w:eastAsia="Calibri" w:hAnsi="Calibri"/>
                <w:sz w:val="20"/>
                <w:szCs w:val="20"/>
                <w:color w:val="auto"/>
              </w:rPr>
              <w:t>Amount</w:t>
            </w:r>
          </w:p>
        </w:tc>
        <w:tc>
          <w:tcPr>
            <w:tcW w:w="1780" w:type="dxa"/>
            <w:vAlign w:val="bottom"/>
          </w:tcPr>
          <w:p>
            <w:pPr>
              <w:spacing w:after="0"/>
              <w:rPr>
                <w:sz w:val="19"/>
                <w:szCs w:val="19"/>
                <w:color w:val="auto"/>
              </w:rPr>
            </w:pPr>
          </w:p>
        </w:tc>
      </w:tr>
      <w:tr>
        <w:trPr>
          <w:trHeight w:val="219"/>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ind w:left="100"/>
              <w:spacing w:after="0" w:line="214" w:lineRule="exact"/>
              <w:rPr>
                <w:sz w:val="20"/>
                <w:szCs w:val="20"/>
                <w:color w:val="auto"/>
              </w:rPr>
            </w:pPr>
            <w:r>
              <w:rPr>
                <w:rFonts w:ascii="Calibri" w:cs="Calibri" w:eastAsia="Calibri" w:hAnsi="Calibri"/>
                <w:sz w:val="20"/>
                <w:szCs w:val="20"/>
                <w:i w:val="1"/>
                <w:iCs w:val="1"/>
                <w:color w:val="auto"/>
              </w:rPr>
              <w:t>(Dollars in Millions)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4"/>
        </w:trPr>
        <w:tc>
          <w:tcPr>
            <w:tcW w:w="4760" w:type="dxa"/>
            <w:vAlign w:val="bottom"/>
            <w:shd w:val="clear" w:color="auto" w:fill="CFF0FC"/>
          </w:tcPr>
          <w:p>
            <w:pPr>
              <w:ind w:left="20"/>
              <w:spacing w:after="0" w:line="233" w:lineRule="exact"/>
              <w:rPr>
                <w:sz w:val="20"/>
                <w:szCs w:val="20"/>
                <w:color w:val="auto"/>
              </w:rPr>
            </w:pPr>
            <w:r>
              <w:rPr>
                <w:rFonts w:ascii="Calibri" w:cs="Calibri" w:eastAsia="Calibri" w:hAnsi="Calibri"/>
                <w:sz w:val="20"/>
                <w:szCs w:val="20"/>
                <w:b w:val="1"/>
                <w:bCs w:val="1"/>
                <w:color w:val="auto"/>
              </w:rPr>
              <w:t>Total revenues: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r>
      <w:tr>
        <w:trPr>
          <w:trHeight w:val="230"/>
        </w:trPr>
        <w:tc>
          <w:tcPr>
            <w:tcW w:w="4760" w:type="dxa"/>
            <w:vAlign w:val="bottom"/>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476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Products and services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r>
      <w:tr>
        <w:trPr>
          <w:trHeight w:val="229"/>
        </w:trPr>
        <w:tc>
          <w:tcPr>
            <w:tcW w:w="4760" w:type="dxa"/>
            <w:vAlign w:val="bottom"/>
          </w:tcPr>
          <w:p>
            <w:pPr>
              <w:ind w:left="300"/>
              <w:spacing w:after="0" w:line="229" w:lineRule="exact"/>
              <w:rPr>
                <w:sz w:val="20"/>
                <w:szCs w:val="20"/>
                <w:color w:val="auto"/>
              </w:rPr>
            </w:pPr>
            <w:r>
              <w:rPr>
                <w:rFonts w:ascii="Calibri" w:cs="Calibri" w:eastAsia="Calibri" w:hAnsi="Calibri"/>
                <w:sz w:val="20"/>
                <w:szCs w:val="20"/>
                <w:color w:val="auto"/>
              </w:rPr>
              <w:t>East Group</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476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Aggregates</w:t>
            </w:r>
          </w:p>
        </w:tc>
        <w:tc>
          <w:tcPr>
            <w:tcW w:w="240" w:type="dxa"/>
            <w:vAlign w:val="bottom"/>
            <w:shd w:val="clear" w:color="auto" w:fill="CFF0FC"/>
          </w:tcPr>
          <w:p>
            <w:pPr>
              <w:jc w:val="right"/>
              <w:ind w:right="21"/>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1,627.4</w:t>
            </w:r>
          </w:p>
        </w:tc>
        <w:tc>
          <w:tcPr>
            <w:tcW w:w="18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1"/>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1,496.5</w:t>
            </w:r>
          </w:p>
        </w:tc>
        <w:tc>
          <w:tcPr>
            <w:tcW w:w="1780" w:type="dxa"/>
            <w:vAlign w:val="bottom"/>
            <w:shd w:val="clear" w:color="auto" w:fill="CFF0FC"/>
          </w:tcPr>
          <w:p>
            <w:pPr>
              <w:spacing w:after="0"/>
              <w:rPr>
                <w:sz w:val="19"/>
                <w:szCs w:val="19"/>
                <w:color w:val="auto"/>
              </w:rPr>
            </w:pPr>
          </w:p>
        </w:tc>
      </w:tr>
      <w:tr>
        <w:trPr>
          <w:trHeight w:val="229"/>
        </w:trPr>
        <w:tc>
          <w:tcPr>
            <w:tcW w:w="4760" w:type="dxa"/>
            <w:vAlign w:val="bottom"/>
          </w:tcPr>
          <w:p>
            <w:pPr>
              <w:ind w:left="480"/>
              <w:spacing w:after="0" w:line="229" w:lineRule="exact"/>
              <w:rPr>
                <w:sz w:val="20"/>
                <w:szCs w:val="20"/>
                <w:color w:val="auto"/>
              </w:rPr>
            </w:pPr>
            <w:r>
              <w:rPr>
                <w:rFonts w:ascii="Calibri" w:cs="Calibri" w:eastAsia="Calibri" w:hAnsi="Calibri"/>
                <w:sz w:val="20"/>
                <w:szCs w:val="20"/>
                <w:color w:val="auto"/>
              </w:rPr>
              <w:t>Asphalt</w:t>
            </w:r>
          </w:p>
        </w:tc>
        <w:tc>
          <w:tcPr>
            <w:tcW w:w="2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Calibri" w:cs="Calibri" w:eastAsia="Calibri" w:hAnsi="Calibri"/>
                <w:sz w:val="20"/>
                <w:szCs w:val="20"/>
                <w:color w:val="auto"/>
              </w:rPr>
              <w:t>143.4</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127.3</w:t>
            </w:r>
          </w:p>
        </w:tc>
        <w:tc>
          <w:tcPr>
            <w:tcW w:w="1780" w:type="dxa"/>
            <w:vAlign w:val="bottom"/>
          </w:tcPr>
          <w:p>
            <w:pPr>
              <w:spacing w:after="0"/>
              <w:rPr>
                <w:sz w:val="19"/>
                <w:szCs w:val="19"/>
                <w:color w:val="auto"/>
              </w:rPr>
            </w:pPr>
          </w:p>
        </w:tc>
      </w:tr>
      <w:tr>
        <w:trPr>
          <w:trHeight w:val="230"/>
        </w:trPr>
        <w:tc>
          <w:tcPr>
            <w:tcW w:w="476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Less: Interproduct revenues</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line="229" w:lineRule="exact"/>
              <w:rPr>
                <w:sz w:val="20"/>
                <w:szCs w:val="20"/>
                <w:color w:val="auto"/>
              </w:rPr>
            </w:pPr>
            <w:r>
              <w:rPr>
                <w:rFonts w:ascii="Calibri" w:cs="Calibri" w:eastAsia="Calibri" w:hAnsi="Calibri"/>
                <w:sz w:val="20"/>
                <w:szCs w:val="20"/>
                <w:color w:val="auto"/>
              </w:rPr>
              <w:t>(15.3 )</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920" w:type="dxa"/>
            <w:vAlign w:val="bottom"/>
            <w:gridSpan w:val="2"/>
            <w:shd w:val="clear" w:color="auto" w:fill="CFF0FC"/>
          </w:tcPr>
          <w:p>
            <w:pPr>
              <w:jc w:val="right"/>
              <w:ind w:right="1700"/>
              <w:spacing w:after="0" w:line="229" w:lineRule="exact"/>
              <w:rPr>
                <w:sz w:val="20"/>
                <w:szCs w:val="20"/>
                <w:color w:val="auto"/>
              </w:rPr>
            </w:pPr>
            <w:r>
              <w:rPr>
                <w:rFonts w:ascii="Calibri" w:cs="Calibri" w:eastAsia="Calibri" w:hAnsi="Calibri"/>
                <w:sz w:val="20"/>
                <w:szCs w:val="20"/>
                <w:color w:val="auto"/>
              </w:rPr>
              <w:t>(12.9 )</w:t>
            </w:r>
          </w:p>
        </w:tc>
      </w:tr>
      <w:tr>
        <w:trPr>
          <w:trHeight w:val="223"/>
        </w:trPr>
        <w:tc>
          <w:tcPr>
            <w:tcW w:w="4760" w:type="dxa"/>
            <w:vAlign w:val="bottom"/>
            <w:tcBorders>
              <w:top w:val="single" w:sz="8" w:color="CFF0FC"/>
            </w:tcBorders>
          </w:tcPr>
          <w:p>
            <w:pPr>
              <w:ind w:left="300"/>
              <w:spacing w:after="0" w:line="223" w:lineRule="exact"/>
              <w:rPr>
                <w:sz w:val="20"/>
                <w:szCs w:val="20"/>
                <w:color w:val="auto"/>
              </w:rPr>
            </w:pPr>
            <w:r>
              <w:rPr>
                <w:rFonts w:ascii="Calibri" w:cs="Calibri" w:eastAsia="Calibri" w:hAnsi="Calibri"/>
                <w:sz w:val="20"/>
                <w:szCs w:val="20"/>
                <w:color w:val="auto"/>
              </w:rPr>
              <w:t>East Group Total</w:t>
            </w: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1,755.5</w:t>
            </w:r>
          </w:p>
        </w:tc>
        <w:tc>
          <w:tcPr>
            <w:tcW w:w="18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1,610.9</w:t>
            </w:r>
          </w:p>
        </w:tc>
        <w:tc>
          <w:tcPr>
            <w:tcW w:w="1780" w:type="dxa"/>
            <w:vAlign w:val="bottom"/>
            <w:tcBorders>
              <w:top w:val="single" w:sz="8" w:color="CFF0FC"/>
            </w:tcBorders>
          </w:tcPr>
          <w:p>
            <w:pPr>
              <w:spacing w:after="0"/>
              <w:rPr>
                <w:sz w:val="19"/>
                <w:szCs w:val="19"/>
                <w:color w:val="auto"/>
              </w:rPr>
            </w:pPr>
          </w:p>
        </w:tc>
      </w:tr>
      <w:tr>
        <w:trPr>
          <w:trHeight w:val="223"/>
        </w:trPr>
        <w:tc>
          <w:tcPr>
            <w:tcW w:w="4760" w:type="dxa"/>
            <w:vAlign w:val="bottom"/>
            <w:shd w:val="clear" w:color="auto" w:fill="CFF0FC"/>
          </w:tcPr>
          <w:p>
            <w:pPr>
              <w:ind w:left="300"/>
              <w:spacing w:after="0" w:line="223" w:lineRule="exact"/>
              <w:rPr>
                <w:sz w:val="20"/>
                <w:szCs w:val="20"/>
                <w:color w:val="auto"/>
              </w:rPr>
            </w:pPr>
            <w:r>
              <w:rPr>
                <w:rFonts w:ascii="Calibri" w:cs="Calibri" w:eastAsia="Calibri" w:hAnsi="Calibri"/>
                <w:sz w:val="20"/>
                <w:szCs w:val="20"/>
                <w:color w:val="auto"/>
              </w:rPr>
              <w:t>West Group</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r>
      <w:tr>
        <w:trPr>
          <w:trHeight w:val="229"/>
        </w:trPr>
        <w:tc>
          <w:tcPr>
            <w:tcW w:w="4760" w:type="dxa"/>
            <w:vAlign w:val="bottom"/>
          </w:tcPr>
          <w:p>
            <w:pPr>
              <w:ind w:left="480"/>
              <w:spacing w:after="0" w:line="229" w:lineRule="exact"/>
              <w:rPr>
                <w:sz w:val="20"/>
                <w:szCs w:val="20"/>
                <w:color w:val="auto"/>
              </w:rPr>
            </w:pPr>
            <w:r>
              <w:rPr>
                <w:rFonts w:ascii="Calibri" w:cs="Calibri" w:eastAsia="Calibri" w:hAnsi="Calibri"/>
                <w:sz w:val="20"/>
                <w:szCs w:val="20"/>
                <w:color w:val="auto"/>
              </w:rPr>
              <w:t>Aggregates</w:t>
            </w:r>
          </w:p>
        </w:tc>
        <w:tc>
          <w:tcPr>
            <w:tcW w:w="2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Calibri" w:cs="Calibri" w:eastAsia="Calibri" w:hAnsi="Calibri"/>
                <w:sz w:val="20"/>
                <w:szCs w:val="20"/>
                <w:color w:val="auto"/>
              </w:rPr>
              <w:t>1,029.4</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735.0</w:t>
            </w:r>
          </w:p>
        </w:tc>
        <w:tc>
          <w:tcPr>
            <w:tcW w:w="1780" w:type="dxa"/>
            <w:vAlign w:val="bottom"/>
          </w:tcPr>
          <w:p>
            <w:pPr>
              <w:spacing w:after="0"/>
              <w:rPr>
                <w:sz w:val="19"/>
                <w:szCs w:val="19"/>
                <w:color w:val="auto"/>
              </w:rPr>
            </w:pPr>
          </w:p>
        </w:tc>
      </w:tr>
      <w:tr>
        <w:trPr>
          <w:trHeight w:val="230"/>
        </w:trPr>
        <w:tc>
          <w:tcPr>
            <w:tcW w:w="476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Cement</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455.4</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358.4</w:t>
            </w:r>
          </w:p>
        </w:tc>
        <w:tc>
          <w:tcPr>
            <w:tcW w:w="1780" w:type="dxa"/>
            <w:vAlign w:val="bottom"/>
            <w:shd w:val="clear" w:color="auto" w:fill="CFF0FC"/>
          </w:tcPr>
          <w:p>
            <w:pPr>
              <w:spacing w:after="0"/>
              <w:rPr>
                <w:sz w:val="19"/>
                <w:szCs w:val="19"/>
                <w:color w:val="auto"/>
              </w:rPr>
            </w:pPr>
          </w:p>
        </w:tc>
      </w:tr>
      <w:tr>
        <w:trPr>
          <w:trHeight w:val="230"/>
        </w:trPr>
        <w:tc>
          <w:tcPr>
            <w:tcW w:w="4760" w:type="dxa"/>
            <w:vAlign w:val="bottom"/>
          </w:tcPr>
          <w:p>
            <w:pPr>
              <w:ind w:left="480"/>
              <w:spacing w:after="0" w:line="229" w:lineRule="exact"/>
              <w:rPr>
                <w:sz w:val="20"/>
                <w:szCs w:val="20"/>
                <w:color w:val="auto"/>
              </w:rPr>
            </w:pPr>
            <w:r>
              <w:rPr>
                <w:rFonts w:ascii="Calibri" w:cs="Calibri" w:eastAsia="Calibri" w:hAnsi="Calibri"/>
                <w:sz w:val="20"/>
                <w:szCs w:val="20"/>
                <w:color w:val="auto"/>
              </w:rPr>
              <w:t>Ready mixed concrete</w:t>
            </w:r>
          </w:p>
        </w:tc>
        <w:tc>
          <w:tcPr>
            <w:tcW w:w="2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Calibri" w:cs="Calibri" w:eastAsia="Calibri" w:hAnsi="Calibri"/>
                <w:sz w:val="20"/>
                <w:szCs w:val="20"/>
                <w:color w:val="auto"/>
              </w:rPr>
              <w:t>743.6</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824.5</w:t>
            </w:r>
          </w:p>
        </w:tc>
        <w:tc>
          <w:tcPr>
            <w:tcW w:w="1780" w:type="dxa"/>
            <w:vAlign w:val="bottom"/>
          </w:tcPr>
          <w:p>
            <w:pPr>
              <w:spacing w:after="0"/>
              <w:rPr>
                <w:sz w:val="19"/>
                <w:szCs w:val="19"/>
                <w:color w:val="auto"/>
              </w:rPr>
            </w:pPr>
          </w:p>
        </w:tc>
      </w:tr>
      <w:tr>
        <w:trPr>
          <w:trHeight w:val="229"/>
        </w:trPr>
        <w:tc>
          <w:tcPr>
            <w:tcW w:w="476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Asphalt and paving</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433.5</w:t>
            </w: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216.2</w:t>
            </w:r>
          </w:p>
        </w:tc>
        <w:tc>
          <w:tcPr>
            <w:tcW w:w="1780" w:type="dxa"/>
            <w:vAlign w:val="bottom"/>
            <w:shd w:val="clear" w:color="auto" w:fill="CFF0FC"/>
          </w:tcPr>
          <w:p>
            <w:pPr>
              <w:spacing w:after="0"/>
              <w:rPr>
                <w:sz w:val="19"/>
                <w:szCs w:val="19"/>
                <w:color w:val="auto"/>
              </w:rPr>
            </w:pPr>
          </w:p>
        </w:tc>
      </w:tr>
      <w:tr>
        <w:trPr>
          <w:trHeight w:val="230"/>
        </w:trPr>
        <w:tc>
          <w:tcPr>
            <w:tcW w:w="4760" w:type="dxa"/>
            <w:vAlign w:val="bottom"/>
          </w:tcPr>
          <w:p>
            <w:pPr>
              <w:ind w:left="300"/>
              <w:spacing w:after="0" w:line="229" w:lineRule="exact"/>
              <w:rPr>
                <w:sz w:val="20"/>
                <w:szCs w:val="20"/>
                <w:color w:val="auto"/>
              </w:rPr>
            </w:pPr>
            <w:r>
              <w:rPr>
                <w:rFonts w:ascii="Calibri" w:cs="Calibri" w:eastAsia="Calibri" w:hAnsi="Calibri"/>
                <w:sz w:val="20"/>
                <w:szCs w:val="20"/>
                <w:color w:val="auto"/>
              </w:rPr>
              <w:t>Less: Interproduct revenues</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line="229" w:lineRule="exact"/>
              <w:rPr>
                <w:sz w:val="20"/>
                <w:szCs w:val="20"/>
                <w:color w:val="auto"/>
              </w:rPr>
            </w:pPr>
            <w:r>
              <w:rPr>
                <w:rFonts w:ascii="Calibri" w:cs="Calibri" w:eastAsia="Calibri" w:hAnsi="Calibri"/>
                <w:sz w:val="20"/>
                <w:szCs w:val="20"/>
                <w:color w:val="auto"/>
              </w:rPr>
              <w:t>(279.7 )</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2"/>
          </w:tcPr>
          <w:p>
            <w:pPr>
              <w:jc w:val="right"/>
              <w:ind w:right="1700"/>
              <w:spacing w:after="0" w:line="229" w:lineRule="exact"/>
              <w:rPr>
                <w:sz w:val="20"/>
                <w:szCs w:val="20"/>
                <w:color w:val="auto"/>
              </w:rPr>
            </w:pPr>
            <w:r>
              <w:rPr>
                <w:rFonts w:ascii="Calibri" w:cs="Calibri" w:eastAsia="Calibri" w:hAnsi="Calibri"/>
                <w:sz w:val="20"/>
                <w:szCs w:val="20"/>
                <w:color w:val="auto"/>
              </w:rPr>
              <w:t>(272.2 )</w:t>
            </w:r>
          </w:p>
        </w:tc>
      </w:tr>
      <w:tr>
        <w:trPr>
          <w:trHeight w:val="223"/>
        </w:trPr>
        <w:tc>
          <w:tcPr>
            <w:tcW w:w="4760" w:type="dxa"/>
            <w:vAlign w:val="bottom"/>
            <w:tcBorders>
              <w:bottom w:val="single" w:sz="8" w:color="CFF0FC"/>
            </w:tcBorders>
            <w:shd w:val="clear" w:color="auto" w:fill="CFF0FC"/>
          </w:tcPr>
          <w:p>
            <w:pPr>
              <w:ind w:left="300"/>
              <w:spacing w:after="0" w:line="223" w:lineRule="exact"/>
              <w:rPr>
                <w:sz w:val="20"/>
                <w:szCs w:val="20"/>
                <w:color w:val="auto"/>
              </w:rPr>
            </w:pPr>
            <w:r>
              <w:rPr>
                <w:rFonts w:ascii="Calibri" w:cs="Calibri" w:eastAsia="Calibri" w:hAnsi="Calibri"/>
                <w:sz w:val="20"/>
                <w:szCs w:val="20"/>
                <w:color w:val="auto"/>
              </w:rPr>
              <w:t>West Group Total</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2,382.2</w:t>
            </w:r>
          </w:p>
        </w:tc>
        <w:tc>
          <w:tcPr>
            <w:tcW w:w="1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1,861.9</w:t>
            </w:r>
          </w:p>
        </w:tc>
        <w:tc>
          <w:tcPr>
            <w:tcW w:w="1780" w:type="dxa"/>
            <w:vAlign w:val="bottom"/>
            <w:tcBorders>
              <w:bottom w:val="single" w:sz="8" w:color="CFF0FC"/>
            </w:tcBorders>
            <w:shd w:val="clear" w:color="auto" w:fill="CFF0FC"/>
          </w:tcPr>
          <w:p>
            <w:pPr>
              <w:spacing w:after="0"/>
              <w:rPr>
                <w:sz w:val="19"/>
                <w:szCs w:val="19"/>
                <w:color w:val="auto"/>
              </w:rPr>
            </w:pPr>
          </w:p>
        </w:tc>
      </w:tr>
      <w:tr>
        <w:trPr>
          <w:trHeight w:val="223"/>
        </w:trPr>
        <w:tc>
          <w:tcPr>
            <w:tcW w:w="4760" w:type="dxa"/>
            <w:vAlign w:val="bottom"/>
          </w:tcPr>
          <w:p>
            <w:pPr>
              <w:ind w:left="120"/>
              <w:spacing w:after="0" w:line="223" w:lineRule="exact"/>
              <w:rPr>
                <w:sz w:val="20"/>
                <w:szCs w:val="20"/>
                <w:color w:val="auto"/>
              </w:rPr>
            </w:pPr>
            <w:r>
              <w:rPr>
                <w:rFonts w:ascii="Calibri" w:cs="Calibri" w:eastAsia="Calibri" w:hAnsi="Calibri"/>
                <w:sz w:val="20"/>
                <w:szCs w:val="20"/>
                <w:color w:val="auto"/>
              </w:rPr>
              <w:t>Products and services</w:t>
            </w:r>
          </w:p>
        </w:tc>
        <w:tc>
          <w:tcPr>
            <w:tcW w:w="24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Calibri" w:cs="Calibri" w:eastAsia="Calibri" w:hAnsi="Calibri"/>
                <w:sz w:val="20"/>
                <w:szCs w:val="20"/>
                <w:color w:val="auto"/>
              </w:rPr>
              <w:t>4,137.7</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Calibri" w:cs="Calibri" w:eastAsia="Calibri" w:hAnsi="Calibri"/>
                <w:sz w:val="20"/>
                <w:szCs w:val="20"/>
                <w:color w:val="auto"/>
              </w:rPr>
              <w:t>3,472.8</w:t>
            </w:r>
          </w:p>
        </w:tc>
        <w:tc>
          <w:tcPr>
            <w:tcW w:w="1780" w:type="dxa"/>
            <w:vAlign w:val="bottom"/>
          </w:tcPr>
          <w:p>
            <w:pPr>
              <w:spacing w:after="0"/>
              <w:rPr>
                <w:sz w:val="19"/>
                <w:szCs w:val="19"/>
                <w:color w:val="auto"/>
              </w:rPr>
            </w:pPr>
          </w:p>
        </w:tc>
      </w:tr>
      <w:tr>
        <w:trPr>
          <w:trHeight w:val="229"/>
        </w:trPr>
        <w:tc>
          <w:tcPr>
            <w:tcW w:w="4760" w:type="dxa"/>
            <w:vAlign w:val="bottom"/>
            <w:tcBorders>
              <w:bottom w:val="single" w:sz="8" w:color="CFF0FC"/>
            </w:tcBorders>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312.1</w:t>
            </w:r>
          </w:p>
        </w:tc>
        <w:tc>
          <w:tcPr>
            <w:tcW w:w="1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219.8</w:t>
            </w:r>
          </w:p>
        </w:tc>
        <w:tc>
          <w:tcPr>
            <w:tcW w:w="1780" w:type="dxa"/>
            <w:vAlign w:val="bottom"/>
            <w:tcBorders>
              <w:bottom w:val="single" w:sz="8" w:color="CFF0FC"/>
            </w:tcBorders>
            <w:shd w:val="clear" w:color="auto" w:fill="CFF0FC"/>
          </w:tcPr>
          <w:p>
            <w:pPr>
              <w:spacing w:after="0"/>
              <w:rPr>
                <w:sz w:val="19"/>
                <w:szCs w:val="19"/>
                <w:color w:val="auto"/>
              </w:rPr>
            </w:pPr>
          </w:p>
        </w:tc>
      </w:tr>
      <w:tr>
        <w:trPr>
          <w:trHeight w:val="223"/>
        </w:trPr>
        <w:tc>
          <w:tcPr>
            <w:tcW w:w="476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4,449.8</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3,692.6</w:t>
            </w:r>
          </w:p>
        </w:tc>
        <w:tc>
          <w:tcPr>
            <w:tcW w:w="1780" w:type="dxa"/>
            <w:vAlign w:val="bottom"/>
          </w:tcPr>
          <w:p>
            <w:pPr>
              <w:spacing w:after="0"/>
              <w:rPr>
                <w:sz w:val="19"/>
                <w:szCs w:val="19"/>
                <w:color w:val="auto"/>
              </w:rPr>
            </w:pPr>
          </w:p>
        </w:tc>
      </w:tr>
      <w:tr>
        <w:trPr>
          <w:trHeight w:val="223"/>
        </w:trPr>
        <w:tc>
          <w:tcPr>
            <w:tcW w:w="476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Magnesia Specialtes:</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r>
      <w:tr>
        <w:trPr>
          <w:trHeight w:val="229"/>
        </w:trPr>
        <w:tc>
          <w:tcPr>
            <w:tcW w:w="4760" w:type="dxa"/>
            <w:vAlign w:val="bottom"/>
          </w:tcPr>
          <w:p>
            <w:pPr>
              <w:ind w:left="120"/>
              <w:spacing w:after="0" w:line="229" w:lineRule="exact"/>
              <w:rPr>
                <w:sz w:val="20"/>
                <w:szCs w:val="20"/>
                <w:color w:val="auto"/>
              </w:rPr>
            </w:pPr>
            <w:r>
              <w:rPr>
                <w:rFonts w:ascii="Calibri" w:cs="Calibri" w:eastAsia="Calibri" w:hAnsi="Calibri"/>
                <w:sz w:val="20"/>
                <w:szCs w:val="20"/>
                <w:color w:val="auto"/>
              </w:rPr>
              <w:t>Products</w:t>
            </w:r>
          </w:p>
        </w:tc>
        <w:tc>
          <w:tcPr>
            <w:tcW w:w="2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Calibri" w:cs="Calibri" w:eastAsia="Calibri" w:hAnsi="Calibri"/>
                <w:sz w:val="20"/>
                <w:szCs w:val="20"/>
                <w:color w:val="auto"/>
              </w:rPr>
              <w:t>214.4</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207.1</w:t>
            </w:r>
          </w:p>
        </w:tc>
        <w:tc>
          <w:tcPr>
            <w:tcW w:w="1780" w:type="dxa"/>
            <w:vAlign w:val="bottom"/>
          </w:tcPr>
          <w:p>
            <w:pPr>
              <w:spacing w:after="0"/>
              <w:rPr>
                <w:sz w:val="19"/>
                <w:szCs w:val="19"/>
                <w:color w:val="auto"/>
              </w:rPr>
            </w:pPr>
          </w:p>
        </w:tc>
      </w:tr>
      <w:tr>
        <w:trPr>
          <w:trHeight w:val="230"/>
        </w:trPr>
        <w:tc>
          <w:tcPr>
            <w:tcW w:w="4760" w:type="dxa"/>
            <w:vAlign w:val="bottom"/>
            <w:tcBorders>
              <w:bottom w:val="single" w:sz="8" w:color="CFF0FC"/>
            </w:tcBorders>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20.0</w:t>
            </w:r>
          </w:p>
        </w:tc>
        <w:tc>
          <w:tcPr>
            <w:tcW w:w="18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17.9</w:t>
            </w:r>
          </w:p>
        </w:tc>
        <w:tc>
          <w:tcPr>
            <w:tcW w:w="1780" w:type="dxa"/>
            <w:vAlign w:val="bottom"/>
            <w:tcBorders>
              <w:bottom w:val="single" w:sz="8" w:color="CFF0FC"/>
            </w:tcBorders>
            <w:shd w:val="clear" w:color="auto" w:fill="CFF0FC"/>
          </w:tcPr>
          <w:p>
            <w:pPr>
              <w:spacing w:after="0"/>
              <w:rPr>
                <w:sz w:val="19"/>
                <w:szCs w:val="19"/>
                <w:color w:val="auto"/>
              </w:rPr>
            </w:pPr>
          </w:p>
        </w:tc>
      </w:tr>
      <w:tr>
        <w:trPr>
          <w:trHeight w:val="223"/>
        </w:trPr>
        <w:tc>
          <w:tcPr>
            <w:tcW w:w="4760" w:type="dxa"/>
            <w:vAlign w:val="bottom"/>
          </w:tcPr>
          <w:p>
            <w:pPr>
              <w:ind w:left="20"/>
              <w:spacing w:after="0" w:line="223" w:lineRule="exact"/>
              <w:rPr>
                <w:sz w:val="20"/>
                <w:szCs w:val="20"/>
                <w:color w:val="auto"/>
              </w:rPr>
            </w:pPr>
            <w:r>
              <w:rPr>
                <w:rFonts w:ascii="Calibri" w:cs="Calibri" w:eastAsia="Calibri" w:hAnsi="Calibri"/>
                <w:sz w:val="20"/>
                <w:szCs w:val="20"/>
                <w:color w:val="auto"/>
              </w:rPr>
              <w:t>Total Magnesia Specialtes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234.4</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225.0</w:t>
            </w:r>
          </w:p>
        </w:tc>
        <w:tc>
          <w:tcPr>
            <w:tcW w:w="1780" w:type="dxa"/>
            <w:vAlign w:val="bottom"/>
          </w:tcPr>
          <w:p>
            <w:pPr>
              <w:spacing w:after="0"/>
              <w:rPr>
                <w:sz w:val="19"/>
                <w:szCs w:val="19"/>
                <w:color w:val="auto"/>
              </w:rPr>
            </w:pPr>
          </w:p>
        </w:tc>
      </w:tr>
      <w:tr>
        <w:trPr>
          <w:trHeight w:val="263"/>
        </w:trPr>
        <w:tc>
          <w:tcPr>
            <w:tcW w:w="476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240" w:type="dxa"/>
            <w:vAlign w:val="bottom"/>
            <w:tcBorders>
              <w:bottom w:val="single" w:sz="8" w:color="auto"/>
            </w:tcBorders>
            <w:shd w:val="clear" w:color="auto" w:fill="CFF0FC"/>
          </w:tcPr>
          <w:p>
            <w:pPr>
              <w:jc w:val="right"/>
              <w:ind w:right="21"/>
              <w:spacing w:after="0" w:line="223"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4,684.2</w:t>
            </w:r>
          </w:p>
        </w:tc>
        <w:tc>
          <w:tcPr>
            <w:tcW w:w="180" w:type="dxa"/>
            <w:vAlign w:val="bottom"/>
            <w:tcBorders>
              <w:bottom w:val="single" w:sz="8" w:color="CFF0FC"/>
            </w:tcBorders>
            <w:shd w:val="clear" w:color="auto" w:fill="CFF0FC"/>
          </w:tcPr>
          <w:p>
            <w:pPr>
              <w:spacing w:after="0"/>
              <w:rPr>
                <w:sz w:val="22"/>
                <w:szCs w:val="22"/>
                <w:color w:val="auto"/>
              </w:rPr>
            </w:pPr>
          </w:p>
        </w:tc>
        <w:tc>
          <w:tcPr>
            <w:tcW w:w="17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21"/>
              <w:spacing w:after="0" w:line="223"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3,917.6</w:t>
            </w:r>
          </w:p>
        </w:tc>
        <w:tc>
          <w:tcPr>
            <w:tcW w:w="17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-2425065</wp:posOffset>
            </wp:positionV>
            <wp:extent cx="77470" cy="162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-2425065</wp:posOffset>
            </wp:positionV>
            <wp:extent cx="6858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-1233805</wp:posOffset>
            </wp:positionV>
            <wp:extent cx="7747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-1233805</wp:posOffset>
            </wp:positionV>
            <wp:extent cx="6858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-934085</wp:posOffset>
            </wp:positionV>
            <wp:extent cx="77470" cy="1631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-934085</wp:posOffset>
            </wp:positionV>
            <wp:extent cx="68580" cy="163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-334010</wp:posOffset>
            </wp:positionV>
            <wp:extent cx="77470"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-334010</wp:posOffset>
            </wp:positionV>
            <wp:extent cx="68580"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39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39" w:name="page40"/>
    <w:bookmarkEnd w:id="3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10"/>
          </w:tcPr>
          <w:p>
            <w:pPr>
              <w:ind w:left="40"/>
              <w:spacing w:after="0"/>
              <w:rPr>
                <w:sz w:val="20"/>
                <w:szCs w:val="20"/>
                <w:color w:val="auto"/>
              </w:rPr>
            </w:pPr>
            <w:r>
              <w:rPr>
                <w:rFonts w:ascii="Calibri" w:cs="Calibri" w:eastAsia="Calibri" w:hAnsi="Calibri"/>
                <w:sz w:val="20"/>
                <w:szCs w:val="20"/>
                <w:color w:val="auto"/>
              </w:rPr>
              <w:t>Nine Months Ended September 30,</w:t>
            </w: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1202"/>
              <w:spacing w:after="0" w:line="229" w:lineRule="exact"/>
              <w:rPr>
                <w:sz w:val="20"/>
                <w:szCs w:val="20"/>
                <w:color w:val="auto"/>
              </w:rPr>
            </w:pPr>
            <w:r>
              <w:rPr>
                <w:rFonts w:ascii="Calibri" w:cs="Calibri" w:eastAsia="Calibri" w:hAnsi="Calibri"/>
                <w:sz w:val="20"/>
                <w:szCs w:val="20"/>
                <w:color w:val="auto"/>
              </w:rPr>
              <w:t>2022</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1242"/>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5"/>
          </w:tcPr>
          <w:p>
            <w:pPr>
              <w:ind w:left="120"/>
              <w:spacing w:after="0" w:line="223" w:lineRule="exact"/>
              <w:rPr>
                <w:sz w:val="20"/>
                <w:szCs w:val="20"/>
                <w:color w:val="auto"/>
              </w:rPr>
            </w:pPr>
            <w:r>
              <w:rPr>
                <w:rFonts w:ascii="Calibri" w:cs="Calibri" w:eastAsia="Calibri" w:hAnsi="Calibri"/>
                <w:sz w:val="20"/>
                <w:szCs w:val="20"/>
                <w:color w:val="auto"/>
              </w:rPr>
              <w:t>Amount</w:t>
            </w:r>
          </w:p>
        </w:tc>
        <w:tc>
          <w:tcPr>
            <w:tcW w:w="1380" w:type="dxa"/>
            <w:vAlign w:val="bottom"/>
            <w:gridSpan w:val="2"/>
          </w:tcPr>
          <w:p>
            <w:pPr>
              <w:ind w:left="40"/>
              <w:spacing w:after="0" w:line="223" w:lineRule="exact"/>
              <w:rPr>
                <w:sz w:val="20"/>
                <w:szCs w:val="20"/>
                <w:color w:val="auto"/>
              </w:rPr>
            </w:pPr>
            <w:r>
              <w:rPr>
                <w:rFonts w:ascii="Calibri" w:cs="Calibri" w:eastAsia="Calibri" w:hAnsi="Calibri"/>
                <w:sz w:val="20"/>
                <w:szCs w:val="20"/>
                <w:color w:val="auto"/>
              </w:rPr>
              <w:t>% of Revenues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5"/>
          </w:tcPr>
          <w:p>
            <w:pPr>
              <w:ind w:left="140"/>
              <w:spacing w:after="0" w:line="223" w:lineRule="exact"/>
              <w:rPr>
                <w:sz w:val="20"/>
                <w:szCs w:val="20"/>
                <w:color w:val="auto"/>
              </w:rPr>
            </w:pPr>
            <w:r>
              <w:rPr>
                <w:rFonts w:ascii="Calibri" w:cs="Calibri" w:eastAsia="Calibri" w:hAnsi="Calibri"/>
                <w:sz w:val="20"/>
                <w:szCs w:val="20"/>
                <w:color w:val="auto"/>
              </w:rPr>
              <w:t>Amount</w:t>
            </w:r>
          </w:p>
        </w:tc>
        <w:tc>
          <w:tcPr>
            <w:tcW w:w="1360" w:type="dxa"/>
            <w:vAlign w:val="bottom"/>
          </w:tcPr>
          <w:p>
            <w:pPr>
              <w:jc w:val="center"/>
              <w:ind w:right="42"/>
              <w:spacing w:after="0" w:line="223" w:lineRule="exact"/>
              <w:rPr>
                <w:sz w:val="20"/>
                <w:szCs w:val="20"/>
                <w:color w:val="auto"/>
              </w:rPr>
            </w:pPr>
            <w:r>
              <w:rPr>
                <w:rFonts w:ascii="Calibri" w:cs="Calibri" w:eastAsia="Calibri" w:hAnsi="Calibri"/>
                <w:sz w:val="20"/>
                <w:szCs w:val="20"/>
                <w:color w:val="auto"/>
                <w:w w:val="99"/>
              </w:rPr>
              <w:t>% of Revenues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240" w:type="dxa"/>
            <w:vAlign w:val="bottom"/>
            <w:gridSpan w:val="2"/>
          </w:tcPr>
          <w:p>
            <w:pPr>
              <w:jc w:val="center"/>
              <w:ind w:right="1"/>
              <w:spacing w:after="0" w:line="214" w:lineRule="exact"/>
              <w:rPr>
                <w:sz w:val="20"/>
                <w:szCs w:val="20"/>
                <w:color w:val="auto"/>
              </w:rPr>
            </w:pPr>
            <w:r>
              <w:rPr>
                <w:rFonts w:ascii="Calibri" w:cs="Calibri" w:eastAsia="Calibri" w:hAnsi="Calibri"/>
                <w:sz w:val="20"/>
                <w:szCs w:val="20"/>
                <w:i w:val="1"/>
                <w:iCs w:val="1"/>
                <w:color w:val="auto"/>
                <w:w w:val="93"/>
              </w:rPr>
              <w:t>in</w:t>
            </w:r>
          </w:p>
        </w:tc>
        <w:tc>
          <w:tcPr>
            <w:tcW w:w="1360" w:type="dxa"/>
            <w:vAlign w:val="bottom"/>
            <w:tcBorders>
              <w:top w:val="single" w:sz="8" w:color="auto"/>
            </w:tcBorders>
            <w:gridSpan w:val="2"/>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Gross proft (loss):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Aggregates</w:t>
            </w:r>
          </w:p>
        </w:tc>
        <w:tc>
          <w:tcPr>
            <w:tcW w:w="280" w:type="dxa"/>
            <w:vAlign w:val="bottom"/>
            <w:gridSpan w:val="2"/>
            <w:shd w:val="clear" w:color="auto" w:fill="CFF0FC"/>
          </w:tcPr>
          <w:p>
            <w:pPr>
              <w:jc w:val="right"/>
              <w:ind w:right="21"/>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741.2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27.9</w:t>
            </w:r>
          </w:p>
        </w:tc>
        <w:tc>
          <w:tcPr>
            <w:tcW w:w="460" w:type="dxa"/>
            <w:vAlign w:val="bottom"/>
            <w:gridSpan w:val="3"/>
            <w:shd w:val="clear" w:color="auto" w:fill="CFF0FC"/>
          </w:tcPr>
          <w:p>
            <w:pPr>
              <w:ind w:left="260"/>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687.7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80"/>
              <w:spacing w:after="0" w:line="229" w:lineRule="exact"/>
              <w:rPr>
                <w:sz w:val="20"/>
                <w:szCs w:val="20"/>
                <w:color w:val="auto"/>
              </w:rPr>
            </w:pPr>
            <w:r>
              <w:rPr>
                <w:rFonts w:ascii="Calibri" w:cs="Calibri" w:eastAsia="Calibri" w:hAnsi="Calibri"/>
                <w:sz w:val="20"/>
                <w:szCs w:val="20"/>
                <w:color w:val="auto"/>
              </w:rPr>
              <w:t>Cement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146.1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32.1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101.3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Calibri" w:cs="Calibri" w:eastAsia="Calibri" w:hAnsi="Calibri"/>
                <w:sz w:val="20"/>
                <w:szCs w:val="20"/>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480"/>
              <w:spacing w:after="0" w:line="229" w:lineRule="exact"/>
              <w:rPr>
                <w:sz w:val="20"/>
                <w:szCs w:val="20"/>
                <w:color w:val="auto"/>
              </w:rPr>
            </w:pPr>
            <w:r>
              <w:rPr>
                <w:rFonts w:ascii="Calibri" w:cs="Calibri" w:eastAsia="Calibri" w:hAnsi="Calibri"/>
                <w:sz w:val="20"/>
                <w:szCs w:val="20"/>
                <w:color w:val="auto"/>
              </w:rPr>
              <w:t>Ready mixed concrete</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54.1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69.9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80"/>
              <w:spacing w:after="0" w:line="229" w:lineRule="exact"/>
              <w:rPr>
                <w:sz w:val="20"/>
                <w:szCs w:val="20"/>
                <w:color w:val="auto"/>
              </w:rPr>
            </w:pPr>
            <w:r>
              <w:rPr>
                <w:rFonts w:ascii="Calibri" w:cs="Calibri" w:eastAsia="Calibri" w:hAnsi="Calibri"/>
                <w:sz w:val="20"/>
                <w:szCs w:val="20"/>
                <w:color w:val="auto"/>
              </w:rPr>
              <w:t>Asphalt and paving</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63.6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11.0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59.4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Calibri" w:cs="Calibri" w:eastAsia="Calibri" w:hAnsi="Calibri"/>
                <w:sz w:val="20"/>
                <w:szCs w:val="20"/>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120"/>
              <w:spacing w:after="0" w:line="223" w:lineRule="exact"/>
              <w:rPr>
                <w:sz w:val="20"/>
                <w:szCs w:val="20"/>
                <w:color w:val="auto"/>
              </w:rPr>
            </w:pPr>
            <w:r>
              <w:rPr>
                <w:rFonts w:ascii="Calibri" w:cs="Calibri" w:eastAsia="Calibri" w:hAnsi="Calibri"/>
                <w:sz w:val="20"/>
                <w:szCs w:val="20"/>
                <w:color w:val="auto"/>
              </w:rPr>
              <w:t>Products and services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1,005.0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24.3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918.3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1,006.7</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22.6</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920.0</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line="223" w:lineRule="exact"/>
              <w:rPr>
                <w:sz w:val="20"/>
                <w:szCs w:val="20"/>
                <w:color w:val="auto"/>
              </w:rPr>
            </w:pPr>
            <w:r>
              <w:rPr>
                <w:rFonts w:ascii="Calibri" w:cs="Calibri" w:eastAsia="Calibri" w:hAnsi="Calibri"/>
                <w:sz w:val="20"/>
                <w:szCs w:val="20"/>
                <w:color w:val="auto"/>
              </w:rPr>
              <w:t>Magnesia Specialtes: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120"/>
              <w:spacing w:after="0" w:line="229" w:lineRule="exact"/>
              <w:rPr>
                <w:sz w:val="20"/>
                <w:szCs w:val="20"/>
                <w:color w:val="auto"/>
              </w:rPr>
            </w:pPr>
            <w:r>
              <w:rPr>
                <w:rFonts w:ascii="Calibri" w:cs="Calibri" w:eastAsia="Calibri" w:hAnsi="Calibri"/>
                <w:sz w:val="20"/>
                <w:szCs w:val="20"/>
                <w:color w:val="auto"/>
              </w:rPr>
              <w:t>Products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74.3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34.6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84.4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20"/>
              <w:spacing w:after="0" w:line="229" w:lineRule="exact"/>
              <w:rPr>
                <w:sz w:val="20"/>
                <w:szCs w:val="20"/>
                <w:color w:val="auto"/>
              </w:rPr>
            </w:pPr>
            <w:r>
              <w:rPr>
                <w:rFonts w:ascii="Calibri" w:cs="Calibri" w:eastAsia="Calibri" w:hAnsi="Calibri"/>
                <w:sz w:val="20"/>
                <w:szCs w:val="20"/>
                <w:color w:val="auto"/>
              </w:rPr>
              <w:t>Freight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ind w:right="160"/>
              <w:spacing w:after="0" w:line="229" w:lineRule="exact"/>
              <w:rPr>
                <w:sz w:val="20"/>
                <w:szCs w:val="20"/>
                <w:color w:val="auto"/>
              </w:rPr>
            </w:pPr>
            <w:r>
              <w:rPr>
                <w:rFonts w:ascii="Calibri" w:cs="Calibri" w:eastAsia="Calibri" w:hAnsi="Calibri"/>
                <w:sz w:val="20"/>
                <w:szCs w:val="20"/>
                <w:color w:val="auto"/>
              </w:rPr>
              <w:t>(3.4 )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140"/>
              <w:spacing w:after="0" w:line="229" w:lineRule="exact"/>
              <w:rPr>
                <w:sz w:val="20"/>
                <w:szCs w:val="20"/>
                <w:color w:val="auto"/>
              </w:rPr>
            </w:pPr>
            <w:r>
              <w:rPr>
                <w:rFonts w:ascii="Calibri" w:cs="Calibri" w:eastAsia="Calibri" w:hAnsi="Calibri"/>
                <w:sz w:val="20"/>
                <w:szCs w:val="20"/>
                <w:color w:val="auto"/>
              </w:rPr>
              <w:t>(3.0 )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Magnesia Specialtes</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70.9</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30.2</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81.4</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36.2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line="223" w:lineRule="exact"/>
              <w:rPr>
                <w:sz w:val="20"/>
                <w:szCs w:val="20"/>
                <w:color w:val="auto"/>
              </w:rPr>
            </w:pPr>
            <w:r>
              <w:rPr>
                <w:rFonts w:ascii="Calibri" w:cs="Calibri" w:eastAsia="Calibri" w:hAnsi="Calibri"/>
                <w:sz w:val="20"/>
                <w:szCs w:val="20"/>
                <w:color w:val="auto"/>
              </w:rPr>
              <w:t>Corporate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ind w:right="160"/>
              <w:spacing w:after="0" w:line="223" w:lineRule="exact"/>
              <w:rPr>
                <w:sz w:val="20"/>
                <w:szCs w:val="20"/>
                <w:color w:val="auto"/>
              </w:rPr>
            </w:pPr>
            <w:r>
              <w:rPr>
                <w:rFonts w:ascii="Calibri" w:cs="Calibri" w:eastAsia="Calibri" w:hAnsi="Calibri"/>
                <w:sz w:val="20"/>
                <w:szCs w:val="20"/>
                <w:color w:val="auto"/>
              </w:rPr>
              <w:t>(8.5 )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Calibri" w:cs="Calibri" w:eastAsia="Calibri" w:hAnsi="Calibri"/>
                <w:sz w:val="20"/>
                <w:szCs w:val="20"/>
                <w:color w:val="auto"/>
              </w:rPr>
              <w:t>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21"/>
              <w:spacing w:after="0" w:line="223" w:lineRule="exact"/>
              <w:rPr>
                <w:sz w:val="20"/>
                <w:szCs w:val="20"/>
                <w:color w:val="auto"/>
              </w:rPr>
            </w:pPr>
            <w:r>
              <w:rPr>
                <w:rFonts w:ascii="Calibri" w:cs="Calibri" w:eastAsia="Calibri" w:hAnsi="Calibri"/>
                <w:sz w:val="20"/>
                <w:szCs w:val="20"/>
                <w:color w:val="auto"/>
                <w:w w:val="98"/>
              </w:rPr>
              <w:t>$</w:t>
            </w:r>
          </w:p>
        </w:tc>
        <w:tc>
          <w:tcPr>
            <w:tcW w:w="11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1,069.1</w:t>
            </w: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gridSpan w:val="2"/>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22.8</w:t>
            </w:r>
          </w:p>
        </w:tc>
        <w:tc>
          <w:tcPr>
            <w:tcW w:w="2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w:t>
            </w:r>
          </w:p>
        </w:tc>
        <w:tc>
          <w:tcPr>
            <w:tcW w:w="1140" w:type="dxa"/>
            <w:vAlign w:val="bottom"/>
            <w:tcBorders>
              <w:top w:val="single" w:sz="8" w:color="auto"/>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1,001.7</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25.6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06"/>
        </w:trPr>
        <w:tc>
          <w:tcPr>
            <w:tcW w:w="4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0"/>
          </w:tcPr>
          <w:p>
            <w:pPr>
              <w:ind w:left="20"/>
              <w:spacing w:after="0"/>
              <w:rPr>
                <w:sz w:val="20"/>
                <w:szCs w:val="20"/>
                <w:color w:val="auto"/>
              </w:rPr>
            </w:pPr>
            <w:r>
              <w:rPr>
                <w:rFonts w:ascii="Calibri" w:cs="Calibri" w:eastAsia="Calibri" w:hAnsi="Calibri"/>
                <w:sz w:val="20"/>
                <w:szCs w:val="20"/>
                <w:color w:val="auto"/>
              </w:rPr>
              <w:t>Nine Months Ended September 30,</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right"/>
              <w:ind w:right="20"/>
              <w:spacing w:after="0" w:line="229" w:lineRule="exact"/>
              <w:rPr>
                <w:sz w:val="20"/>
                <w:szCs w:val="20"/>
                <w:color w:val="auto"/>
              </w:rPr>
            </w:pPr>
            <w:r>
              <w:rPr>
                <w:rFonts w:ascii="Calibri" w:cs="Calibri" w:eastAsia="Calibri" w:hAnsi="Calibri"/>
                <w:sz w:val="20"/>
                <w:szCs w:val="20"/>
                <w:color w:val="auto"/>
              </w:rPr>
              <w:t>2022</w:t>
            </w: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jc w:val="right"/>
              <w:spacing w:after="0" w:line="229" w:lineRule="exact"/>
              <w:rPr>
                <w:sz w:val="20"/>
                <w:szCs w:val="20"/>
                <w:color w:val="auto"/>
              </w:rPr>
            </w:pPr>
            <w:r>
              <w:rPr>
                <w:rFonts w:ascii="Calibri" w:cs="Calibri" w:eastAsia="Calibri" w:hAnsi="Calibri"/>
                <w:sz w:val="20"/>
                <w:szCs w:val="20"/>
                <w:color w:val="auto"/>
              </w:rPr>
              <w:t>2021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jc w:val="right"/>
              <w:ind w:right="222"/>
              <w:spacing w:after="0" w:line="172" w:lineRule="exact"/>
              <w:rPr>
                <w:sz w:val="20"/>
                <w:szCs w:val="20"/>
                <w:color w:val="auto"/>
              </w:rPr>
            </w:pPr>
            <w:r>
              <w:rPr>
                <w:rFonts w:ascii="Calibri" w:cs="Calibri" w:eastAsia="Calibri" w:hAnsi="Calibri"/>
                <w:sz w:val="18"/>
                <w:szCs w:val="18"/>
                <w:color w:val="auto"/>
              </w:rPr>
              <w:t>% of Total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62"/>
              <w:spacing w:after="0" w:line="172" w:lineRule="exact"/>
              <w:rPr>
                <w:sz w:val="20"/>
                <w:szCs w:val="20"/>
                <w:color w:val="auto"/>
              </w:rPr>
            </w:pPr>
            <w:r>
              <w:rPr>
                <w:rFonts w:ascii="Calibri" w:cs="Calibri" w:eastAsia="Calibri" w:hAnsi="Calibri"/>
                <w:sz w:val="18"/>
                <w:szCs w:val="18"/>
                <w:color w:val="auto"/>
              </w:rPr>
              <w:t>% of 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5"/>
          </w:tcPr>
          <w:p>
            <w:pPr>
              <w:ind w:left="100"/>
              <w:spacing w:after="0"/>
              <w:rPr>
                <w:sz w:val="20"/>
                <w:szCs w:val="20"/>
                <w:color w:val="auto"/>
              </w:rPr>
            </w:pPr>
            <w:r>
              <w:rPr>
                <w:rFonts w:ascii="Calibri" w:cs="Calibri" w:eastAsia="Calibri" w:hAnsi="Calibri"/>
                <w:sz w:val="20"/>
                <w:szCs w:val="20"/>
                <w:color w:val="auto"/>
              </w:rPr>
              <w:t>Amount</w:t>
            </w:r>
          </w:p>
        </w:tc>
        <w:tc>
          <w:tcPr>
            <w:tcW w:w="1380" w:type="dxa"/>
            <w:vAlign w:val="bottom"/>
            <w:gridSpan w:val="2"/>
          </w:tcPr>
          <w:p>
            <w:pPr>
              <w:jc w:val="right"/>
              <w:ind w:right="261"/>
              <w:spacing w:after="0" w:line="234" w:lineRule="exact"/>
              <w:rPr>
                <w:sz w:val="20"/>
                <w:szCs w:val="20"/>
                <w:color w:val="auto"/>
              </w:rPr>
            </w:pPr>
            <w:r>
              <w:rPr>
                <w:rFonts w:ascii="Calibri" w:cs="Calibri" w:eastAsia="Calibri" w:hAnsi="Calibri"/>
                <w:sz w:val="20"/>
                <w:szCs w:val="20"/>
                <w:color w:val="auto"/>
              </w:rPr>
              <w:t>Revenues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5"/>
          </w:tcPr>
          <w:p>
            <w:pPr>
              <w:ind w:left="120"/>
              <w:spacing w:after="0"/>
              <w:rPr>
                <w:sz w:val="20"/>
                <w:szCs w:val="20"/>
                <w:color w:val="auto"/>
              </w:rPr>
            </w:pPr>
            <w:r>
              <w:rPr>
                <w:rFonts w:ascii="Calibri" w:cs="Calibri" w:eastAsia="Calibri" w:hAnsi="Calibri"/>
                <w:sz w:val="20"/>
                <w:szCs w:val="20"/>
                <w:color w:val="auto"/>
              </w:rPr>
              <w:t>Amount</w:t>
            </w:r>
          </w:p>
        </w:tc>
        <w:tc>
          <w:tcPr>
            <w:tcW w:w="1360" w:type="dxa"/>
            <w:vAlign w:val="bottom"/>
          </w:tcPr>
          <w:p>
            <w:pPr>
              <w:jc w:val="center"/>
              <w:ind w:right="42"/>
              <w:spacing w:after="0" w:line="234" w:lineRule="exact"/>
              <w:rPr>
                <w:sz w:val="20"/>
                <w:szCs w:val="20"/>
                <w:color w:val="auto"/>
              </w:rPr>
            </w:pPr>
            <w:r>
              <w:rPr>
                <w:rFonts w:ascii="Calibri" w:cs="Calibri" w:eastAsia="Calibri" w:hAnsi="Calibri"/>
                <w:sz w:val="20"/>
                <w:szCs w:val="20"/>
                <w:color w:val="auto"/>
                <w:w w:val="99"/>
              </w:rPr>
              <w:t>Revenues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680" w:type="dxa"/>
            <w:vAlign w:val="bottom"/>
            <w:vMerge w:val="restart"/>
          </w:tcPr>
          <w:p>
            <w:pPr>
              <w:ind w:left="20"/>
              <w:spacing w:after="0"/>
              <w:rPr>
                <w:sz w:val="20"/>
                <w:szCs w:val="20"/>
                <w:color w:val="auto"/>
              </w:rPr>
            </w:pPr>
            <w:r>
              <w:rPr>
                <w:rFonts w:ascii="Calibri" w:cs="Calibri" w:eastAsia="Calibri" w:hAnsi="Calibri"/>
                <w:sz w:val="20"/>
                <w:szCs w:val="20"/>
                <w:b w:val="1"/>
                <w:bCs w:val="1"/>
                <w:color w:val="auto"/>
              </w:rPr>
              <w:t>Selling, general &amp; administratve expenses:</w:t>
            </w: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line="234" w:lineRule="exact"/>
              <w:rPr>
                <w:sz w:val="20"/>
                <w:szCs w:val="20"/>
                <w:color w:val="auto"/>
              </w:rPr>
            </w:pPr>
            <w:r>
              <w:rPr>
                <w:rFonts w:ascii="Calibri" w:cs="Calibri" w:eastAsia="Calibri" w:hAnsi="Calibri"/>
                <w:sz w:val="20"/>
                <w:szCs w:val="20"/>
                <w:i w:val="1"/>
                <w:iCs w:val="1"/>
                <w:color w:val="auto"/>
              </w:rPr>
              <w:t>(Dollars</w:t>
            </w:r>
          </w:p>
        </w:tc>
        <w:tc>
          <w:tcPr>
            <w:tcW w:w="260" w:type="dxa"/>
            <w:vAlign w:val="bottom"/>
            <w:gridSpan w:val="2"/>
          </w:tcPr>
          <w:p>
            <w:pPr>
              <w:jc w:val="center"/>
              <w:spacing w:after="0" w:line="210" w:lineRule="exact"/>
              <w:rPr>
                <w:sz w:val="20"/>
                <w:szCs w:val="20"/>
                <w:color w:val="auto"/>
              </w:rPr>
            </w:pPr>
            <w:r>
              <w:rPr>
                <w:rFonts w:ascii="Calibri" w:cs="Calibri" w:eastAsia="Calibri" w:hAnsi="Calibri"/>
                <w:sz w:val="20"/>
                <w:szCs w:val="20"/>
                <w:i w:val="1"/>
                <w:iCs w:val="1"/>
                <w:color w:val="auto"/>
                <w:w w:val="93"/>
              </w:rPr>
              <w:t>in</w:t>
            </w:r>
          </w:p>
        </w:tc>
        <w:tc>
          <w:tcPr>
            <w:tcW w:w="1420" w:type="dxa"/>
            <w:vAlign w:val="bottom"/>
            <w:tcBorders>
              <w:top w:val="single" w:sz="8" w:color="auto"/>
            </w:tcBorders>
            <w:gridSpan w:val="4"/>
          </w:tcPr>
          <w:p>
            <w:pPr>
              <w:spacing w:after="0" w:line="234" w:lineRule="exact"/>
              <w:rPr>
                <w:sz w:val="20"/>
                <w:szCs w:val="20"/>
                <w:color w:val="auto"/>
              </w:rPr>
            </w:pPr>
            <w:r>
              <w:rPr>
                <w:rFonts w:ascii="Calibri" w:cs="Calibri" w:eastAsia="Calibri" w:hAnsi="Calibri"/>
                <w:sz w:val="20"/>
                <w:szCs w:val="20"/>
                <w:i w:val="1"/>
                <w:iCs w:val="1"/>
                <w:color w:val="auto"/>
              </w:rPr>
              <w:t>Millions)</w:t>
            </w:r>
          </w:p>
        </w:tc>
        <w:tc>
          <w:tcPr>
            <w:tcW w:w="220" w:type="dxa"/>
            <w:vAlign w:val="bottom"/>
            <w:gridSpan w:val="2"/>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Building Materials business: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line="229" w:lineRule="exact"/>
              <w:rPr>
                <w:sz w:val="20"/>
                <w:szCs w:val="20"/>
                <w:color w:val="auto"/>
              </w:rPr>
            </w:pPr>
            <w:r>
              <w:rPr>
                <w:rFonts w:ascii="Calibri" w:cs="Calibri" w:eastAsia="Calibri" w:hAnsi="Calibri"/>
                <w:sz w:val="20"/>
                <w:szCs w:val="20"/>
                <w:color w:val="auto"/>
              </w:rPr>
              <w:t>East Group</w:t>
            </w:r>
          </w:p>
        </w:tc>
        <w:tc>
          <w:tcPr>
            <w:tcW w:w="280" w:type="dxa"/>
            <w:vAlign w:val="bottom"/>
            <w:gridSpan w:val="2"/>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gridSpan w:val="2"/>
          </w:tcPr>
          <w:p>
            <w:pPr>
              <w:jc w:val="right"/>
              <w:ind w:right="20"/>
              <w:spacing w:after="0" w:line="229" w:lineRule="exact"/>
              <w:rPr>
                <w:sz w:val="20"/>
                <w:szCs w:val="20"/>
                <w:color w:val="auto"/>
              </w:rPr>
            </w:pPr>
            <w:r>
              <w:rPr>
                <w:rFonts w:ascii="Calibri" w:cs="Calibri" w:eastAsia="Calibri" w:hAnsi="Calibri"/>
                <w:sz w:val="20"/>
                <w:szCs w:val="20"/>
                <w:color w:val="auto"/>
              </w:rPr>
              <w:t>86.5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3"/>
          </w:tcPr>
          <w:p>
            <w:pPr>
              <w:ind w:left="200"/>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77.0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West Group</w:t>
            </w: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line="229" w:lineRule="exact"/>
              <w:rPr>
                <w:sz w:val="20"/>
                <w:szCs w:val="20"/>
                <w:color w:val="auto"/>
              </w:rPr>
            </w:pPr>
            <w:r>
              <w:rPr>
                <w:rFonts w:ascii="Calibri" w:cs="Calibri" w:eastAsia="Calibri" w:hAnsi="Calibri"/>
                <w:sz w:val="20"/>
                <w:szCs w:val="20"/>
                <w:color w:val="auto"/>
              </w:rPr>
              <w:t>124.0</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101.1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
              <w:spacing w:after="0" w:line="223" w:lineRule="exact"/>
              <w:rPr>
                <w:sz w:val="20"/>
                <w:szCs w:val="20"/>
                <w:color w:val="auto"/>
              </w:rPr>
            </w:pPr>
            <w:r>
              <w:rPr>
                <w:rFonts w:ascii="Calibri" w:cs="Calibri" w:eastAsia="Calibri" w:hAnsi="Calibri"/>
                <w:sz w:val="20"/>
                <w:szCs w:val="20"/>
                <w:color w:val="auto"/>
              </w:rPr>
              <w:t>210.5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Calibri" w:cs="Calibri" w:eastAsia="Calibri" w:hAnsi="Calibri"/>
                <w:sz w:val="20"/>
                <w:szCs w:val="20"/>
                <w:color w:val="auto"/>
              </w:rPr>
              <w:t>178.1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line="229" w:lineRule="exact"/>
              <w:rPr>
                <w:sz w:val="20"/>
                <w:szCs w:val="20"/>
                <w:color w:val="auto"/>
              </w:rPr>
            </w:pPr>
            <w:r>
              <w:rPr>
                <w:rFonts w:ascii="Calibri" w:cs="Calibri" w:eastAsia="Calibri" w:hAnsi="Calibri"/>
                <w:sz w:val="20"/>
                <w:szCs w:val="20"/>
                <w:color w:val="auto"/>
              </w:rPr>
              <w:t>12.0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11.1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29" w:lineRule="exact"/>
              <w:rPr>
                <w:sz w:val="20"/>
                <w:szCs w:val="20"/>
                <w:color w:val="auto"/>
              </w:rPr>
            </w:pPr>
            <w:r>
              <w:rPr>
                <w:rFonts w:ascii="Calibri" w:cs="Calibri" w:eastAsia="Calibri" w:hAnsi="Calibri"/>
                <w:sz w:val="20"/>
                <w:szCs w:val="20"/>
                <w:color w:val="auto"/>
              </w:rPr>
              <w:t>Corporate</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line="229" w:lineRule="exact"/>
              <w:rPr>
                <w:sz w:val="20"/>
                <w:szCs w:val="20"/>
                <w:color w:val="auto"/>
              </w:rPr>
            </w:pPr>
            <w:r>
              <w:rPr>
                <w:rFonts w:ascii="Calibri" w:cs="Calibri" w:eastAsia="Calibri" w:hAnsi="Calibri"/>
                <w:sz w:val="20"/>
                <w:szCs w:val="20"/>
                <w:color w:val="auto"/>
              </w:rPr>
              <w:t>73.5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59.0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FF0FC"/>
            </w:tcBorders>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w:t>
            </w:r>
          </w:p>
        </w:tc>
        <w:tc>
          <w:tcPr>
            <w:tcW w:w="280" w:type="dxa"/>
            <w:vAlign w:val="bottom"/>
            <w:tcBorders>
              <w:bottom w:val="single" w:sz="8" w:color="auto"/>
            </w:tcBorders>
            <w:gridSpan w:val="2"/>
            <w:shd w:val="clear" w:color="auto" w:fill="CFF0FC"/>
          </w:tcPr>
          <w:p>
            <w:pPr>
              <w:jc w:val="right"/>
              <w:ind w:right="61"/>
              <w:spacing w:after="0" w:line="223"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auto"/>
            </w:tcBorders>
            <w:gridSpan w:val="2"/>
            <w:shd w:val="clear" w:color="auto" w:fill="CFF0FC"/>
          </w:tcPr>
          <w:p>
            <w:pPr>
              <w:jc w:val="right"/>
              <w:ind w:right="20"/>
              <w:spacing w:after="0" w:line="223" w:lineRule="exact"/>
              <w:rPr>
                <w:sz w:val="20"/>
                <w:szCs w:val="20"/>
                <w:color w:val="auto"/>
              </w:rPr>
            </w:pPr>
            <w:r>
              <w:rPr>
                <w:rFonts w:ascii="Calibri" w:cs="Calibri" w:eastAsia="Calibri" w:hAnsi="Calibri"/>
                <w:sz w:val="20"/>
                <w:szCs w:val="20"/>
                <w:color w:val="auto"/>
              </w:rPr>
              <w:t>296.0</w:t>
            </w: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6.3</w:t>
            </w:r>
          </w:p>
        </w:tc>
        <w:tc>
          <w:tcPr>
            <w:tcW w:w="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gridSpan w:val="2"/>
            <w:shd w:val="clear" w:color="auto" w:fill="CFF0FC"/>
          </w:tcPr>
          <w:p>
            <w:pPr>
              <w:spacing w:after="0" w:line="223"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auto"/>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248.2</w:t>
            </w:r>
          </w:p>
        </w:tc>
        <w:tc>
          <w:tcPr>
            <w:tcW w:w="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6.3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Earnings (Loss) from operatons: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29" w:lineRule="exact"/>
              <w:rPr>
                <w:sz w:val="20"/>
                <w:szCs w:val="20"/>
                <w:color w:val="auto"/>
              </w:rPr>
            </w:pPr>
            <w:r>
              <w:rPr>
                <w:rFonts w:ascii="Calibri" w:cs="Calibri" w:eastAsia="Calibri" w:hAnsi="Calibri"/>
                <w:sz w:val="20"/>
                <w:szCs w:val="20"/>
                <w:color w:val="auto"/>
              </w:rPr>
              <w:t>Building Materials business: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East Group</w:t>
            </w:r>
          </w:p>
        </w:tc>
        <w:tc>
          <w:tcPr>
            <w:tcW w:w="280" w:type="dxa"/>
            <w:vAlign w:val="bottom"/>
            <w:gridSpan w:val="2"/>
            <w:shd w:val="clear" w:color="auto" w:fill="CFF0FC"/>
          </w:tcPr>
          <w:p>
            <w:pPr>
              <w:jc w:val="right"/>
              <w:ind w:right="61"/>
              <w:spacing w:after="0" w:line="229" w:lineRule="exact"/>
              <w:rPr>
                <w:sz w:val="20"/>
                <w:szCs w:val="20"/>
                <w:color w:val="auto"/>
              </w:rPr>
            </w:pPr>
            <w:r>
              <w:rPr>
                <w:rFonts w:ascii="Calibri" w:cs="Calibri" w:eastAsia="Calibri" w:hAnsi="Calibri"/>
                <w:sz w:val="20"/>
                <w:szCs w:val="20"/>
                <w:color w:val="auto"/>
                <w:w w:val="98"/>
              </w:rPr>
              <w:t>$</w:t>
            </w:r>
          </w:p>
        </w:tc>
        <w:tc>
          <w:tcPr>
            <w:tcW w:w="1160" w:type="dxa"/>
            <w:vAlign w:val="bottom"/>
            <w:gridSpan w:val="2"/>
            <w:shd w:val="clear" w:color="auto" w:fill="CFF0FC"/>
          </w:tcPr>
          <w:p>
            <w:pPr>
              <w:jc w:val="right"/>
              <w:ind w:right="20"/>
              <w:spacing w:after="0" w:line="229" w:lineRule="exact"/>
              <w:rPr>
                <w:sz w:val="20"/>
                <w:szCs w:val="20"/>
                <w:color w:val="auto"/>
              </w:rPr>
            </w:pPr>
            <w:r>
              <w:rPr>
                <w:rFonts w:ascii="Calibri" w:cs="Calibri" w:eastAsia="Calibri" w:hAnsi="Calibri"/>
                <w:sz w:val="20"/>
                <w:szCs w:val="20"/>
                <w:color w:val="auto"/>
              </w:rPr>
              <w:t>478.0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465.3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0"/>
              <w:spacing w:after="0" w:line="229" w:lineRule="exact"/>
              <w:rPr>
                <w:sz w:val="20"/>
                <w:szCs w:val="20"/>
                <w:color w:val="auto"/>
              </w:rPr>
            </w:pPr>
            <w:r>
              <w:rPr>
                <w:rFonts w:ascii="Calibri" w:cs="Calibri" w:eastAsia="Calibri" w:hAnsi="Calibri"/>
                <w:sz w:val="20"/>
                <w:szCs w:val="20"/>
                <w:color w:val="auto"/>
              </w:rPr>
              <w:t>West Group</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line="229" w:lineRule="exact"/>
              <w:rPr>
                <w:sz w:val="20"/>
                <w:szCs w:val="20"/>
                <w:color w:val="auto"/>
              </w:rPr>
            </w:pPr>
            <w:r>
              <w:rPr>
                <w:rFonts w:ascii="Calibri" w:cs="Calibri" w:eastAsia="Calibri" w:hAnsi="Calibri"/>
                <w:sz w:val="20"/>
                <w:szCs w:val="20"/>
                <w:color w:val="auto"/>
              </w:rPr>
              <w:t>477.2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284.2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line="223" w:lineRule="exact"/>
              <w:rPr>
                <w:sz w:val="20"/>
                <w:szCs w:val="20"/>
                <w:color w:val="auto"/>
              </w:rPr>
            </w:pPr>
            <w:r>
              <w:rPr>
                <w:rFonts w:ascii="Calibri" w:cs="Calibri" w:eastAsia="Calibri" w:hAnsi="Calibri"/>
                <w:sz w:val="20"/>
                <w:szCs w:val="20"/>
                <w:color w:val="auto"/>
              </w:rPr>
              <w:t>Total Building Materials business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line="223" w:lineRule="exact"/>
              <w:rPr>
                <w:sz w:val="20"/>
                <w:szCs w:val="20"/>
                <w:color w:val="auto"/>
              </w:rPr>
            </w:pPr>
            <w:r>
              <w:rPr>
                <w:rFonts w:ascii="Calibri" w:cs="Calibri" w:eastAsia="Calibri" w:hAnsi="Calibri"/>
                <w:sz w:val="20"/>
                <w:szCs w:val="20"/>
                <w:color w:val="auto"/>
              </w:rPr>
              <w:t>955.2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line="223" w:lineRule="exact"/>
              <w:rPr>
                <w:sz w:val="20"/>
                <w:szCs w:val="20"/>
                <w:color w:val="auto"/>
              </w:rPr>
            </w:pPr>
            <w:r>
              <w:rPr>
                <w:rFonts w:ascii="Calibri" w:cs="Calibri" w:eastAsia="Calibri" w:hAnsi="Calibri"/>
                <w:sz w:val="20"/>
                <w:szCs w:val="20"/>
                <w:color w:val="auto"/>
              </w:rPr>
              <w:t>749.5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29" w:lineRule="exact"/>
              <w:rPr>
                <w:sz w:val="20"/>
                <w:szCs w:val="20"/>
                <w:color w:val="auto"/>
              </w:rPr>
            </w:pPr>
            <w:r>
              <w:rPr>
                <w:rFonts w:ascii="Calibri" w:cs="Calibri" w:eastAsia="Calibri" w:hAnsi="Calibri"/>
                <w:sz w:val="20"/>
                <w:szCs w:val="20"/>
                <w:color w:val="auto"/>
              </w:rPr>
              <w:t>Magnesia Specialtes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0"/>
              <w:spacing w:after="0" w:line="229" w:lineRule="exact"/>
              <w:rPr>
                <w:sz w:val="20"/>
                <w:szCs w:val="20"/>
                <w:color w:val="auto"/>
              </w:rPr>
            </w:pPr>
            <w:r>
              <w:rPr>
                <w:rFonts w:ascii="Calibri" w:cs="Calibri" w:eastAsia="Calibri" w:hAnsi="Calibri"/>
                <w:sz w:val="20"/>
                <w:szCs w:val="20"/>
                <w:color w:val="auto"/>
              </w:rPr>
              <w:t>58.4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Calibri" w:cs="Calibri" w:eastAsia="Calibri" w:hAnsi="Calibri"/>
                <w:sz w:val="20"/>
                <w:szCs w:val="20"/>
                <w:color w:val="auto"/>
              </w:rPr>
              <w:t>69.8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Corporate</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140"/>
              <w:spacing w:after="0" w:line="229" w:lineRule="exact"/>
              <w:rPr>
                <w:sz w:val="20"/>
                <w:szCs w:val="20"/>
                <w:color w:val="auto"/>
              </w:rPr>
            </w:pPr>
            <w:r>
              <w:rPr>
                <w:rFonts w:ascii="Calibri" w:cs="Calibri" w:eastAsia="Calibri" w:hAnsi="Calibri"/>
                <w:sz w:val="20"/>
                <w:szCs w:val="20"/>
                <w:color w:val="auto"/>
              </w:rPr>
              <w:t>(69.2 )</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40"/>
              <w:spacing w:after="0" w:line="229" w:lineRule="exact"/>
              <w:rPr>
                <w:sz w:val="20"/>
                <w:szCs w:val="20"/>
                <w:color w:val="auto"/>
              </w:rPr>
            </w:pPr>
            <w:r>
              <w:rPr>
                <w:rFonts w:ascii="Calibri" w:cs="Calibri" w:eastAsia="Calibri" w:hAnsi="Calibri"/>
                <w:sz w:val="20"/>
                <w:szCs w:val="20"/>
                <w:color w:val="auto"/>
              </w:rPr>
              <w:t>(55.6 )</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tcPr>
          <w:p>
            <w:pPr>
              <w:ind w:left="20"/>
              <w:spacing w:after="0" w:line="223" w:lineRule="exact"/>
              <w:rPr>
                <w:sz w:val="20"/>
                <w:szCs w:val="20"/>
                <w:color w:val="auto"/>
              </w:rPr>
            </w:pPr>
            <w:r>
              <w:rPr>
                <w:rFonts w:ascii="Calibri" w:cs="Calibri" w:eastAsia="Calibri" w:hAnsi="Calibri"/>
                <w:sz w:val="20"/>
                <w:szCs w:val="20"/>
                <w:color w:val="auto"/>
              </w:rPr>
              <w:t>Total</w:t>
            </w:r>
          </w:p>
        </w:tc>
        <w:tc>
          <w:tcPr>
            <w:tcW w:w="280" w:type="dxa"/>
            <w:vAlign w:val="bottom"/>
            <w:tcBorders>
              <w:top w:val="single" w:sz="8" w:color="auto"/>
              <w:bottom w:val="single" w:sz="8" w:color="auto"/>
            </w:tcBorders>
            <w:gridSpan w:val="2"/>
          </w:tcPr>
          <w:p>
            <w:pPr>
              <w:jc w:val="right"/>
              <w:ind w:right="61"/>
              <w:spacing w:after="0" w:line="223" w:lineRule="exact"/>
              <w:rPr>
                <w:sz w:val="20"/>
                <w:szCs w:val="20"/>
                <w:color w:val="auto"/>
              </w:rPr>
            </w:pPr>
            <w:r>
              <w:rPr>
                <w:rFonts w:ascii="Calibri" w:cs="Calibri" w:eastAsia="Calibri" w:hAnsi="Calibri"/>
                <w:sz w:val="20"/>
                <w:szCs w:val="20"/>
                <w:color w:val="auto"/>
                <w:w w:val="98"/>
              </w:rPr>
              <w:t>$</w:t>
            </w:r>
          </w:p>
        </w:tc>
        <w:tc>
          <w:tcPr>
            <w:tcW w:w="116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Calibri" w:cs="Calibri" w:eastAsia="Calibri" w:hAnsi="Calibri"/>
                <w:sz w:val="20"/>
                <w:szCs w:val="20"/>
                <w:color w:val="auto"/>
              </w:rPr>
              <w:t>944.4</w:t>
            </w:r>
          </w:p>
        </w:tc>
        <w:tc>
          <w:tcPr>
            <w:tcW w:w="2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spacing w:after="0" w:line="223" w:lineRule="exact"/>
              <w:rPr>
                <w:sz w:val="20"/>
                <w:szCs w:val="20"/>
                <w:color w:val="auto"/>
              </w:rPr>
            </w:pPr>
            <w:r>
              <w:rPr>
                <w:rFonts w:ascii="Calibri" w:cs="Calibri" w:eastAsia="Calibri" w:hAnsi="Calibri"/>
                <w:sz w:val="20"/>
                <w:szCs w:val="20"/>
                <w:color w:val="auto"/>
              </w:rPr>
              <w:t>20.2</w:t>
            </w:r>
          </w:p>
        </w:tc>
        <w:tc>
          <w:tcPr>
            <w:tcW w:w="6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line="223" w:lineRule="exact"/>
              <w:rPr>
                <w:sz w:val="20"/>
                <w:szCs w:val="20"/>
                <w:color w:val="auto"/>
              </w:rPr>
            </w:pPr>
            <w:r>
              <w:rPr>
                <w:rFonts w:ascii="Calibri" w:cs="Calibri" w:eastAsia="Calibri" w:hAnsi="Calibri"/>
                <w:sz w:val="20"/>
                <w:szCs w:val="20"/>
                <w:color w:val="auto"/>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763.7</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360" w:type="dxa"/>
            <w:vAlign w:val="bottom"/>
            <w:tcBorders>
              <w:top w:val="single" w:sz="8" w:color="CFF0FC"/>
            </w:tcBorders>
          </w:tcPr>
          <w:p>
            <w:pPr>
              <w:jc w:val="right"/>
              <w:spacing w:after="0" w:line="223" w:lineRule="exact"/>
              <w:rPr>
                <w:sz w:val="20"/>
                <w:szCs w:val="20"/>
                <w:color w:val="auto"/>
              </w:rPr>
            </w:pPr>
            <w:r>
              <w:rPr>
                <w:rFonts w:ascii="Calibri" w:cs="Calibri" w:eastAsia="Calibri" w:hAnsi="Calibri"/>
                <w:sz w:val="20"/>
                <w:szCs w:val="20"/>
                <w:color w:val="auto"/>
              </w:rPr>
              <w:t>19.5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-4371340</wp:posOffset>
            </wp:positionV>
            <wp:extent cx="7747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-4371340</wp:posOffset>
            </wp:positionV>
            <wp:extent cx="6858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-3771265</wp:posOffset>
            </wp:positionV>
            <wp:extent cx="77470" cy="1631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-3771265</wp:posOffset>
            </wp:positionV>
            <wp:extent cx="68580" cy="1631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-3462655</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-3445510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-3462655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-3445510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-1979295</wp:posOffset>
            </wp:positionV>
            <wp:extent cx="7747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-1979295</wp:posOffset>
            </wp:positionV>
            <wp:extent cx="6858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-1379220</wp:posOffset>
            </wp:positionV>
            <wp:extent cx="2168525"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68525" cy="17145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-179705</wp:posOffset>
            </wp:positionV>
            <wp:extent cx="77470" cy="180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-179705</wp:posOffset>
            </wp:positionV>
            <wp:extent cx="68580" cy="1803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0" w:name="page41"/>
    <w:bookmarkEnd w:id="40"/>
    <w:p>
      <w:pPr>
        <w:jc w:val="center"/>
        <w:ind w:right="8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80"/>
        <w:spacing w:after="0" w:line="225" w:lineRule="auto"/>
        <w:rPr>
          <w:sz w:val="20"/>
          <w:szCs w:val="20"/>
          <w:color w:val="auto"/>
        </w:rPr>
      </w:pPr>
      <w:r>
        <w:rPr>
          <w:rFonts w:ascii="Calibri" w:cs="Calibri" w:eastAsia="Calibri" w:hAnsi="Calibri"/>
          <w:sz w:val="20"/>
          <w:szCs w:val="20"/>
          <w:color w:val="auto"/>
        </w:rPr>
        <w:t>FORM 10-Q</w:t>
      </w:r>
    </w:p>
    <w:p>
      <w:pPr>
        <w:jc w:val="center"/>
        <w:ind w:right="40"/>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40"/>
        <w:spacing w:after="0" w:line="225" w:lineRule="auto"/>
        <w:rPr>
          <w:sz w:val="20"/>
          <w:szCs w:val="20"/>
          <w:color w:val="auto"/>
        </w:rPr>
      </w:pPr>
      <w:r>
        <w:rPr>
          <w:rFonts w:ascii="Calibri" w:cs="Calibri" w:eastAsia="Calibri" w:hAnsi="Calibri"/>
          <w:sz w:val="20"/>
          <w:szCs w:val="20"/>
          <w:color w:val="auto"/>
        </w:rPr>
        <w:t>RESULTS OF OPERATIONS</w:t>
      </w:r>
    </w:p>
    <w:p>
      <w:pPr>
        <w:jc w:val="center"/>
        <w:ind w:right="-1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225" w:lineRule="auto"/>
        <w:rPr>
          <w:sz w:val="20"/>
          <w:szCs w:val="20"/>
          <w:color w:val="auto"/>
        </w:rPr>
      </w:pPr>
      <w:r>
        <w:rPr>
          <w:rFonts w:ascii="Calibri" w:cs="Calibri" w:eastAsia="Calibri" w:hAnsi="Calibri"/>
          <w:sz w:val="20"/>
          <w:szCs w:val="20"/>
          <w:color w:val="auto"/>
        </w:rPr>
        <w:t>The following tables present aggregates volume and pricing variance data and shipments data by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8"/>
          </w:tcPr>
          <w:p>
            <w:pPr>
              <w:jc w:val="center"/>
              <w:ind w:right="160"/>
              <w:spacing w:after="0"/>
              <w:rPr>
                <w:sz w:val="20"/>
                <w:szCs w:val="20"/>
                <w:color w:val="auto"/>
              </w:rPr>
            </w:pPr>
            <w:r>
              <w:rPr>
                <w:rFonts w:ascii="Calibri" w:cs="Calibri" w:eastAsia="Calibri" w:hAnsi="Calibri"/>
                <w:sz w:val="20"/>
                <w:szCs w:val="20"/>
                <w:color w:val="auto"/>
              </w:rPr>
              <w:t>Nine Months Ended</w:t>
            </w:r>
          </w:p>
        </w:tc>
        <w:tc>
          <w:tcPr>
            <w:tcW w:w="0" w:type="dxa"/>
            <w:vAlign w:val="bottom"/>
          </w:tcPr>
          <w:p>
            <w:pPr>
              <w:spacing w:after="0"/>
              <w:rPr>
                <w:sz w:val="1"/>
                <w:szCs w:val="1"/>
                <w:color w:val="auto"/>
              </w:rPr>
            </w:pPr>
          </w:p>
        </w:tc>
      </w:tr>
      <w:tr>
        <w:trPr>
          <w:trHeight w:val="247"/>
        </w:trPr>
        <w:tc>
          <w:tcPr>
            <w:tcW w:w="7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8"/>
          </w:tcPr>
          <w:p>
            <w:pPr>
              <w:jc w:val="center"/>
              <w:ind w:right="160"/>
              <w:spacing w:after="0" w:line="234" w:lineRule="exact"/>
              <w:rPr>
                <w:sz w:val="20"/>
                <w:szCs w:val="20"/>
                <w:color w:val="auto"/>
              </w:rPr>
            </w:pPr>
            <w:r>
              <w:rPr>
                <w:rFonts w:ascii="Calibri" w:cs="Calibri" w:eastAsia="Calibri" w:hAnsi="Calibri"/>
                <w:sz w:val="20"/>
                <w:szCs w:val="20"/>
                <w:color w:val="auto"/>
              </w:rPr>
              <w:t>September 30, 2022</w:t>
            </w:r>
          </w:p>
        </w:tc>
        <w:tc>
          <w:tcPr>
            <w:tcW w:w="0" w:type="dxa"/>
            <w:vAlign w:val="bottom"/>
          </w:tcPr>
          <w:p>
            <w:pPr>
              <w:spacing w:after="0"/>
              <w:rPr>
                <w:sz w:val="1"/>
                <w:szCs w:val="1"/>
                <w:color w:val="auto"/>
              </w:rPr>
            </w:pPr>
          </w:p>
        </w:tc>
      </w:tr>
      <w:tr>
        <w:trPr>
          <w:trHeight w:val="230"/>
        </w:trPr>
        <w:tc>
          <w:tcPr>
            <w:tcW w:w="7080" w:type="dxa"/>
            <w:vAlign w:val="bottom"/>
            <w:vMerge w:val="restart"/>
          </w:tcPr>
          <w:p>
            <w:pPr>
              <w:ind w:left="20"/>
              <w:spacing w:after="0"/>
              <w:rPr>
                <w:sz w:val="20"/>
                <w:szCs w:val="20"/>
                <w:color w:val="auto"/>
              </w:rPr>
            </w:pPr>
            <w:r>
              <w:rPr>
                <w:rFonts w:ascii="Calibri" w:cs="Calibri" w:eastAsia="Calibri" w:hAnsi="Calibri"/>
                <w:sz w:val="20"/>
                <w:szCs w:val="20"/>
                <w:b w:val="1"/>
                <w:bCs w:val="1"/>
                <w:color w:val="auto"/>
              </w:rPr>
              <w:t>Volume/Pricing Variance</w:t>
            </w:r>
            <w:r>
              <w:rPr>
                <w:rFonts w:ascii="Calibri" w:cs="Calibri" w:eastAsia="Calibri" w:hAnsi="Calibri"/>
                <w:sz w:val="26"/>
                <w:szCs w:val="26"/>
                <w:color w:val="auto"/>
                <w:vertAlign w:val="superscript"/>
              </w:rPr>
              <w:t>(1)</w:t>
            </w:r>
          </w:p>
        </w:tc>
        <w:tc>
          <w:tcPr>
            <w:tcW w:w="2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5"/>
          </w:tcPr>
          <w:p>
            <w:pPr>
              <w:ind w:left="600"/>
              <w:spacing w:after="0" w:line="229" w:lineRule="exact"/>
              <w:rPr>
                <w:sz w:val="20"/>
                <w:szCs w:val="20"/>
                <w:color w:val="auto"/>
              </w:rPr>
            </w:pPr>
            <w:r>
              <w:rPr>
                <w:rFonts w:ascii="Calibri" w:cs="Calibri" w:eastAsia="Calibri" w:hAnsi="Calibri"/>
                <w:sz w:val="20"/>
                <w:szCs w:val="20"/>
                <w:color w:val="auto"/>
              </w:rPr>
              <w:t>Volume</w:t>
            </w:r>
          </w:p>
        </w:tc>
        <w:tc>
          <w:tcPr>
            <w:tcW w:w="1300" w:type="dxa"/>
            <w:vAlign w:val="bottom"/>
            <w:tcBorders>
              <w:top w:val="single" w:sz="8" w:color="auto"/>
            </w:tcBorders>
          </w:tcPr>
          <w:p>
            <w:pPr>
              <w:jc w:val="right"/>
              <w:ind w:right="602"/>
              <w:spacing w:after="0" w:line="229" w:lineRule="exact"/>
              <w:rPr>
                <w:sz w:val="20"/>
                <w:szCs w:val="20"/>
                <w:color w:val="auto"/>
              </w:rPr>
            </w:pPr>
            <w:r>
              <w:rPr>
                <w:rFonts w:ascii="Calibri" w:cs="Calibri" w:eastAsia="Calibri" w:hAnsi="Calibri"/>
                <w:sz w:val="20"/>
                <w:szCs w:val="20"/>
                <w:color w:val="auto"/>
              </w:rPr>
              <w:t>Pricing</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0"/>
              <w:spacing w:after="0" w:line="229" w:lineRule="exact"/>
              <w:rPr>
                <w:sz w:val="20"/>
                <w:szCs w:val="20"/>
                <w:color w:val="auto"/>
              </w:rPr>
            </w:pPr>
            <w:r>
              <w:rPr>
                <w:rFonts w:ascii="Calibri" w:cs="Calibri" w:eastAsia="Calibri" w:hAnsi="Calibri"/>
                <w:sz w:val="20"/>
                <w:szCs w:val="20"/>
                <w:color w:val="auto"/>
              </w:rPr>
              <w:t>East Group</w:t>
            </w:r>
          </w:p>
        </w:tc>
        <w:tc>
          <w:tcPr>
            <w:tcW w:w="20" w:type="dxa"/>
            <w:vAlign w:val="bottom"/>
          </w:tcPr>
          <w:p>
            <w:pPr>
              <w:spacing w:after="0"/>
              <w:rPr>
                <w:sz w:val="19"/>
                <w:szCs w:val="19"/>
                <w:color w:val="auto"/>
              </w:rPr>
            </w:pPr>
          </w:p>
        </w:tc>
        <w:tc>
          <w:tcPr>
            <w:tcW w:w="2740" w:type="dxa"/>
            <w:vAlign w:val="bottom"/>
            <w:gridSpan w:val="5"/>
          </w:tcPr>
          <w:p>
            <w:pPr>
              <w:jc w:val="right"/>
              <w:ind w:right="740"/>
              <w:spacing w:after="0" w:line="229" w:lineRule="exact"/>
              <w:rPr>
                <w:sz w:val="20"/>
                <w:szCs w:val="20"/>
                <w:color w:val="auto"/>
              </w:rPr>
            </w:pPr>
            <w:r>
              <w:rPr>
                <w:rFonts w:ascii="Calibri" w:cs="Calibri" w:eastAsia="Calibri" w:hAnsi="Calibri"/>
                <w:sz w:val="20"/>
                <w:szCs w:val="20"/>
                <w:color w:val="auto"/>
              </w:rPr>
              <w:t>— %</w:t>
            </w:r>
          </w:p>
        </w:tc>
        <w:tc>
          <w:tcPr>
            <w:tcW w:w="1440" w:type="dxa"/>
            <w:vAlign w:val="bottom"/>
            <w:gridSpan w:val="3"/>
          </w:tcPr>
          <w:p>
            <w:pPr>
              <w:jc w:val="right"/>
              <w:spacing w:after="0" w:line="229" w:lineRule="exact"/>
              <w:rPr>
                <w:sz w:val="20"/>
                <w:szCs w:val="20"/>
                <w:color w:val="auto"/>
              </w:rPr>
            </w:pPr>
            <w:r>
              <w:rPr>
                <w:rFonts w:ascii="Calibri" w:cs="Calibri" w:eastAsia="Calibri" w:hAnsi="Calibri"/>
                <w:sz w:val="20"/>
                <w:szCs w:val="20"/>
                <w:color w:val="auto"/>
              </w:rPr>
              <w:t>8.5 %</w:t>
            </w:r>
          </w:p>
        </w:tc>
        <w:tc>
          <w:tcPr>
            <w:tcW w:w="0" w:type="dxa"/>
            <w:vAlign w:val="bottom"/>
          </w:tcPr>
          <w:p>
            <w:pPr>
              <w:spacing w:after="0"/>
              <w:rPr>
                <w:sz w:val="1"/>
                <w:szCs w:val="1"/>
                <w:color w:val="auto"/>
              </w:rPr>
            </w:pPr>
          </w:p>
        </w:tc>
      </w:tr>
      <w:tr>
        <w:trPr>
          <w:trHeight w:val="172"/>
        </w:trPr>
        <w:tc>
          <w:tcPr>
            <w:tcW w:w="7080" w:type="dxa"/>
            <w:vAlign w:val="bottom"/>
          </w:tcPr>
          <w:p>
            <w:pPr>
              <w:ind w:left="200"/>
              <w:spacing w:after="0" w:line="172" w:lineRule="exact"/>
              <w:rPr>
                <w:sz w:val="20"/>
                <w:szCs w:val="20"/>
                <w:color w:val="auto"/>
              </w:rPr>
            </w:pPr>
            <w:r>
              <w:rPr>
                <w:rFonts w:ascii="Calibri" w:cs="Calibri" w:eastAsia="Calibri" w:hAnsi="Calibri"/>
                <w:sz w:val="18"/>
                <w:szCs w:val="18"/>
                <w:color w:val="auto"/>
              </w:rPr>
              <w:t>West Group</w:t>
            </w:r>
          </w:p>
        </w:tc>
        <w:tc>
          <w:tcPr>
            <w:tcW w:w="2140" w:type="dxa"/>
            <w:vAlign w:val="bottom"/>
            <w:gridSpan w:val="4"/>
          </w:tcPr>
          <w:p>
            <w:pPr>
              <w:jc w:val="right"/>
              <w:ind w:right="120"/>
              <w:spacing w:after="0" w:line="172" w:lineRule="exact"/>
              <w:rPr>
                <w:sz w:val="20"/>
                <w:szCs w:val="20"/>
                <w:color w:val="auto"/>
              </w:rPr>
            </w:pPr>
            <w:r>
              <w:rPr>
                <w:rFonts w:ascii="Calibri" w:cs="Calibri" w:eastAsia="Calibri" w:hAnsi="Calibri"/>
                <w:sz w:val="18"/>
                <w:szCs w:val="18"/>
                <w:color w:val="auto"/>
              </w:rPr>
              <w:t>25.2 %</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3"/>
          </w:tcPr>
          <w:p>
            <w:pPr>
              <w:jc w:val="right"/>
              <w:spacing w:after="0" w:line="172" w:lineRule="exact"/>
              <w:rPr>
                <w:sz w:val="20"/>
                <w:szCs w:val="20"/>
                <w:color w:val="auto"/>
              </w:rPr>
            </w:pPr>
            <w:r>
              <w:rPr>
                <w:rFonts w:ascii="Calibri" w:cs="Calibri" w:eastAsia="Calibri" w:hAnsi="Calibri"/>
                <w:sz w:val="18"/>
                <w:szCs w:val="18"/>
                <w:color w:val="auto"/>
              </w:rPr>
              <w:t>11.0 %</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line="229" w:lineRule="exact"/>
              <w:rPr>
                <w:sz w:val="20"/>
                <w:szCs w:val="20"/>
                <w:color w:val="auto"/>
              </w:rPr>
            </w:pPr>
            <w:r>
              <w:rPr>
                <w:rFonts w:ascii="Calibri" w:cs="Calibri" w:eastAsia="Calibri" w:hAnsi="Calibri"/>
                <w:sz w:val="19"/>
                <w:szCs w:val="19"/>
                <w:color w:val="auto"/>
              </w:rPr>
              <w:t>Total aggregates operatons</w:t>
            </w:r>
            <w:r>
              <w:rPr>
                <w:rFonts w:ascii="Calibri" w:cs="Calibri" w:eastAsia="Calibri" w:hAnsi="Calibri"/>
                <w:sz w:val="25"/>
                <w:szCs w:val="25"/>
                <w:color w:val="auto"/>
                <w:vertAlign w:val="superscript"/>
              </w:rPr>
              <w:t>(2)</w:t>
            </w:r>
          </w:p>
        </w:tc>
        <w:tc>
          <w:tcPr>
            <w:tcW w:w="2140" w:type="dxa"/>
            <w:vAlign w:val="bottom"/>
            <w:gridSpan w:val="4"/>
          </w:tcPr>
          <w:p>
            <w:pPr>
              <w:jc w:val="right"/>
              <w:ind w:right="120"/>
              <w:spacing w:after="0" w:line="229" w:lineRule="exact"/>
              <w:rPr>
                <w:sz w:val="20"/>
                <w:szCs w:val="20"/>
                <w:color w:val="auto"/>
              </w:rPr>
            </w:pPr>
            <w:r>
              <w:rPr>
                <w:rFonts w:ascii="Calibri" w:cs="Calibri" w:eastAsia="Calibri" w:hAnsi="Calibri"/>
                <w:sz w:val="20"/>
                <w:szCs w:val="20"/>
                <w:color w:val="auto"/>
              </w:rPr>
              <w:t>8.9 %</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3"/>
          </w:tcPr>
          <w:p>
            <w:pPr>
              <w:jc w:val="right"/>
              <w:spacing w:after="0" w:line="229" w:lineRule="exact"/>
              <w:rPr>
                <w:sz w:val="20"/>
                <w:szCs w:val="20"/>
                <w:color w:val="auto"/>
              </w:rPr>
            </w:pPr>
            <w:r>
              <w:rPr>
                <w:rFonts w:ascii="Calibri" w:cs="Calibri" w:eastAsia="Calibri" w:hAnsi="Calibri"/>
                <w:sz w:val="20"/>
                <w:szCs w:val="20"/>
                <w:color w:val="auto"/>
              </w:rPr>
              <w:t>8.9 %</w:t>
            </w:r>
          </w:p>
        </w:tc>
        <w:tc>
          <w:tcPr>
            <w:tcW w:w="0" w:type="dxa"/>
            <w:vAlign w:val="bottom"/>
          </w:tcPr>
          <w:p>
            <w:pPr>
              <w:spacing w:after="0"/>
              <w:rPr>
                <w:sz w:val="1"/>
                <w:szCs w:val="1"/>
                <w:color w:val="auto"/>
              </w:rPr>
            </w:pPr>
          </w:p>
        </w:tc>
      </w:tr>
      <w:tr>
        <w:trPr>
          <w:trHeight w:val="287"/>
        </w:trPr>
        <w:tc>
          <w:tcPr>
            <w:tcW w:w="7080" w:type="dxa"/>
            <w:vAlign w:val="bottom"/>
          </w:tcPr>
          <w:p>
            <w:pPr>
              <w:ind w:left="20"/>
              <w:spacing w:after="0" w:line="287" w:lineRule="exact"/>
              <w:rPr>
                <w:sz w:val="20"/>
                <w:szCs w:val="20"/>
                <w:color w:val="auto"/>
              </w:rPr>
            </w:pPr>
            <w:r>
              <w:rPr>
                <w:rFonts w:ascii="Calibri" w:cs="Calibri" w:eastAsia="Calibri" w:hAnsi="Calibri"/>
                <w:sz w:val="20"/>
                <w:szCs w:val="20"/>
                <w:color w:val="auto"/>
              </w:rPr>
              <w:t>Organic aggregates operatons</w:t>
            </w:r>
            <w:r>
              <w:rPr>
                <w:rFonts w:ascii="Calibri" w:cs="Calibri" w:eastAsia="Calibri" w:hAnsi="Calibri"/>
                <w:sz w:val="26"/>
                <w:szCs w:val="26"/>
                <w:color w:val="auto"/>
                <w:vertAlign w:val="superscript"/>
              </w:rPr>
              <w:t>(3)</w:t>
            </w:r>
          </w:p>
        </w:tc>
        <w:tc>
          <w:tcPr>
            <w:tcW w:w="2140" w:type="dxa"/>
            <w:vAlign w:val="bottom"/>
            <w:gridSpan w:val="4"/>
          </w:tcPr>
          <w:p>
            <w:pPr>
              <w:jc w:val="right"/>
              <w:ind w:right="120"/>
              <w:spacing w:after="0"/>
              <w:rPr>
                <w:sz w:val="20"/>
                <w:szCs w:val="20"/>
                <w:color w:val="auto"/>
              </w:rPr>
            </w:pPr>
            <w:r>
              <w:rPr>
                <w:rFonts w:ascii="Calibri" w:cs="Calibri" w:eastAsia="Calibri" w:hAnsi="Calibri"/>
                <w:sz w:val="20"/>
                <w:szCs w:val="20"/>
                <w:color w:val="auto"/>
              </w:rPr>
              <w:t>2.0 %</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Calibri" w:cs="Calibri" w:eastAsia="Calibri" w:hAnsi="Calibri"/>
                <w:sz w:val="20"/>
                <w:szCs w:val="20"/>
                <w:color w:val="auto"/>
              </w:rPr>
              <w:t>9.4 %</w:t>
            </w:r>
          </w:p>
        </w:tc>
        <w:tc>
          <w:tcPr>
            <w:tcW w:w="0" w:type="dxa"/>
            <w:vAlign w:val="bottom"/>
          </w:tcPr>
          <w:p>
            <w:pPr>
              <w:spacing w:after="0"/>
              <w:rPr>
                <w:sz w:val="1"/>
                <w:szCs w:val="1"/>
                <w:color w:val="auto"/>
              </w:rPr>
            </w:pPr>
          </w:p>
        </w:tc>
      </w:tr>
      <w:tr>
        <w:trPr>
          <w:trHeight w:val="435"/>
        </w:trPr>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8"/>
          </w:tcPr>
          <w:p>
            <w:pPr>
              <w:jc w:val="center"/>
              <w:ind w:right="160"/>
              <w:spacing w:after="0"/>
              <w:rPr>
                <w:sz w:val="20"/>
                <w:szCs w:val="20"/>
                <w:color w:val="auto"/>
              </w:rPr>
            </w:pPr>
            <w:r>
              <w:rPr>
                <w:rFonts w:ascii="Calibri" w:cs="Calibri" w:eastAsia="Calibri" w:hAnsi="Calibri"/>
                <w:sz w:val="20"/>
                <w:szCs w:val="20"/>
                <w:color w:val="auto"/>
              </w:rPr>
              <w:t>Nine Months Ended</w:t>
            </w:r>
          </w:p>
        </w:tc>
        <w:tc>
          <w:tcPr>
            <w:tcW w:w="0" w:type="dxa"/>
            <w:vAlign w:val="bottom"/>
          </w:tcPr>
          <w:p>
            <w:pPr>
              <w:spacing w:after="0"/>
              <w:rPr>
                <w:sz w:val="1"/>
                <w:szCs w:val="1"/>
                <w:color w:val="auto"/>
              </w:rPr>
            </w:pPr>
          </w:p>
        </w:tc>
      </w:tr>
      <w:tr>
        <w:trPr>
          <w:trHeight w:val="247"/>
        </w:trPr>
        <w:tc>
          <w:tcPr>
            <w:tcW w:w="7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tcBorders>
              <w:bottom w:val="single" w:sz="8" w:color="auto"/>
            </w:tcBorders>
            <w:gridSpan w:val="5"/>
          </w:tcPr>
          <w:p>
            <w:pPr>
              <w:jc w:val="center"/>
              <w:ind w:left="1201"/>
              <w:spacing w:after="0" w:line="234" w:lineRule="exact"/>
              <w:rPr>
                <w:sz w:val="20"/>
                <w:szCs w:val="20"/>
                <w:color w:val="auto"/>
              </w:rPr>
            </w:pPr>
            <w:r>
              <w:rPr>
                <w:rFonts w:ascii="Calibri" w:cs="Calibri" w:eastAsia="Calibri" w:hAnsi="Calibri"/>
                <w:sz w:val="20"/>
                <w:szCs w:val="20"/>
                <w:color w:val="auto"/>
              </w:rPr>
              <w:t>September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Borders>
              <w:bottom w:val="single" w:sz="8" w:color="auto"/>
            </w:tcBorders>
          </w:tcPr>
          <w:p>
            <w:pPr>
              <w:jc w:val="right"/>
              <w:ind w:right="601"/>
              <w:spacing w:after="0" w:line="229" w:lineRule="exact"/>
              <w:rPr>
                <w:sz w:val="20"/>
                <w:szCs w:val="20"/>
                <w:color w:val="auto"/>
              </w:rPr>
            </w:pPr>
            <w:r>
              <w:rPr>
                <w:rFonts w:ascii="Calibri" w:cs="Calibri" w:eastAsia="Calibri" w:hAnsi="Calibri"/>
                <w:sz w:val="20"/>
                <w:szCs w:val="20"/>
                <w:color w:val="auto"/>
              </w:rPr>
              <w:t>2022</w:t>
            </w:r>
          </w:p>
        </w:tc>
        <w:tc>
          <w:tcPr>
            <w:tcW w:w="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42"/>
              <w:spacing w:after="0" w:line="229" w:lineRule="exact"/>
              <w:rPr>
                <w:sz w:val="20"/>
                <w:szCs w:val="20"/>
                <w:color w:val="auto"/>
              </w:rPr>
            </w:pPr>
            <w:r>
              <w:rPr>
                <w:rFonts w:ascii="Calibri" w:cs="Calibri" w:eastAsia="Calibri" w:hAnsi="Calibri"/>
                <w:sz w:val="20"/>
                <w:szCs w:val="20"/>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gridSpan w:val="5"/>
          </w:tcPr>
          <w:p>
            <w:pPr>
              <w:jc w:val="center"/>
              <w:ind w:left="1181"/>
              <w:spacing w:after="0" w:line="223" w:lineRule="exact"/>
              <w:rPr>
                <w:sz w:val="20"/>
                <w:szCs w:val="20"/>
                <w:color w:val="auto"/>
              </w:rPr>
            </w:pPr>
            <w:r>
              <w:rPr>
                <w:rFonts w:ascii="Calibri" w:cs="Calibri" w:eastAsia="Calibri" w:hAnsi="Calibri"/>
                <w:sz w:val="20"/>
                <w:szCs w:val="20"/>
                <w:i w:val="1"/>
                <w:iCs w:val="1"/>
                <w:color w:val="auto"/>
              </w:rPr>
              <w:t>(Tons 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b w:val="1"/>
                <w:bCs w:val="1"/>
                <w:color w:val="auto"/>
              </w:rPr>
              <w:t>Shipments</w:t>
            </w:r>
          </w:p>
        </w:tc>
        <w:tc>
          <w:tcPr>
            <w:tcW w:w="2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Pr>
          <w:p>
            <w:pPr>
              <w:ind w:left="200"/>
              <w:spacing w:after="0" w:line="234" w:lineRule="exact"/>
              <w:rPr>
                <w:sz w:val="20"/>
                <w:szCs w:val="20"/>
                <w:color w:val="auto"/>
              </w:rPr>
            </w:pPr>
            <w:r>
              <w:rPr>
                <w:rFonts w:ascii="Calibri" w:cs="Calibri" w:eastAsia="Calibri" w:hAnsi="Calibri"/>
                <w:sz w:val="20"/>
                <w:szCs w:val="20"/>
                <w:color w:val="auto"/>
              </w:rPr>
              <w:t>East Group</w:t>
            </w:r>
          </w:p>
        </w:tc>
        <w:tc>
          <w:tcPr>
            <w:tcW w:w="1900" w:type="dxa"/>
            <w:vAlign w:val="bottom"/>
            <w:gridSpan w:val="3"/>
            <w:vMerge w:val="restart"/>
          </w:tcPr>
          <w:p>
            <w:pPr>
              <w:jc w:val="right"/>
              <w:ind w:right="20"/>
              <w:spacing w:after="0"/>
              <w:rPr>
                <w:sz w:val="20"/>
                <w:szCs w:val="20"/>
                <w:color w:val="auto"/>
              </w:rPr>
            </w:pPr>
            <w:r>
              <w:rPr>
                <w:rFonts w:ascii="Calibri" w:cs="Calibri" w:eastAsia="Calibri" w:hAnsi="Calibri"/>
                <w:sz w:val="20"/>
                <w:szCs w:val="20"/>
                <w:color w:val="auto"/>
              </w:rPr>
              <w:t>95.2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vMerge w:val="restart"/>
          </w:tcPr>
          <w:p>
            <w:pPr>
              <w:jc w:val="right"/>
              <w:spacing w:after="0"/>
              <w:rPr>
                <w:sz w:val="20"/>
                <w:szCs w:val="20"/>
                <w:color w:val="auto"/>
              </w:rPr>
            </w:pPr>
            <w:r>
              <w:rPr>
                <w:rFonts w:ascii="Calibri" w:cs="Calibri" w:eastAsia="Calibri" w:hAnsi="Calibri"/>
                <w:sz w:val="20"/>
                <w:szCs w:val="20"/>
                <w:color w:val="auto"/>
              </w:rPr>
              <w:t>95.2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080" w:type="dxa"/>
            <w:vAlign w:val="bottom"/>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080" w:type="dxa"/>
            <w:vAlign w:val="bottom"/>
            <w:shd w:val="clear" w:color="auto" w:fill="CFF0FC"/>
          </w:tcPr>
          <w:p>
            <w:pPr>
              <w:ind w:left="200"/>
              <w:spacing w:after="0"/>
              <w:rPr>
                <w:sz w:val="20"/>
                <w:szCs w:val="20"/>
                <w:color w:val="auto"/>
              </w:rPr>
            </w:pPr>
            <w:r>
              <w:rPr>
                <w:rFonts w:ascii="Calibri" w:cs="Calibri" w:eastAsia="Calibri" w:hAnsi="Calibri"/>
                <w:sz w:val="20"/>
                <w:szCs w:val="20"/>
                <w:color w:val="auto"/>
              </w:rPr>
              <w:t>West Group</w:t>
            </w:r>
          </w:p>
        </w:tc>
        <w:tc>
          <w:tcPr>
            <w:tcW w:w="20" w:type="dxa"/>
            <w:vAlign w:val="bottom"/>
            <w:vMerge w:val="restart"/>
            <w:shd w:val="clear" w:color="auto" w:fill="CFF0FC"/>
          </w:tcPr>
          <w:p>
            <w:pPr>
              <w:spacing w:after="0"/>
              <w:rPr>
                <w:sz w:val="21"/>
                <w:szCs w:val="21"/>
                <w:color w:val="auto"/>
              </w:rPr>
            </w:pPr>
          </w:p>
        </w:tc>
        <w:tc>
          <w:tcPr>
            <w:tcW w:w="1880" w:type="dxa"/>
            <w:vAlign w:val="bottom"/>
            <w:gridSpan w:val="2"/>
            <w:vMerge w:val="restart"/>
            <w:shd w:val="clear" w:color="auto" w:fill="CFF0FC"/>
          </w:tcPr>
          <w:p>
            <w:pPr>
              <w:jc w:val="right"/>
              <w:ind w:right="20"/>
              <w:spacing w:after="0"/>
              <w:rPr>
                <w:sz w:val="20"/>
                <w:szCs w:val="20"/>
                <w:color w:val="auto"/>
              </w:rPr>
            </w:pPr>
            <w:r>
              <w:rPr>
                <w:rFonts w:ascii="Calibri" w:cs="Calibri" w:eastAsia="Calibri" w:hAnsi="Calibri"/>
                <w:sz w:val="20"/>
                <w:szCs w:val="20"/>
                <w:color w:val="auto"/>
              </w:rPr>
              <w:t>64.9</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00" w:type="dxa"/>
            <w:vAlign w:val="bottom"/>
            <w:vMerge w:val="restart"/>
            <w:shd w:val="clear" w:color="auto" w:fill="CFF0FC"/>
          </w:tcPr>
          <w:p>
            <w:pPr>
              <w:jc w:val="right"/>
              <w:spacing w:after="0"/>
              <w:rPr>
                <w:sz w:val="20"/>
                <w:szCs w:val="20"/>
                <w:color w:val="auto"/>
              </w:rPr>
            </w:pPr>
            <w:r>
              <w:rPr>
                <w:rFonts w:ascii="Calibri" w:cs="Calibri" w:eastAsia="Calibri" w:hAnsi="Calibri"/>
                <w:sz w:val="20"/>
                <w:szCs w:val="20"/>
                <w:color w:val="auto"/>
              </w:rPr>
              <w:t>51.8</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vMerge w:val="continue"/>
            <w:shd w:val="clear" w:color="auto" w:fill="CFF0FC"/>
          </w:tcPr>
          <w:p>
            <w:pPr>
              <w:spacing w:after="0"/>
              <w:rPr>
                <w:sz w:val="16"/>
                <w:szCs w:val="16"/>
                <w:color w:val="auto"/>
              </w:rPr>
            </w:pPr>
          </w:p>
        </w:tc>
        <w:tc>
          <w:tcPr>
            <w:tcW w:w="188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7080" w:type="dxa"/>
            <w:vAlign w:val="bottom"/>
          </w:tcPr>
          <w:p>
            <w:pPr>
              <w:ind w:left="20"/>
              <w:spacing w:after="0"/>
              <w:rPr>
                <w:sz w:val="20"/>
                <w:szCs w:val="20"/>
                <w:color w:val="auto"/>
              </w:rPr>
            </w:pPr>
            <w:r>
              <w:rPr>
                <w:rFonts w:ascii="Calibri" w:cs="Calibri" w:eastAsia="Calibri" w:hAnsi="Calibri"/>
                <w:sz w:val="20"/>
                <w:szCs w:val="20"/>
                <w:color w:val="auto"/>
              </w:rPr>
              <w:t>Total aggregates operatons</w:t>
            </w:r>
            <w:r>
              <w:rPr>
                <w:rFonts w:ascii="Calibri" w:cs="Calibri" w:eastAsia="Calibri" w:hAnsi="Calibri"/>
                <w:sz w:val="26"/>
                <w:szCs w:val="26"/>
                <w:color w:val="auto"/>
                <w:vertAlign w:val="superscript"/>
              </w:rPr>
              <w:t>(2)</w:t>
            </w:r>
          </w:p>
        </w:tc>
        <w:tc>
          <w:tcPr>
            <w:tcW w:w="1900" w:type="dxa"/>
            <w:vAlign w:val="bottom"/>
            <w:gridSpan w:val="3"/>
          </w:tcPr>
          <w:p>
            <w:pPr>
              <w:jc w:val="right"/>
              <w:ind w:right="20"/>
              <w:spacing w:after="0"/>
              <w:rPr>
                <w:sz w:val="20"/>
                <w:szCs w:val="20"/>
                <w:color w:val="auto"/>
              </w:rPr>
            </w:pPr>
            <w:r>
              <w:rPr>
                <w:rFonts w:ascii="Calibri" w:cs="Calibri" w:eastAsia="Calibri" w:hAnsi="Calibri"/>
                <w:sz w:val="20"/>
                <w:szCs w:val="20"/>
                <w:color w:val="auto"/>
              </w:rPr>
              <w:t>160.1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20"/>
                <w:szCs w:val="20"/>
                <w:color w:val="auto"/>
              </w:rPr>
              <w:t>147.0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45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45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45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-290830</wp:posOffset>
            </wp:positionV>
            <wp:extent cx="68580" cy="291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13" w:lineRule="exact"/>
        <w:rPr>
          <w:sz w:val="20"/>
          <w:szCs w:val="20"/>
          <w:color w:val="auto"/>
        </w:rPr>
      </w:pPr>
    </w:p>
    <w:p>
      <w:pPr>
        <w:ind w:left="180" w:hanging="172"/>
        <w:spacing w:after="0"/>
        <w:tabs>
          <w:tab w:leader="none" w:pos="180" w:val="left"/>
        </w:tabs>
        <w:numPr>
          <w:ilvl w:val="0"/>
          <w:numId w:val="15"/>
        </w:numPr>
        <w:rPr>
          <w:rFonts w:ascii="Calibri" w:cs="Calibri" w:eastAsia="Calibri" w:hAnsi="Calibri"/>
          <w:sz w:val="23"/>
          <w:szCs w:val="23"/>
          <w:i w:val="1"/>
          <w:iCs w:val="1"/>
          <w:color w:val="auto"/>
          <w:vertAlign w:val="superscript"/>
        </w:rPr>
      </w:pPr>
      <w:r>
        <w:rPr>
          <w:rFonts w:ascii="Calibri" w:cs="Calibri" w:eastAsia="Calibri" w:hAnsi="Calibri"/>
          <w:sz w:val="17"/>
          <w:szCs w:val="17"/>
          <w:i w:val="1"/>
          <w:iCs w:val="1"/>
          <w:color w:val="auto"/>
        </w:rPr>
        <w:t>Volume/pricing variances refect the percentage increase from the comparable period in the prior year.</w:t>
      </w:r>
    </w:p>
    <w:p>
      <w:pPr>
        <w:spacing w:after="0" w:line="50" w:lineRule="exact"/>
        <w:rPr>
          <w:rFonts w:ascii="Calibri" w:cs="Calibri" w:eastAsia="Calibri" w:hAnsi="Calibri"/>
          <w:sz w:val="23"/>
          <w:szCs w:val="23"/>
          <w:i w:val="1"/>
          <w:iCs w:val="1"/>
          <w:color w:val="auto"/>
          <w:vertAlign w:val="superscript"/>
        </w:rPr>
      </w:pPr>
    </w:p>
    <w:p>
      <w:pPr>
        <w:ind w:left="180" w:hanging="172"/>
        <w:spacing w:after="0" w:line="185" w:lineRule="auto"/>
        <w:tabs>
          <w:tab w:leader="none" w:pos="180" w:val="left"/>
        </w:tabs>
        <w:numPr>
          <w:ilvl w:val="0"/>
          <w:numId w:val="15"/>
        </w:numPr>
        <w:rPr>
          <w:rFonts w:ascii="Calibri" w:cs="Calibri" w:eastAsia="Calibri" w:hAnsi="Calibri"/>
          <w:sz w:val="19"/>
          <w:szCs w:val="19"/>
          <w:i w:val="1"/>
          <w:iCs w:val="1"/>
          <w:color w:val="auto"/>
          <w:vertAlign w:val="superscript"/>
        </w:rPr>
      </w:pPr>
      <w:r>
        <w:rPr>
          <w:rFonts w:ascii="Calibri" w:cs="Calibri" w:eastAsia="Calibri" w:hAnsi="Calibri"/>
          <w:sz w:val="15"/>
          <w:szCs w:val="15"/>
          <w:i w:val="1"/>
          <w:iCs w:val="1"/>
          <w:color w:val="auto"/>
        </w:rPr>
        <w:t>Total aggregates operatons include acquisitons from the date of acquisiton and divesttures through the date of disposal.</w:t>
      </w:r>
    </w:p>
    <w:p>
      <w:pPr>
        <w:spacing w:after="0" w:line="37" w:lineRule="exact"/>
        <w:rPr>
          <w:rFonts w:ascii="Calibri" w:cs="Calibri" w:eastAsia="Calibri" w:hAnsi="Calibri"/>
          <w:sz w:val="19"/>
          <w:szCs w:val="19"/>
          <w:i w:val="1"/>
          <w:iCs w:val="1"/>
          <w:color w:val="auto"/>
          <w:vertAlign w:val="superscript"/>
        </w:rPr>
      </w:pPr>
    </w:p>
    <w:p>
      <w:pPr>
        <w:ind w:right="60" w:firstLine="8"/>
        <w:spacing w:after="0" w:line="187" w:lineRule="auto"/>
        <w:tabs>
          <w:tab w:leader="none" w:pos="186" w:val="left"/>
        </w:tabs>
        <w:numPr>
          <w:ilvl w:val="0"/>
          <w:numId w:val="15"/>
        </w:numPr>
        <w:rPr>
          <w:rFonts w:ascii="Calibri" w:cs="Calibri" w:eastAsia="Calibri" w:hAnsi="Calibri"/>
          <w:sz w:val="23"/>
          <w:szCs w:val="23"/>
          <w:i w:val="1"/>
          <w:iCs w:val="1"/>
          <w:color w:val="auto"/>
          <w:vertAlign w:val="superscript"/>
        </w:rPr>
      </w:pPr>
      <w:r>
        <w:rPr>
          <w:rFonts w:ascii="Calibri" w:cs="Calibri" w:eastAsia="Calibri" w:hAnsi="Calibri"/>
          <w:sz w:val="17"/>
          <w:szCs w:val="17"/>
          <w:i w:val="1"/>
          <w:iCs w:val="1"/>
          <w:color w:val="auto"/>
        </w:rPr>
        <w:t>Organic aggregates operatons exclude volume and pricing data for acquisitons that have not been included in prior-year operatons for the comparable period and divesttures.</w:t>
      </w:r>
    </w:p>
    <w:p>
      <w:pPr>
        <w:spacing w:after="0" w:line="179"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color w:val="auto"/>
        </w:rPr>
        <w:t>Page 41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92" w:right="299" w:bottom="1440" w:gutter="0" w:footer="0" w:header="0"/>
        </w:sectPr>
      </w:pPr>
    </w:p>
    <w:bookmarkStart w:id="41" w:name="page42"/>
    <w:bookmarkEnd w:id="41"/>
    <w:p>
      <w:pPr>
        <w:jc w:val="center"/>
        <w:ind w:right="1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140"/>
        <w:spacing w:after="0" w:line="225" w:lineRule="auto"/>
        <w:rPr>
          <w:sz w:val="20"/>
          <w:szCs w:val="20"/>
          <w:color w:val="auto"/>
        </w:rPr>
      </w:pPr>
      <w:r>
        <w:rPr>
          <w:rFonts w:ascii="Calibri" w:cs="Calibri" w:eastAsia="Calibri" w:hAnsi="Calibri"/>
          <w:sz w:val="20"/>
          <w:szCs w:val="20"/>
          <w:color w:val="auto"/>
        </w:rPr>
        <w:t>FORM 10-Q</w:t>
      </w:r>
    </w:p>
    <w:p>
      <w:pPr>
        <w:jc w:val="center"/>
        <w:ind w:right="100"/>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ind w:right="100"/>
        <w:spacing w:after="0" w:line="225" w:lineRule="auto"/>
        <w:rPr>
          <w:sz w:val="20"/>
          <w:szCs w:val="20"/>
          <w:color w:val="auto"/>
        </w:rPr>
      </w:pPr>
      <w:r>
        <w:rPr>
          <w:rFonts w:ascii="Calibri" w:cs="Calibri" w:eastAsia="Calibri" w:hAnsi="Calibri"/>
          <w:sz w:val="20"/>
          <w:szCs w:val="20"/>
          <w:color w:val="auto"/>
        </w:rPr>
        <w:t>RESULTS OF OPERATIONS</w:t>
      </w:r>
    </w:p>
    <w:p>
      <w:pPr>
        <w:jc w:val="center"/>
        <w:ind w:right="40"/>
        <w:spacing w:after="0" w:line="226" w:lineRule="auto"/>
        <w:rPr>
          <w:sz w:val="20"/>
          <w:szCs w:val="20"/>
          <w:color w:val="auto"/>
        </w:rPr>
      </w:pPr>
      <w:r>
        <w:rPr>
          <w:rFonts w:ascii="Calibri" w:cs="Calibri" w:eastAsia="Calibri" w:hAnsi="Calibri"/>
          <w:sz w:val="20"/>
          <w:szCs w:val="20"/>
          <w:color w:val="auto"/>
        </w:rPr>
        <w:t>(Contnued)</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table presents shipments data for the Building Materials business by product line: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20" w:type="dxa"/>
            <w:vAlign w:val="bottom"/>
          </w:tcPr>
          <w:p>
            <w:pPr>
              <w:spacing w:after="0"/>
              <w:rPr>
                <w:sz w:val="22"/>
                <w:szCs w:val="22"/>
                <w:color w:val="auto"/>
              </w:rPr>
            </w:pPr>
          </w:p>
        </w:tc>
        <w:tc>
          <w:tcPr>
            <w:tcW w:w="4320" w:type="dxa"/>
            <w:vAlign w:val="bottom"/>
            <w:gridSpan w:val="7"/>
          </w:tcPr>
          <w:p>
            <w:pPr>
              <w:jc w:val="right"/>
              <w:ind w:right="820"/>
              <w:spacing w:after="0"/>
              <w:rPr>
                <w:sz w:val="20"/>
                <w:szCs w:val="20"/>
                <w:color w:val="auto"/>
              </w:rPr>
            </w:pPr>
            <w:r>
              <w:rPr>
                <w:rFonts w:ascii="Calibri" w:cs="Calibri" w:eastAsia="Calibri" w:hAnsi="Calibri"/>
                <w:sz w:val="20"/>
                <w:szCs w:val="20"/>
                <w:color w:val="auto"/>
              </w:rPr>
              <w:t>Nine Months Ended September 30,</w:t>
            </w:r>
          </w:p>
        </w:tc>
        <w:tc>
          <w:tcPr>
            <w:tcW w:w="0" w:type="dxa"/>
            <w:vAlign w:val="bottom"/>
          </w:tcPr>
          <w:p>
            <w:pPr>
              <w:spacing w:after="0"/>
              <w:rPr>
                <w:sz w:val="1"/>
                <w:szCs w:val="1"/>
                <w:color w:val="auto"/>
              </w:rPr>
            </w:pPr>
          </w:p>
        </w:tc>
      </w:tr>
      <w:tr>
        <w:trPr>
          <w:trHeight w:val="229"/>
        </w:trPr>
        <w:tc>
          <w:tcPr>
            <w:tcW w:w="7020" w:type="dxa"/>
            <w:vAlign w:val="bottom"/>
          </w:tcPr>
          <w:p>
            <w:pPr>
              <w:spacing w:after="0"/>
              <w:rPr>
                <w:sz w:val="19"/>
                <w:szCs w:val="19"/>
                <w:color w:val="auto"/>
              </w:rPr>
            </w:pPr>
          </w:p>
        </w:tc>
        <w:tc>
          <w:tcPr>
            <w:tcW w:w="1180" w:type="dxa"/>
            <w:vAlign w:val="bottom"/>
            <w:tcBorders>
              <w:top w:val="single" w:sz="8" w:color="auto"/>
            </w:tcBorders>
          </w:tcPr>
          <w:p>
            <w:pPr>
              <w:jc w:val="right"/>
              <w:ind w:right="281"/>
              <w:spacing w:after="0" w:line="229" w:lineRule="exact"/>
              <w:rPr>
                <w:sz w:val="20"/>
                <w:szCs w:val="20"/>
                <w:color w:val="auto"/>
              </w:rPr>
            </w:pPr>
            <w:r>
              <w:rPr>
                <w:rFonts w:ascii="Calibri" w:cs="Calibri" w:eastAsia="Calibri" w:hAnsi="Calibri"/>
                <w:sz w:val="20"/>
                <w:szCs w:val="20"/>
                <w:color w:val="auto"/>
              </w:rPr>
              <w:t>2022</w:t>
            </w:r>
          </w:p>
        </w:tc>
        <w:tc>
          <w:tcPr>
            <w:tcW w:w="1400" w:type="dxa"/>
            <w:vAlign w:val="bottom"/>
            <w:tcBorders>
              <w:top w:val="single" w:sz="8" w:color="auto"/>
            </w:tcBorders>
            <w:gridSpan w:val="2"/>
          </w:tcPr>
          <w:p>
            <w:pPr>
              <w:jc w:val="right"/>
              <w:ind w:right="281"/>
              <w:spacing w:after="0" w:line="229" w:lineRule="exact"/>
              <w:rPr>
                <w:sz w:val="20"/>
                <w:szCs w:val="20"/>
                <w:color w:val="auto"/>
              </w:rPr>
            </w:pPr>
            <w:r>
              <w:rPr>
                <w:rFonts w:ascii="Calibri" w:cs="Calibri" w:eastAsia="Calibri" w:hAnsi="Calibri"/>
                <w:sz w:val="20"/>
                <w:szCs w:val="20"/>
                <w:color w:val="auto"/>
              </w:rPr>
              <w:t>2021</w:t>
            </w: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21"/>
              <w:spacing w:after="0" w:line="229" w:lineRule="exact"/>
              <w:rPr>
                <w:sz w:val="20"/>
                <w:szCs w:val="20"/>
                <w:color w:val="auto"/>
              </w:rPr>
            </w:pPr>
            <w:r>
              <w:rPr>
                <w:rFonts w:ascii="Calibri" w:cs="Calibri" w:eastAsia="Calibri" w:hAnsi="Calibri"/>
                <w:sz w:val="20"/>
                <w:szCs w:val="20"/>
                <w:color w:val="auto"/>
              </w:rPr>
              <w:t>% 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20" w:type="dxa"/>
            <w:vAlign w:val="bottom"/>
          </w:tcPr>
          <w:p>
            <w:pPr>
              <w:ind w:left="20"/>
              <w:spacing w:after="0" w:line="214" w:lineRule="exact"/>
              <w:rPr>
                <w:sz w:val="20"/>
                <w:szCs w:val="20"/>
                <w:color w:val="auto"/>
              </w:rPr>
            </w:pPr>
            <w:r>
              <w:rPr>
                <w:rFonts w:ascii="Calibri" w:cs="Calibri" w:eastAsia="Calibri" w:hAnsi="Calibri"/>
                <w:sz w:val="20"/>
                <w:szCs w:val="20"/>
                <w:b w:val="1"/>
                <w:bCs w:val="1"/>
                <w:color w:val="auto"/>
              </w:rPr>
              <w:t>Shipments</w:t>
            </w: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20"/>
              <w:spacing w:after="0" w:line="233" w:lineRule="exact"/>
              <w:rPr>
                <w:sz w:val="20"/>
                <w:szCs w:val="20"/>
                <w:color w:val="auto"/>
              </w:rPr>
            </w:pPr>
            <w:r>
              <w:rPr>
                <w:rFonts w:ascii="Calibri" w:cs="Calibri" w:eastAsia="Calibri" w:hAnsi="Calibri"/>
                <w:sz w:val="20"/>
                <w:szCs w:val="20"/>
                <w:color w:val="auto"/>
              </w:rPr>
              <w:t>Aggregates (in millions):</w:t>
            </w: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7020" w:type="dxa"/>
            <w:vAlign w:val="bottom"/>
          </w:tcPr>
          <w:p>
            <w:pPr>
              <w:ind w:left="200"/>
              <w:spacing w:after="0"/>
              <w:rPr>
                <w:sz w:val="20"/>
                <w:szCs w:val="20"/>
                <w:color w:val="auto"/>
              </w:rPr>
            </w:pPr>
            <w:r>
              <w:rPr>
                <w:rFonts w:ascii="Calibri" w:cs="Calibri" w:eastAsia="Calibri" w:hAnsi="Calibri"/>
                <w:sz w:val="20"/>
                <w:szCs w:val="20"/>
                <w:color w:val="auto"/>
              </w:rPr>
              <w:t>Tons to external customers</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148.0</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135.2</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02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20"/>
                <w:szCs w:val="20"/>
                <w:color w:val="auto"/>
              </w:rPr>
              <w:t>Internal tons used in other product lines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20"/>
                <w:szCs w:val="20"/>
                <w:color w:val="auto"/>
              </w:rPr>
              <w:t>12.1</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20"/>
                <w:szCs w:val="20"/>
                <w:color w:val="auto"/>
              </w:rPr>
              <w:t>11.8</w:t>
            </w:r>
          </w:p>
        </w:tc>
        <w:tc>
          <w:tcPr>
            <w:tcW w:w="3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020" w:type="dxa"/>
            <w:vAlign w:val="bottom"/>
            <w:vMerge w:val="restart"/>
          </w:tcPr>
          <w:p>
            <w:pPr>
              <w:ind w:left="20"/>
              <w:spacing w:after="0"/>
              <w:rPr>
                <w:sz w:val="20"/>
                <w:szCs w:val="20"/>
                <w:color w:val="auto"/>
              </w:rPr>
            </w:pPr>
            <w:r>
              <w:rPr>
                <w:rFonts w:ascii="Calibri" w:cs="Calibri" w:eastAsia="Calibri" w:hAnsi="Calibri"/>
                <w:sz w:val="20"/>
                <w:szCs w:val="20"/>
                <w:color w:val="auto"/>
              </w:rPr>
              <w:t>Total aggregates tons</w:t>
            </w:r>
          </w:p>
        </w:tc>
        <w:tc>
          <w:tcPr>
            <w:tcW w:w="1180" w:type="dxa"/>
            <w:vAlign w:val="bottom"/>
            <w:vMerge w:val="restart"/>
          </w:tcPr>
          <w:p>
            <w:pPr>
              <w:jc w:val="right"/>
              <w:spacing w:after="0"/>
              <w:rPr>
                <w:sz w:val="20"/>
                <w:szCs w:val="20"/>
                <w:color w:val="auto"/>
              </w:rPr>
            </w:pPr>
            <w:r>
              <w:rPr>
                <w:rFonts w:ascii="Calibri" w:cs="Calibri" w:eastAsia="Calibri" w:hAnsi="Calibri"/>
                <w:sz w:val="20"/>
                <w:szCs w:val="20"/>
                <w:color w:val="auto"/>
              </w:rPr>
              <w:t>160.1</w:t>
            </w:r>
          </w:p>
        </w:tc>
        <w:tc>
          <w:tcPr>
            <w:tcW w:w="1400" w:type="dxa"/>
            <w:vAlign w:val="bottom"/>
            <w:gridSpan w:val="2"/>
            <w:vMerge w:val="restart"/>
          </w:tcPr>
          <w:p>
            <w:pPr>
              <w:jc w:val="right"/>
              <w:spacing w:after="0"/>
              <w:rPr>
                <w:sz w:val="20"/>
                <w:szCs w:val="20"/>
                <w:color w:val="auto"/>
              </w:rPr>
            </w:pPr>
            <w:r>
              <w:rPr>
                <w:rFonts w:ascii="Calibri" w:cs="Calibri" w:eastAsia="Calibri" w:hAnsi="Calibri"/>
                <w:sz w:val="20"/>
                <w:szCs w:val="20"/>
                <w:color w:val="auto"/>
              </w:rPr>
              <w:t>147.0</w:t>
            </w:r>
          </w:p>
        </w:tc>
        <w:tc>
          <w:tcPr>
            <w:tcW w:w="1740" w:type="dxa"/>
            <w:vAlign w:val="bottom"/>
            <w:gridSpan w:val="4"/>
          </w:tcPr>
          <w:p>
            <w:pPr>
              <w:jc w:val="right"/>
              <w:ind w:right="60"/>
              <w:spacing w:after="0"/>
              <w:rPr>
                <w:sz w:val="20"/>
                <w:szCs w:val="20"/>
                <w:color w:val="auto"/>
              </w:rPr>
            </w:pPr>
            <w:r>
              <w:rPr>
                <w:rFonts w:ascii="Calibri" w:cs="Calibri" w:eastAsia="Calibri" w:hAnsi="Calibri"/>
                <w:sz w:val="20"/>
                <w:szCs w:val="20"/>
                <w:color w:val="auto"/>
              </w:rPr>
              <w:t>8.9 %</w:t>
            </w:r>
          </w:p>
        </w:tc>
        <w:tc>
          <w:tcPr>
            <w:tcW w:w="0" w:type="dxa"/>
            <w:vAlign w:val="bottom"/>
          </w:tcPr>
          <w:p>
            <w:pPr>
              <w:spacing w:after="0"/>
              <w:rPr>
                <w:sz w:val="1"/>
                <w:szCs w:val="1"/>
                <w:color w:val="auto"/>
              </w:rPr>
            </w:pPr>
          </w:p>
        </w:tc>
      </w:tr>
      <w:tr>
        <w:trPr>
          <w:trHeight w:val="87"/>
        </w:trPr>
        <w:tc>
          <w:tcPr>
            <w:tcW w:w="7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line="229" w:lineRule="exact"/>
              <w:rPr>
                <w:sz w:val="20"/>
                <w:szCs w:val="20"/>
                <w:color w:val="auto"/>
              </w:rPr>
            </w:pPr>
            <w:r>
              <w:rPr>
                <w:rFonts w:ascii="Calibri" w:cs="Calibri" w:eastAsia="Calibri" w:hAnsi="Calibri"/>
                <w:sz w:val="20"/>
                <w:szCs w:val="20"/>
                <w:color w:val="auto"/>
              </w:rPr>
              <w:t>Cement (in millions):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Tons to external customers</w:t>
            </w:r>
          </w:p>
        </w:tc>
        <w:tc>
          <w:tcPr>
            <w:tcW w:w="118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2.2</w:t>
            </w:r>
          </w:p>
        </w:tc>
        <w:tc>
          <w:tcPr>
            <w:tcW w:w="1400" w:type="dxa"/>
            <w:vAlign w:val="bottom"/>
            <w:gridSpan w:val="2"/>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1.8</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0"/>
              <w:spacing w:after="0" w:line="229" w:lineRule="exact"/>
              <w:rPr>
                <w:sz w:val="20"/>
                <w:szCs w:val="20"/>
                <w:color w:val="auto"/>
              </w:rPr>
            </w:pPr>
            <w:r>
              <w:rPr>
                <w:rFonts w:ascii="Calibri" w:cs="Calibri" w:eastAsia="Calibri" w:hAnsi="Calibri"/>
                <w:sz w:val="20"/>
                <w:szCs w:val="20"/>
                <w:color w:val="auto"/>
              </w:rPr>
              <w:t>Internal tons used in ready mixed concrete</w:t>
            </w: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1.0</w:t>
            </w:r>
          </w:p>
        </w:tc>
        <w:tc>
          <w:tcPr>
            <w:tcW w:w="140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1.1</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line="217" w:lineRule="exact"/>
              <w:rPr>
                <w:sz w:val="20"/>
                <w:szCs w:val="20"/>
                <w:color w:val="auto"/>
              </w:rPr>
            </w:pPr>
            <w:r>
              <w:rPr>
                <w:rFonts w:ascii="Calibri" w:cs="Calibri" w:eastAsia="Calibri" w:hAnsi="Calibri"/>
                <w:sz w:val="20"/>
                <w:szCs w:val="20"/>
                <w:color w:val="auto"/>
              </w:rPr>
              <w:t>Total cement tons</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3.2</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Calibri" w:cs="Calibri" w:eastAsia="Calibri" w:hAnsi="Calibri"/>
                <w:sz w:val="20"/>
                <w:szCs w:val="20"/>
                <w:color w:val="auto"/>
              </w:rPr>
              <w:t>2.9</w:t>
            </w:r>
          </w:p>
        </w:tc>
        <w:tc>
          <w:tcPr>
            <w:tcW w:w="1740" w:type="dxa"/>
            <w:vAlign w:val="bottom"/>
            <w:gridSpan w:val="4"/>
          </w:tcPr>
          <w:p>
            <w:pPr>
              <w:jc w:val="right"/>
              <w:ind w:right="60"/>
              <w:spacing w:after="0" w:line="217" w:lineRule="exact"/>
              <w:rPr>
                <w:sz w:val="20"/>
                <w:szCs w:val="20"/>
                <w:color w:val="auto"/>
              </w:rPr>
            </w:pPr>
            <w:r>
              <w:rPr>
                <w:rFonts w:ascii="Calibri" w:cs="Calibri" w:eastAsia="Calibri" w:hAnsi="Calibri"/>
                <w:sz w:val="20"/>
                <w:szCs w:val="20"/>
                <w:color w:val="auto"/>
              </w:rPr>
              <w:t>10.3 %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20" w:type="dxa"/>
            <w:vAlign w:val="bottom"/>
          </w:tcPr>
          <w:p>
            <w:pPr>
              <w:ind w:left="20"/>
              <w:spacing w:after="0"/>
              <w:rPr>
                <w:sz w:val="20"/>
                <w:szCs w:val="20"/>
                <w:color w:val="auto"/>
              </w:rPr>
            </w:pPr>
            <w:r>
              <w:rPr>
                <w:rFonts w:ascii="Calibri" w:cs="Calibri" w:eastAsia="Calibri" w:hAnsi="Calibri"/>
                <w:sz w:val="20"/>
                <w:szCs w:val="20"/>
                <w:color w:val="auto"/>
              </w:rPr>
              <w:t>Ready Mixed Concrete (in millions of cubic yards)</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5.9</w:t>
            </w:r>
          </w:p>
        </w:tc>
        <w:tc>
          <w:tcPr>
            <w:tcW w:w="1400" w:type="dxa"/>
            <w:vAlign w:val="bottom"/>
            <w:gridSpan w:val="2"/>
          </w:tcPr>
          <w:p>
            <w:pPr>
              <w:jc w:val="right"/>
              <w:spacing w:after="0"/>
              <w:rPr>
                <w:sz w:val="20"/>
                <w:szCs w:val="20"/>
                <w:color w:val="auto"/>
              </w:rPr>
            </w:pPr>
            <w:r>
              <w:rPr>
                <w:rFonts w:ascii="Calibri" w:cs="Calibri" w:eastAsia="Calibri" w:hAnsi="Calibri"/>
                <w:sz w:val="20"/>
                <w:szCs w:val="20"/>
                <w:color w:val="auto"/>
              </w:rPr>
              <w:t>7.2</w:t>
            </w:r>
          </w:p>
        </w:tc>
        <w:tc>
          <w:tcPr>
            <w:tcW w:w="1740" w:type="dxa"/>
            <w:vAlign w:val="bottom"/>
            <w:gridSpan w:val="4"/>
          </w:tcPr>
          <w:p>
            <w:pPr>
              <w:jc w:val="right"/>
              <w:spacing w:after="0"/>
              <w:rPr>
                <w:sz w:val="20"/>
                <w:szCs w:val="20"/>
                <w:color w:val="auto"/>
              </w:rPr>
            </w:pPr>
            <w:r>
              <w:rPr>
                <w:rFonts w:ascii="Calibri" w:cs="Calibri" w:eastAsia="Calibri" w:hAnsi="Calibri"/>
                <w:sz w:val="20"/>
                <w:szCs w:val="20"/>
                <w:color w:val="auto"/>
              </w:rPr>
              <w:t>(17.4 )%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Asphalt (in millions):</w:t>
            </w: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0"/>
              <w:spacing w:after="0" w:line="229" w:lineRule="exact"/>
              <w:rPr>
                <w:sz w:val="20"/>
                <w:szCs w:val="20"/>
                <w:color w:val="auto"/>
              </w:rPr>
            </w:pPr>
            <w:r>
              <w:rPr>
                <w:rFonts w:ascii="Calibri" w:cs="Calibri" w:eastAsia="Calibri" w:hAnsi="Calibri"/>
                <w:sz w:val="20"/>
                <w:szCs w:val="20"/>
                <w:color w:val="auto"/>
              </w:rPr>
              <w:t>Tons to external customers</w:t>
            </w:r>
          </w:p>
        </w:tc>
        <w:tc>
          <w:tcPr>
            <w:tcW w:w="1180" w:type="dxa"/>
            <w:vAlign w:val="bottom"/>
          </w:tcPr>
          <w:p>
            <w:pPr>
              <w:jc w:val="right"/>
              <w:spacing w:after="0" w:line="229" w:lineRule="exact"/>
              <w:rPr>
                <w:sz w:val="20"/>
                <w:szCs w:val="20"/>
                <w:color w:val="auto"/>
              </w:rPr>
            </w:pPr>
            <w:r>
              <w:rPr>
                <w:rFonts w:ascii="Calibri" w:cs="Calibri" w:eastAsia="Calibri" w:hAnsi="Calibri"/>
                <w:sz w:val="20"/>
                <w:szCs w:val="20"/>
                <w:color w:val="auto"/>
              </w:rPr>
              <w:t>5.3</w:t>
            </w:r>
          </w:p>
        </w:tc>
        <w:tc>
          <w:tcPr>
            <w:tcW w:w="140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3.3</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shd w:val="clear" w:color="auto" w:fill="CFF0FC"/>
          </w:tcPr>
          <w:p>
            <w:pPr>
              <w:ind w:left="200"/>
              <w:spacing w:after="0" w:line="229" w:lineRule="exact"/>
              <w:rPr>
                <w:sz w:val="20"/>
                <w:szCs w:val="20"/>
                <w:color w:val="auto"/>
              </w:rPr>
            </w:pPr>
            <w:r>
              <w:rPr>
                <w:rFonts w:ascii="Calibri" w:cs="Calibri" w:eastAsia="Calibri" w:hAnsi="Calibri"/>
                <w:sz w:val="20"/>
                <w:szCs w:val="20"/>
                <w:color w:val="auto"/>
              </w:rPr>
              <w:t>Internal tons used in paving business</w:t>
            </w:r>
          </w:p>
        </w:tc>
        <w:tc>
          <w:tcPr>
            <w:tcW w:w="118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1.6</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1.5</w:t>
            </w:r>
          </w:p>
        </w:tc>
        <w:tc>
          <w:tcPr>
            <w:tcW w:w="3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line="223" w:lineRule="exact"/>
              <w:rPr>
                <w:sz w:val="20"/>
                <w:szCs w:val="20"/>
                <w:color w:val="auto"/>
              </w:rPr>
            </w:pPr>
            <w:r>
              <w:rPr>
                <w:rFonts w:ascii="Calibri" w:cs="Calibri" w:eastAsia="Calibri" w:hAnsi="Calibri"/>
                <w:sz w:val="20"/>
                <w:szCs w:val="20"/>
                <w:color w:val="auto"/>
              </w:rPr>
              <w:t>Total asphalt tons</w:t>
            </w:r>
          </w:p>
        </w:tc>
        <w:tc>
          <w:tcPr>
            <w:tcW w:w="1180" w:type="dxa"/>
            <w:vAlign w:val="bottom"/>
          </w:tcPr>
          <w:p>
            <w:pPr>
              <w:jc w:val="right"/>
              <w:spacing w:after="0" w:line="223" w:lineRule="exact"/>
              <w:rPr>
                <w:sz w:val="20"/>
                <w:szCs w:val="20"/>
                <w:color w:val="auto"/>
              </w:rPr>
            </w:pPr>
            <w:r>
              <w:rPr>
                <w:rFonts w:ascii="Calibri" w:cs="Calibri" w:eastAsia="Calibri" w:hAnsi="Calibri"/>
                <w:sz w:val="20"/>
                <w:szCs w:val="20"/>
                <w:color w:val="auto"/>
              </w:rPr>
              <w:t>6.9</w:t>
            </w:r>
          </w:p>
        </w:tc>
        <w:tc>
          <w:tcPr>
            <w:tcW w:w="1400" w:type="dxa"/>
            <w:vAlign w:val="bottom"/>
            <w:gridSpan w:val="2"/>
          </w:tcPr>
          <w:p>
            <w:pPr>
              <w:jc w:val="right"/>
              <w:spacing w:after="0" w:line="223" w:lineRule="exact"/>
              <w:rPr>
                <w:sz w:val="20"/>
                <w:szCs w:val="20"/>
                <w:color w:val="auto"/>
              </w:rPr>
            </w:pPr>
            <w:r>
              <w:rPr>
                <w:rFonts w:ascii="Calibri" w:cs="Calibri" w:eastAsia="Calibri" w:hAnsi="Calibri"/>
                <w:sz w:val="20"/>
                <w:szCs w:val="20"/>
                <w:color w:val="auto"/>
              </w:rPr>
              <w:t>4.8</w:t>
            </w:r>
          </w:p>
        </w:tc>
        <w:tc>
          <w:tcPr>
            <w:tcW w:w="1740" w:type="dxa"/>
            <w:vAlign w:val="bottom"/>
            <w:gridSpan w:val="4"/>
          </w:tcPr>
          <w:p>
            <w:pPr>
              <w:jc w:val="right"/>
              <w:ind w:right="60"/>
              <w:spacing w:after="0" w:line="223" w:lineRule="exact"/>
              <w:rPr>
                <w:sz w:val="20"/>
                <w:szCs w:val="20"/>
                <w:color w:val="auto"/>
              </w:rPr>
            </w:pPr>
            <w:r>
              <w:rPr>
                <w:rFonts w:ascii="Calibri" w:cs="Calibri" w:eastAsia="Calibri" w:hAnsi="Calibri"/>
                <w:sz w:val="20"/>
                <w:szCs w:val="20"/>
                <w:color w:val="auto"/>
              </w:rPr>
              <w:t>46.1 %</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-2133600</wp:posOffset>
            </wp:positionV>
            <wp:extent cx="77470" cy="291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-2133600</wp:posOffset>
            </wp:positionV>
            <wp:extent cx="68580" cy="291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6343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-179705</wp:posOffset>
            </wp:positionV>
            <wp:extent cx="77470" cy="1803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-179705</wp:posOffset>
            </wp:positionV>
            <wp:extent cx="68580" cy="180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color w:val="auto"/>
        </w:rPr>
        <w:t>The average selling price by product line for the Building Materials business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6"/>
          </w:tcPr>
          <w:p>
            <w:pPr>
              <w:ind w:left="200"/>
              <w:spacing w:after="0"/>
              <w:rPr>
                <w:sz w:val="20"/>
                <w:szCs w:val="20"/>
                <w:color w:val="auto"/>
              </w:rPr>
            </w:pPr>
            <w:r>
              <w:rPr>
                <w:rFonts w:ascii="Calibri" w:cs="Calibri" w:eastAsia="Calibri" w:hAnsi="Calibri"/>
                <w:sz w:val="20"/>
                <w:szCs w:val="20"/>
                <w:color w:val="auto"/>
              </w:rPr>
              <w:t>Nine Months Ended September 30,</w:t>
            </w:r>
          </w:p>
        </w:tc>
        <w:tc>
          <w:tcPr>
            <w:tcW w:w="12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29"/>
        </w:trPr>
        <w:tc>
          <w:tcPr>
            <w:tcW w:w="5660" w:type="dxa"/>
            <w:vAlign w:val="bottom"/>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Calibri" w:cs="Calibri" w:eastAsia="Calibri" w:hAnsi="Calibri"/>
                <w:sz w:val="20"/>
                <w:szCs w:val="20"/>
                <w:color w:val="auto"/>
              </w:rPr>
              <w:t>2022</w:t>
            </w: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41"/>
              <w:spacing w:after="0" w:line="229" w:lineRule="exact"/>
              <w:rPr>
                <w:sz w:val="20"/>
                <w:szCs w:val="20"/>
                <w:color w:val="auto"/>
              </w:rPr>
            </w:pPr>
            <w:r>
              <w:rPr>
                <w:rFonts w:ascii="Calibri" w:cs="Calibri" w:eastAsia="Calibri" w:hAnsi="Calibri"/>
                <w:sz w:val="20"/>
                <w:szCs w:val="20"/>
                <w:color w:val="auto"/>
              </w:rPr>
              <w:t>2021</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21"/>
              <w:spacing w:after="0" w:line="229" w:lineRule="exact"/>
              <w:rPr>
                <w:sz w:val="20"/>
                <w:szCs w:val="20"/>
                <w:color w:val="auto"/>
              </w:rPr>
            </w:pPr>
            <w:r>
              <w:rPr>
                <w:rFonts w:ascii="Calibri" w:cs="Calibri" w:eastAsia="Calibri" w:hAnsi="Calibri"/>
                <w:sz w:val="20"/>
                <w:szCs w:val="20"/>
                <w:color w:val="auto"/>
              </w:rPr>
              <w:t>% Change</w:t>
            </w:r>
          </w:p>
        </w:tc>
        <w:tc>
          <w:tcPr>
            <w:tcW w:w="140" w:type="dxa"/>
            <w:vAlign w:val="bottom"/>
          </w:tcPr>
          <w:p>
            <w:pPr>
              <w:spacing w:after="0"/>
              <w:rPr>
                <w:sz w:val="19"/>
                <w:szCs w:val="19"/>
                <w:color w:val="auto"/>
              </w:rPr>
            </w:pPr>
          </w:p>
        </w:tc>
      </w:tr>
      <w:tr>
        <w:trPr>
          <w:trHeight w:val="223"/>
        </w:trPr>
        <w:tc>
          <w:tcPr>
            <w:tcW w:w="5660" w:type="dxa"/>
            <w:vAlign w:val="bottom"/>
          </w:tcPr>
          <w:p>
            <w:pPr>
              <w:ind w:left="20"/>
              <w:spacing w:after="0" w:line="214" w:lineRule="exact"/>
              <w:rPr>
                <w:sz w:val="20"/>
                <w:szCs w:val="20"/>
                <w:color w:val="auto"/>
              </w:rPr>
            </w:pPr>
            <w:r>
              <w:rPr>
                <w:rFonts w:ascii="Calibri" w:cs="Calibri" w:eastAsia="Calibri" w:hAnsi="Calibri"/>
                <w:sz w:val="20"/>
                <w:szCs w:val="20"/>
                <w:color w:val="auto"/>
              </w:rPr>
              <w:t>Aggregates (per ton)</w:t>
            </w:r>
          </w:p>
        </w:tc>
        <w:tc>
          <w:tcPr>
            <w:tcW w:w="1100" w:type="dxa"/>
            <w:vAlign w:val="bottom"/>
          </w:tcPr>
          <w:p>
            <w:pPr>
              <w:jc w:val="right"/>
              <w:ind w:right="881"/>
              <w:spacing w:after="0" w:line="223"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23" w:lineRule="exact"/>
              <w:rPr>
                <w:sz w:val="20"/>
                <w:szCs w:val="20"/>
                <w:color w:val="auto"/>
              </w:rPr>
            </w:pPr>
            <w:r>
              <w:rPr>
                <w:rFonts w:ascii="Calibri" w:cs="Calibri" w:eastAsia="Calibri" w:hAnsi="Calibri"/>
                <w:sz w:val="20"/>
                <w:szCs w:val="20"/>
                <w:color w:val="auto"/>
              </w:rPr>
              <w:t>16.41</w:t>
            </w:r>
          </w:p>
        </w:tc>
        <w:tc>
          <w:tcPr>
            <w:tcW w:w="320" w:type="dxa"/>
            <w:vAlign w:val="bottom"/>
          </w:tcPr>
          <w:p>
            <w:pPr>
              <w:spacing w:after="0"/>
              <w:rPr>
                <w:sz w:val="19"/>
                <w:szCs w:val="19"/>
                <w:color w:val="auto"/>
              </w:rPr>
            </w:pPr>
          </w:p>
        </w:tc>
        <w:tc>
          <w:tcPr>
            <w:tcW w:w="380" w:type="dxa"/>
            <w:vAlign w:val="bottom"/>
          </w:tcPr>
          <w:p>
            <w:pPr>
              <w:jc w:val="right"/>
              <w:ind w:right="181"/>
              <w:spacing w:after="0" w:line="223" w:lineRule="exact"/>
              <w:rPr>
                <w:sz w:val="20"/>
                <w:szCs w:val="20"/>
                <w:color w:val="auto"/>
              </w:rPr>
            </w:pPr>
            <w:r>
              <w:rPr>
                <w:rFonts w:ascii="Calibri" w:cs="Calibri" w:eastAsia="Calibri" w:hAnsi="Calibri"/>
                <w:sz w:val="20"/>
                <w:szCs w:val="20"/>
                <w:color w:val="auto"/>
                <w:w w:val="78"/>
              </w:rPr>
              <w:t>$</w:t>
            </w:r>
          </w:p>
        </w:tc>
        <w:tc>
          <w:tcPr>
            <w:tcW w:w="1300" w:type="dxa"/>
            <w:vAlign w:val="bottom"/>
          </w:tcPr>
          <w:p>
            <w:pPr>
              <w:jc w:val="right"/>
              <w:spacing w:after="0" w:line="223" w:lineRule="exact"/>
              <w:rPr>
                <w:sz w:val="20"/>
                <w:szCs w:val="20"/>
                <w:color w:val="auto"/>
              </w:rPr>
            </w:pPr>
            <w:r>
              <w:rPr>
                <w:rFonts w:ascii="Calibri" w:cs="Calibri" w:eastAsia="Calibri" w:hAnsi="Calibri"/>
                <w:sz w:val="20"/>
                <w:szCs w:val="20"/>
                <w:color w:val="auto"/>
              </w:rPr>
              <w:t>15.08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line="223" w:lineRule="exact"/>
              <w:rPr>
                <w:sz w:val="20"/>
                <w:szCs w:val="20"/>
                <w:color w:val="auto"/>
              </w:rPr>
            </w:pPr>
            <w:r>
              <w:rPr>
                <w:rFonts w:ascii="Calibri" w:cs="Calibri" w:eastAsia="Calibri" w:hAnsi="Calibri"/>
                <w:sz w:val="20"/>
                <w:szCs w:val="20"/>
                <w:color w:val="auto"/>
              </w:rPr>
              <w:t>8.9</w:t>
            </w:r>
          </w:p>
        </w:tc>
        <w:tc>
          <w:tcPr>
            <w:tcW w:w="140" w:type="dxa"/>
            <w:vAlign w:val="bottom"/>
          </w:tcPr>
          <w:p>
            <w:pPr>
              <w:jc w:val="right"/>
              <w:spacing w:after="0" w:line="214" w:lineRule="exact"/>
              <w:rPr>
                <w:sz w:val="20"/>
                <w:szCs w:val="20"/>
                <w:color w:val="auto"/>
              </w:rPr>
            </w:pPr>
            <w:r>
              <w:rPr>
                <w:rFonts w:ascii="Calibri" w:cs="Calibri" w:eastAsia="Calibri" w:hAnsi="Calibri"/>
                <w:sz w:val="20"/>
                <w:szCs w:val="20"/>
                <w:color w:val="auto"/>
                <w:w w:val="83"/>
              </w:rPr>
              <w:t>%</w:t>
            </w:r>
          </w:p>
        </w:tc>
      </w:tr>
      <w:tr>
        <w:trPr>
          <w:trHeight w:val="229"/>
        </w:trPr>
        <w:tc>
          <w:tcPr>
            <w:tcW w:w="5660" w:type="dxa"/>
            <w:vAlign w:val="bottom"/>
          </w:tcPr>
          <w:p>
            <w:pPr>
              <w:ind w:left="20"/>
              <w:spacing w:after="0" w:line="229" w:lineRule="exact"/>
              <w:rPr>
                <w:sz w:val="20"/>
                <w:szCs w:val="20"/>
                <w:color w:val="auto"/>
              </w:rPr>
            </w:pPr>
            <w:r>
              <w:rPr>
                <w:rFonts w:ascii="Calibri" w:cs="Calibri" w:eastAsia="Calibri" w:hAnsi="Calibri"/>
                <w:sz w:val="20"/>
                <w:szCs w:val="20"/>
                <w:color w:val="auto"/>
              </w:rPr>
              <w:t>Cement (per ton)</w:t>
            </w:r>
          </w:p>
        </w:tc>
        <w:tc>
          <w:tcPr>
            <w:tcW w:w="1100" w:type="dxa"/>
            <w:vAlign w:val="bottom"/>
          </w:tcPr>
          <w:p>
            <w:pPr>
              <w:jc w:val="right"/>
              <w:ind w:right="881"/>
              <w:spacing w:after="0" w:line="229"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29" w:lineRule="exact"/>
              <w:rPr>
                <w:sz w:val="20"/>
                <w:szCs w:val="20"/>
                <w:color w:val="auto"/>
              </w:rPr>
            </w:pPr>
            <w:r>
              <w:rPr>
                <w:rFonts w:ascii="Calibri" w:cs="Calibri" w:eastAsia="Calibri" w:hAnsi="Calibri"/>
                <w:sz w:val="20"/>
                <w:szCs w:val="20"/>
                <w:color w:val="auto"/>
              </w:rPr>
              <w:t>139.64</w:t>
            </w:r>
          </w:p>
        </w:tc>
        <w:tc>
          <w:tcPr>
            <w:tcW w:w="70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120.29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16.1 %</w:t>
            </w:r>
          </w:p>
        </w:tc>
      </w:tr>
      <w:tr>
        <w:trPr>
          <w:trHeight w:val="230"/>
        </w:trPr>
        <w:tc>
          <w:tcPr>
            <w:tcW w:w="5660" w:type="dxa"/>
            <w:vAlign w:val="bottom"/>
          </w:tcPr>
          <w:p>
            <w:pPr>
              <w:ind w:left="20"/>
              <w:spacing w:after="0" w:line="229" w:lineRule="exact"/>
              <w:rPr>
                <w:sz w:val="20"/>
                <w:szCs w:val="20"/>
                <w:color w:val="auto"/>
              </w:rPr>
            </w:pPr>
            <w:r>
              <w:rPr>
                <w:rFonts w:ascii="Calibri" w:cs="Calibri" w:eastAsia="Calibri" w:hAnsi="Calibri"/>
                <w:sz w:val="20"/>
                <w:szCs w:val="20"/>
                <w:color w:val="auto"/>
              </w:rPr>
              <w:t>Ready Mixed Concrete (per cubic yard)</w:t>
            </w:r>
          </w:p>
        </w:tc>
        <w:tc>
          <w:tcPr>
            <w:tcW w:w="1100" w:type="dxa"/>
            <w:vAlign w:val="bottom"/>
          </w:tcPr>
          <w:p>
            <w:pPr>
              <w:jc w:val="right"/>
              <w:ind w:right="881"/>
              <w:spacing w:after="0" w:line="229"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29" w:lineRule="exact"/>
              <w:rPr>
                <w:sz w:val="20"/>
                <w:szCs w:val="20"/>
                <w:color w:val="auto"/>
              </w:rPr>
            </w:pPr>
            <w:r>
              <w:rPr>
                <w:rFonts w:ascii="Calibri" w:cs="Calibri" w:eastAsia="Calibri" w:hAnsi="Calibri"/>
                <w:sz w:val="20"/>
                <w:szCs w:val="20"/>
                <w:color w:val="auto"/>
              </w:rPr>
              <w:t>125.32</w:t>
            </w:r>
          </w:p>
        </w:tc>
        <w:tc>
          <w:tcPr>
            <w:tcW w:w="700" w:type="dxa"/>
            <w:vAlign w:val="bottom"/>
            <w:gridSpan w:val="2"/>
          </w:tcPr>
          <w:p>
            <w:pPr>
              <w:jc w:val="right"/>
              <w:ind w:right="181"/>
              <w:spacing w:after="0" w:line="229" w:lineRule="exact"/>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line="229" w:lineRule="exact"/>
              <w:rPr>
                <w:sz w:val="20"/>
                <w:szCs w:val="20"/>
                <w:color w:val="auto"/>
              </w:rPr>
            </w:pPr>
            <w:r>
              <w:rPr>
                <w:rFonts w:ascii="Calibri" w:cs="Calibri" w:eastAsia="Calibri" w:hAnsi="Calibri"/>
                <w:sz w:val="20"/>
                <w:szCs w:val="20"/>
                <w:color w:val="auto"/>
              </w:rPr>
              <w:t>114.59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9.4 %</w:t>
            </w:r>
          </w:p>
        </w:tc>
      </w:tr>
      <w:tr>
        <w:trPr>
          <w:trHeight w:val="234"/>
        </w:trPr>
        <w:tc>
          <w:tcPr>
            <w:tcW w:w="5660" w:type="dxa"/>
            <w:vAlign w:val="bottom"/>
          </w:tcPr>
          <w:p>
            <w:pPr>
              <w:ind w:left="20"/>
              <w:spacing w:after="0" w:line="234" w:lineRule="exact"/>
              <w:rPr>
                <w:sz w:val="20"/>
                <w:szCs w:val="20"/>
                <w:color w:val="auto"/>
              </w:rPr>
            </w:pPr>
            <w:r>
              <w:rPr>
                <w:rFonts w:ascii="Calibri" w:cs="Calibri" w:eastAsia="Calibri" w:hAnsi="Calibri"/>
                <w:sz w:val="20"/>
                <w:szCs w:val="20"/>
                <w:color w:val="auto"/>
              </w:rPr>
              <w:t>Asphalt (per ton)</w:t>
            </w:r>
          </w:p>
        </w:tc>
        <w:tc>
          <w:tcPr>
            <w:tcW w:w="1100" w:type="dxa"/>
            <w:vAlign w:val="bottom"/>
          </w:tcPr>
          <w:p>
            <w:pPr>
              <w:jc w:val="right"/>
              <w:ind w:right="881"/>
              <w:spacing w:after="0" w:line="234" w:lineRule="exact"/>
              <w:rPr>
                <w:sz w:val="20"/>
                <w:szCs w:val="20"/>
                <w:color w:val="auto"/>
              </w:rPr>
            </w:pPr>
            <w:r>
              <w:rPr>
                <w:rFonts w:ascii="Calibri" w:cs="Calibri" w:eastAsia="Calibri" w:hAnsi="Calibri"/>
                <w:sz w:val="20"/>
                <w:szCs w:val="20"/>
                <w:color w:val="auto"/>
                <w:w w:val="98"/>
              </w:rPr>
              <w:t>$</w:t>
            </w:r>
          </w:p>
        </w:tc>
        <w:tc>
          <w:tcPr>
            <w:tcW w:w="600" w:type="dxa"/>
            <w:vAlign w:val="bottom"/>
          </w:tcPr>
          <w:p>
            <w:pPr>
              <w:jc w:val="right"/>
              <w:spacing w:after="0" w:line="234" w:lineRule="exact"/>
              <w:rPr>
                <w:sz w:val="20"/>
                <w:szCs w:val="20"/>
                <w:color w:val="auto"/>
              </w:rPr>
            </w:pPr>
            <w:r>
              <w:rPr>
                <w:rFonts w:ascii="Calibri" w:cs="Calibri" w:eastAsia="Calibri" w:hAnsi="Calibri"/>
                <w:sz w:val="20"/>
                <w:szCs w:val="20"/>
                <w:color w:val="auto"/>
              </w:rPr>
              <w:t>61.21</w:t>
            </w:r>
          </w:p>
        </w:tc>
        <w:tc>
          <w:tcPr>
            <w:tcW w:w="700" w:type="dxa"/>
            <w:vAlign w:val="bottom"/>
            <w:gridSpan w:val="2"/>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1300" w:type="dxa"/>
            <w:vAlign w:val="bottom"/>
          </w:tcPr>
          <w:p>
            <w:pPr>
              <w:jc w:val="right"/>
              <w:spacing w:after="0" w:line="234" w:lineRule="exact"/>
              <w:rPr>
                <w:sz w:val="20"/>
                <w:szCs w:val="20"/>
                <w:color w:val="auto"/>
              </w:rPr>
            </w:pPr>
            <w:r>
              <w:rPr>
                <w:rFonts w:ascii="Calibri" w:cs="Calibri" w:eastAsia="Calibri" w:hAnsi="Calibri"/>
                <w:sz w:val="20"/>
                <w:szCs w:val="20"/>
                <w:color w:val="auto"/>
              </w:rPr>
              <w:t>48.77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25.5 %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46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Aggregates End-Use Markets</w:t>
      </w:r>
    </w:p>
    <w:p>
      <w:pPr>
        <w:spacing w:after="0" w:line="103" w:lineRule="exact"/>
        <w:rPr>
          <w:sz w:val="20"/>
          <w:szCs w:val="20"/>
          <w:color w:val="auto"/>
        </w:rPr>
      </w:pPr>
    </w:p>
    <w:p>
      <w:pPr>
        <w:jc w:val="both"/>
        <w:ind w:right="100"/>
        <w:spacing w:after="0" w:line="228" w:lineRule="auto"/>
        <w:rPr>
          <w:sz w:val="20"/>
          <w:szCs w:val="20"/>
          <w:color w:val="auto"/>
        </w:rPr>
      </w:pPr>
      <w:r>
        <w:rPr>
          <w:rFonts w:ascii="Calibri" w:cs="Calibri" w:eastAsia="Calibri" w:hAnsi="Calibri"/>
          <w:sz w:val="20"/>
          <w:szCs w:val="20"/>
          <w:color w:val="auto"/>
        </w:rPr>
        <w:t>Organic aggregates shipments to the infrastructure market increased 4%, primarily driven by increased highway constructon actvity across many of the Company’s key markets. The infrastructure market accounted for 35% of year-to-date organic aggregates shipments.</w:t>
      </w:r>
    </w:p>
    <w:p>
      <w:pPr>
        <w:spacing w:after="0" w:line="103" w:lineRule="exact"/>
        <w:rPr>
          <w:sz w:val="20"/>
          <w:szCs w:val="20"/>
          <w:color w:val="auto"/>
        </w:rPr>
      </w:pPr>
    </w:p>
    <w:p>
      <w:pPr>
        <w:jc w:val="both"/>
        <w:ind w:right="100"/>
        <w:spacing w:after="0" w:line="227" w:lineRule="auto"/>
        <w:rPr>
          <w:sz w:val="20"/>
          <w:szCs w:val="20"/>
          <w:color w:val="auto"/>
        </w:rPr>
      </w:pPr>
      <w:r>
        <w:rPr>
          <w:rFonts w:ascii="Calibri" w:cs="Calibri" w:eastAsia="Calibri" w:hAnsi="Calibri"/>
          <w:sz w:val="20"/>
          <w:szCs w:val="20"/>
          <w:color w:val="auto"/>
        </w:rPr>
        <w:t>Organic aggregates shipments to the nonresidental market increased 1%, driven by several large warehouse projects in the Central and Southwest Divisions, partally ofset by several large projects in the West Division that were not replaced in the current period. The nonresidental market represented 35% of year-to-date organic aggregates shipments.</w:t>
      </w:r>
    </w:p>
    <w:p>
      <w:pPr>
        <w:spacing w:after="0" w:line="90" w:lineRule="exact"/>
        <w:rPr>
          <w:sz w:val="20"/>
          <w:szCs w:val="20"/>
          <w:color w:val="auto"/>
        </w:rPr>
      </w:pPr>
    </w:p>
    <w:p>
      <w:pPr>
        <w:jc w:val="both"/>
        <w:ind w:right="120"/>
        <w:spacing w:after="0" w:line="228" w:lineRule="auto"/>
        <w:rPr>
          <w:sz w:val="20"/>
          <w:szCs w:val="20"/>
          <w:color w:val="auto"/>
        </w:rPr>
      </w:pPr>
      <w:r>
        <w:rPr>
          <w:rFonts w:ascii="Calibri" w:cs="Calibri" w:eastAsia="Calibri" w:hAnsi="Calibri"/>
          <w:sz w:val="20"/>
          <w:szCs w:val="20"/>
          <w:color w:val="auto"/>
        </w:rPr>
        <w:t>Organic aggregates shipments to the residental market remained fat compared with strong prior-year actvity, but slowed in the third quarter. The residental market accounted for 25% of year-to-date organic aggregates shipments.</w:t>
      </w:r>
    </w:p>
    <w:p>
      <w:pPr>
        <w:spacing w:after="0" w:line="103" w:lineRule="exact"/>
        <w:rPr>
          <w:sz w:val="20"/>
          <w:szCs w:val="20"/>
          <w:color w:val="auto"/>
        </w:rPr>
      </w:pPr>
    </w:p>
    <w:p>
      <w:pPr>
        <w:jc w:val="both"/>
        <w:ind w:right="100"/>
        <w:spacing w:after="0" w:line="228" w:lineRule="auto"/>
        <w:rPr>
          <w:sz w:val="20"/>
          <w:szCs w:val="20"/>
          <w:color w:val="auto"/>
        </w:rPr>
      </w:pPr>
      <w:r>
        <w:rPr>
          <w:rFonts w:ascii="Calibri" w:cs="Calibri" w:eastAsia="Calibri" w:hAnsi="Calibri"/>
          <w:sz w:val="20"/>
          <w:szCs w:val="20"/>
          <w:color w:val="auto"/>
        </w:rPr>
        <w:t>The ChemRock/Rail market accounted for the remaining 5% of year-to-date organic aggregates shipments. Volumes to this end use increased 4%, driven by increased ballast shipments for a large project and increased agricultural lime shipments.</w:t>
      </w:r>
    </w:p>
    <w:p>
      <w:pPr>
        <w:jc w:val="center"/>
        <w:ind w:right="100"/>
        <w:spacing w:after="0" w:line="225" w:lineRule="auto"/>
        <w:rPr>
          <w:sz w:val="20"/>
          <w:szCs w:val="20"/>
          <w:color w:val="auto"/>
        </w:rPr>
      </w:pPr>
      <w:r>
        <w:rPr>
          <w:rFonts w:ascii="Calibri" w:cs="Calibri" w:eastAsia="Calibri" w:hAnsi="Calibri"/>
          <w:sz w:val="20"/>
          <w:szCs w:val="20"/>
          <w:color w:val="auto"/>
        </w:rPr>
        <w:t>Page 42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2" w:right="239" w:bottom="1440" w:gutter="0" w:footer="0" w:header="0"/>
        </w:sectPr>
      </w:pPr>
    </w:p>
    <w:bookmarkStart w:id="42" w:name="page43"/>
    <w:bookmarkEnd w:id="42"/>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Building Materials Business</w:t>
      </w:r>
    </w:p>
    <w:p>
      <w:pPr>
        <w:spacing w:after="0" w:line="10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Year-to-date organic aggregates shipments increased 2.0%, refectng healthy underlying public product demand partally constrained by logistcs-related botlenecks and inclement weather in certain key markets. Organic aggregates pricing increased 9.4%, or 8.6% on a mix-adjusted basis. Inclusive of acquired operatons, aggregates shipments grew 8.9% and pricing also increased 8.9%, both compared with the comparable prior-year period. East Group total shipments remained fat, refectng healthy constructon actvity that was ofset by logistcal botlenecks and weather-related disruptons, while pricing increased 8.5%. West Group total shipments increased 25.2%, driven by robust underlying demand in Texas and shipments from acquired operatons. West Group pricing, inclusive of acquisitons, increased 11.0%, while organic West Group pricing increased 11.5%, or 9.7% on a mix-adjusted basis, refectng price increases and a larger percentage of shipments from higher-priced distributon yards. Aggregates product gross margin decreased 290 basis points to 27.9%, as the impact from year-over-year price increases were more than ofset by higher costs for energy, fuel, supplies, repairs and contract services.</w:t>
      </w:r>
    </w:p>
    <w:p>
      <w:pPr>
        <w:spacing w:after="0" w:line="179"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Texas cement shipments increased 10.3% year-to-date, supported by robust product demand. Cement pricing improved 16.1%, or 15.5% on a mix-adjusted basis, beneftng from multple price increases. Product gross margin expanded 380 basis points to 32.1% compared with the prior-year period, as shipment and pricing growth more than ofset energy and other cost headwinds.</w:t>
      </w:r>
    </w:p>
    <w:p>
      <w:pPr>
        <w:spacing w:after="0" w:line="104"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Organic ready mixed concrete shipments decreased 5.4%. Organic pricing grew 15.2% in the frst nine months of 2022 compared with 2021. Consolidated ready mixed concrete shipments decreased 17.4%, primarily refectng the impact of divested operatons, partally ofset by contributons from acquired ready mix operatons in Arizona, and pricing increased 9.4%. Product gross margin declined 120 basis points to 7.3%, driven primarily by higher raw material costs which more than ofset price increases.</w:t>
      </w:r>
    </w:p>
    <w:p>
      <w:pPr>
        <w:spacing w:after="0" w:line="105"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20"/>
          <w:szCs w:val="20"/>
          <w:color w:val="auto"/>
        </w:rPr>
        <w:t>Organic asphalt shipments increased 2.6%. Organic asphalt pricing increased 19.7%. Including contributons from the acquired West Coast operatons, total asphalt shipments and pricing increased 46.1% and 25.5%, respectvely. Product and services gross margin decreased 630 basis points to 11.0%, driven by higher liquid asphalt and energy costs.</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Magnesia Specialtes Business</w:t>
      </w:r>
    </w:p>
    <w:p>
      <w:pPr>
        <w:spacing w:after="0" w:line="103"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Magnesia Specialtes product revenues increased 3.5% to $214.4 million for the nine months ended September 30, 2022, driven by robust global demand for magnesia-based chemical products. Product gross proft was $74.3 million compared with $84.4 million. Product gross margin decreased 610 basis points to 34.6%, as higher costs for energy, supplies and raw materials more than ofset pricing growth.</w:t>
      </w:r>
    </w:p>
    <w:p>
      <w:pPr>
        <w:spacing w:after="0" w:line="39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Consolidated Operatng Results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Consolidated SG&amp;A for nine months ended September 30 was 6.3% of total revenues in 2022 and 2021.</w:t>
      </w:r>
    </w:p>
    <w:p>
      <w:pPr>
        <w:spacing w:after="0" w:line="103"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Among other items, other operatng income, net, includes gains and losses on the sale of assets; recoveries and write-ofs related to customer accounts receivable; rental, royalty and services income; accreton expense, depreciaton expense and gains and losses related to asset retrement obligatons. For the nine months ended September 30, consolidated other operatng income, net, was income of $177.4 million in 2022 and $28.2 million in 2021. The increase in other operatng income, net, was primarily atributable to the $151.9 million gain on the divestture of the Colorado and Central Texas ready mixed concrete operatons. Other operatng income, net, for the nine months ended September 30, 2021 included a $12.3 million gain on the sale of the Company’s former corporate headquarters.</w:t>
      </w:r>
    </w:p>
    <w:p>
      <w:pPr>
        <w:spacing w:after="0" w:line="92"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Earnings from operatons for the nine months ended September 30 were $944.4 million in 2022 compared with $763.7 million in 2021, with the increase driven by the $151.9 million gain on the divestture of the Colorado and Central Texas</w:t>
      </w:r>
    </w:p>
    <w:p>
      <w:pPr>
        <w:jc w:val="center"/>
        <w:spacing w:after="0" w:line="225" w:lineRule="auto"/>
        <w:rPr>
          <w:sz w:val="20"/>
          <w:szCs w:val="20"/>
          <w:color w:val="auto"/>
        </w:rPr>
      </w:pPr>
      <w:r>
        <w:rPr>
          <w:rFonts w:ascii="Calibri" w:cs="Calibri" w:eastAsia="Calibri" w:hAnsi="Calibri"/>
          <w:sz w:val="20"/>
          <w:szCs w:val="20"/>
          <w:color w:val="auto"/>
        </w:rPr>
        <w:t>Page 43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3" w:name="page44"/>
    <w:bookmarkEnd w:id="43"/>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198"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ready mixed concrete operatons and year-over-year price increases, partally ofset by higher costs for energy, fuel, supplies, freight and personnel.</w:t>
      </w:r>
    </w:p>
    <w:p>
      <w:pPr>
        <w:spacing w:after="0" w:line="198"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Other nonoperatng income, net, includes interest income; pension and postretrement beneft cost excluding service cost; foreign currency transacton gains and losses; equity earnings or losses from nonconsolidated afliates; and other miscellaneous income and expenses. For the nine months ended September 30, other nonoperatng income, net, was $40.1 million and $23.8 million in 2022 and 2021, respectvely. The 2022 amount included a $12.0 million pretax gain related to repurchases of the Company’s debt.</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Income Tax Expense</w:t>
      </w:r>
    </w:p>
    <w:p>
      <w:pPr>
        <w:spacing w:after="0" w:line="103"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For the nine months ended September 30, 2022 and 2021, the efectve income tax rates for contnuing operatons were 22.1% and 20.6%, respectvely. The higher 2022 efectve income tax rate versus 2021 was driven by the impact of the divestture of the Colorado and Central Texas ready mixed concrete businesses.</w:t>
      </w:r>
    </w:p>
    <w:p>
      <w:pPr>
        <w:spacing w:after="0" w:line="310" w:lineRule="exact"/>
        <w:rPr>
          <w:sz w:val="20"/>
          <w:szCs w:val="20"/>
          <w:color w:val="auto"/>
        </w:rPr>
      </w:pPr>
    </w:p>
    <w:p>
      <w:pPr>
        <w:spacing w:after="0"/>
        <w:rPr>
          <w:sz w:val="20"/>
          <w:szCs w:val="20"/>
          <w:color w:val="auto"/>
        </w:rPr>
      </w:pPr>
      <w:r>
        <w:rPr>
          <w:rFonts w:ascii="Calibri" w:cs="Calibri" w:eastAsia="Calibri" w:hAnsi="Calibri"/>
          <w:sz w:val="20"/>
          <w:szCs w:val="20"/>
          <w:color w:val="auto"/>
        </w:rPr>
        <w:t>LIQUIDITY AND CAPITAL RESOURCES</w:t>
      </w:r>
    </w:p>
    <w:p>
      <w:pPr>
        <w:spacing w:after="0" w:line="103"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Cash provided by operatng actvites for the nine months ended September 30, 2022 and 2021 was $560.7 million and $780.3 million, respectvely, driven by increased cash taxes and changes in working capital. Operatng cash fow is primarily derived from consolidated net earnings before deductng depreciaton, depleton and amortzaton, and the impact of changes in working capital. Depreciaton, depleton and amortzaton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60" w:type="dxa"/>
            <w:vAlign w:val="bottom"/>
          </w:tcPr>
          <w:p>
            <w:pPr>
              <w:spacing w:after="0"/>
              <w:rPr>
                <w:sz w:val="21"/>
                <w:szCs w:val="21"/>
                <w:color w:val="auto"/>
              </w:rPr>
            </w:pPr>
          </w:p>
        </w:tc>
        <w:tc>
          <w:tcPr>
            <w:tcW w:w="2840" w:type="dxa"/>
            <w:vAlign w:val="bottom"/>
            <w:gridSpan w:val="4"/>
          </w:tcPr>
          <w:p>
            <w:pPr>
              <w:jc w:val="center"/>
              <w:ind w:left="421"/>
              <w:spacing w:after="0"/>
              <w:rPr>
                <w:sz w:val="20"/>
                <w:szCs w:val="20"/>
                <w:color w:val="auto"/>
              </w:rPr>
            </w:pPr>
            <w:r>
              <w:rPr>
                <w:rFonts w:ascii="Calibri" w:cs="Calibri" w:eastAsia="Calibri" w:hAnsi="Calibri"/>
                <w:sz w:val="20"/>
                <w:szCs w:val="20"/>
                <w:color w:val="auto"/>
              </w:rPr>
              <w:t>Nine Months Ended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7"/>
        </w:trPr>
        <w:tc>
          <w:tcPr>
            <w:tcW w:w="776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ind w:right="401"/>
              <w:spacing w:after="0" w:line="234" w:lineRule="exact"/>
              <w:rPr>
                <w:sz w:val="20"/>
                <w:szCs w:val="20"/>
                <w:color w:val="auto"/>
              </w:rPr>
            </w:pPr>
            <w:r>
              <w:rPr>
                <w:rFonts w:ascii="Calibri" w:cs="Calibri" w:eastAsia="Calibri" w:hAnsi="Calibri"/>
                <w:sz w:val="20"/>
                <w:szCs w:val="20"/>
                <w:color w:val="auto"/>
              </w:rPr>
              <w:t>September 30,</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76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Calibri" w:cs="Calibri" w:eastAsia="Calibri" w:hAnsi="Calibri"/>
                <w:sz w:val="20"/>
                <w:szCs w:val="20"/>
                <w:color w:val="auto"/>
              </w:rPr>
              <w:t>2022</w:t>
            </w:r>
          </w:p>
        </w:tc>
        <w:tc>
          <w:tcPr>
            <w:tcW w:w="520" w:type="dxa"/>
            <w:vAlign w:val="bottom"/>
          </w:tcPr>
          <w:p>
            <w:pPr>
              <w:spacing w:after="0"/>
              <w:rPr>
                <w:sz w:val="19"/>
                <w:szCs w:val="19"/>
                <w:color w:val="auto"/>
              </w:rPr>
            </w:pPr>
          </w:p>
        </w:tc>
        <w:tc>
          <w:tcPr>
            <w:tcW w:w="1300" w:type="dxa"/>
            <w:vAlign w:val="bottom"/>
            <w:gridSpan w:val="2"/>
          </w:tcPr>
          <w:p>
            <w:pPr>
              <w:jc w:val="right"/>
              <w:spacing w:after="0" w:line="229" w:lineRule="exact"/>
              <w:rPr>
                <w:sz w:val="20"/>
                <w:szCs w:val="20"/>
                <w:color w:val="auto"/>
              </w:rPr>
            </w:pPr>
            <w:r>
              <w:rPr>
                <w:rFonts w:ascii="Calibri" w:cs="Calibri" w:eastAsia="Calibri" w:hAnsi="Calibri"/>
                <w:sz w:val="20"/>
                <w:szCs w:val="20"/>
                <w:color w:val="auto"/>
              </w:rPr>
              <w:t>2021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1540" w:type="dxa"/>
            <w:vAlign w:val="bottom"/>
            <w:tcBorders>
              <w:top w:val="single" w:sz="8" w:color="auto"/>
            </w:tcBorders>
            <w:gridSpan w:val="2"/>
          </w:tcPr>
          <w:p>
            <w:pPr>
              <w:jc w:val="right"/>
              <w:spacing w:after="0" w:line="223" w:lineRule="exact"/>
              <w:rPr>
                <w:sz w:val="20"/>
                <w:szCs w:val="20"/>
                <w:color w:val="auto"/>
              </w:rPr>
            </w:pPr>
            <w:r>
              <w:rPr>
                <w:rFonts w:ascii="Calibri" w:cs="Calibri" w:eastAsia="Calibri" w:hAnsi="Calibri"/>
                <w:sz w:val="20"/>
                <w:szCs w:val="20"/>
                <w:i w:val="1"/>
                <w:iCs w:val="1"/>
                <w:color w:val="auto"/>
              </w:rPr>
              <w:t>(Dollars</w:t>
            </w:r>
          </w:p>
        </w:tc>
        <w:tc>
          <w:tcPr>
            <w:tcW w:w="280" w:type="dxa"/>
            <w:vAlign w:val="bottom"/>
          </w:tcPr>
          <w:p>
            <w:pPr>
              <w:ind w:left="40"/>
              <w:spacing w:after="0" w:line="214" w:lineRule="exact"/>
              <w:rPr>
                <w:sz w:val="20"/>
                <w:szCs w:val="20"/>
                <w:color w:val="auto"/>
              </w:rPr>
            </w:pPr>
            <w:r>
              <w:rPr>
                <w:rFonts w:ascii="Calibri" w:cs="Calibri" w:eastAsia="Calibri" w:hAnsi="Calibri"/>
                <w:sz w:val="20"/>
                <w:szCs w:val="20"/>
                <w:i w:val="1"/>
                <w:iCs w:val="1"/>
                <w:color w:val="auto"/>
              </w:rPr>
              <w:t>in</w:t>
            </w:r>
          </w:p>
        </w:tc>
        <w:tc>
          <w:tcPr>
            <w:tcW w:w="1020" w:type="dxa"/>
            <w:vAlign w:val="bottom"/>
            <w:tcBorders>
              <w:top w:val="single" w:sz="8" w:color="auto"/>
            </w:tcBorders>
          </w:tcPr>
          <w:p>
            <w:pPr>
              <w:spacing w:after="0" w:line="223" w:lineRule="exact"/>
              <w:rPr>
                <w:sz w:val="20"/>
                <w:szCs w:val="20"/>
                <w:color w:val="auto"/>
              </w:rPr>
            </w:pPr>
            <w:r>
              <w:rPr>
                <w:rFonts w:ascii="Calibri" w:cs="Calibri" w:eastAsia="Calibri" w:hAnsi="Calibri"/>
                <w:sz w:val="20"/>
                <w:szCs w:val="20"/>
                <w:i w:val="1"/>
                <w:iCs w:val="1"/>
                <w:color w:val="auto"/>
              </w:rPr>
              <w:t>Millions)</w:t>
            </w: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Depreciaton</w:t>
            </w:r>
          </w:p>
        </w:tc>
        <w:tc>
          <w:tcPr>
            <w:tcW w:w="1020" w:type="dxa"/>
            <w:vAlign w:val="bottom"/>
            <w:shd w:val="clear" w:color="auto" w:fill="CFF0FC"/>
          </w:tcPr>
          <w:p>
            <w:pPr>
              <w:jc w:val="right"/>
              <w:ind w:right="801"/>
              <w:spacing w:after="0" w:line="229" w:lineRule="exact"/>
              <w:rPr>
                <w:sz w:val="20"/>
                <w:szCs w:val="20"/>
                <w:color w:val="auto"/>
              </w:rPr>
            </w:pPr>
            <w:r>
              <w:rPr>
                <w:rFonts w:ascii="Calibri" w:cs="Calibri" w:eastAsia="Calibri" w:hAnsi="Calibri"/>
                <w:sz w:val="20"/>
                <w:szCs w:val="20"/>
                <w:color w:val="auto"/>
                <w:w w:val="98"/>
              </w:rPr>
              <w:t>$</w:t>
            </w:r>
          </w:p>
        </w:tc>
        <w:tc>
          <w:tcPr>
            <w:tcW w:w="52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296.9</w:t>
            </w:r>
          </w:p>
        </w:tc>
        <w:tc>
          <w:tcPr>
            <w:tcW w:w="1300" w:type="dxa"/>
            <w:vAlign w:val="bottom"/>
            <w:gridSpan w:val="2"/>
            <w:shd w:val="clear" w:color="auto" w:fill="CFF0FC"/>
          </w:tcPr>
          <w:p>
            <w:pPr>
              <w:ind w:left="300"/>
              <w:spacing w:after="0" w:line="229" w:lineRule="exact"/>
              <w:rPr>
                <w:sz w:val="20"/>
                <w:szCs w:val="20"/>
                <w:color w:val="auto"/>
              </w:rPr>
            </w:pPr>
            <w:r>
              <w:rPr>
                <w:rFonts w:ascii="Calibri" w:cs="Calibri" w:eastAsia="Calibri" w:hAnsi="Calibri"/>
                <w:sz w:val="20"/>
                <w:szCs w:val="20"/>
                <w:color w:val="auto"/>
              </w:rPr>
              <w:t>$</w:t>
            </w:r>
          </w:p>
        </w:tc>
        <w:tc>
          <w:tcPr>
            <w:tcW w:w="540" w:type="dxa"/>
            <w:vAlign w:val="bottom"/>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262.1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0"/>
              <w:spacing w:after="0" w:line="229" w:lineRule="exact"/>
              <w:rPr>
                <w:sz w:val="20"/>
                <w:szCs w:val="20"/>
                <w:color w:val="auto"/>
              </w:rPr>
            </w:pPr>
            <w:r>
              <w:rPr>
                <w:rFonts w:ascii="Calibri" w:cs="Calibri" w:eastAsia="Calibri" w:hAnsi="Calibri"/>
                <w:sz w:val="20"/>
                <w:szCs w:val="20"/>
                <w:color w:val="auto"/>
              </w:rPr>
              <w:t>Depleton</w:t>
            </w:r>
          </w:p>
        </w:tc>
        <w:tc>
          <w:tcPr>
            <w:tcW w:w="1020" w:type="dxa"/>
            <w:vAlign w:val="bottom"/>
          </w:tcPr>
          <w:p>
            <w:pPr>
              <w:spacing w:after="0"/>
              <w:rPr>
                <w:sz w:val="19"/>
                <w:szCs w:val="19"/>
                <w:color w:val="auto"/>
              </w:rPr>
            </w:pPr>
          </w:p>
        </w:tc>
        <w:tc>
          <w:tcPr>
            <w:tcW w:w="520" w:type="dxa"/>
            <w:vAlign w:val="bottom"/>
          </w:tcPr>
          <w:p>
            <w:pPr>
              <w:jc w:val="right"/>
              <w:spacing w:after="0" w:line="229" w:lineRule="exact"/>
              <w:rPr>
                <w:sz w:val="20"/>
                <w:szCs w:val="20"/>
                <w:color w:val="auto"/>
              </w:rPr>
            </w:pPr>
            <w:r>
              <w:rPr>
                <w:rFonts w:ascii="Calibri" w:cs="Calibri" w:eastAsia="Calibri" w:hAnsi="Calibri"/>
                <w:sz w:val="20"/>
                <w:szCs w:val="20"/>
                <w:color w:val="auto"/>
              </w:rPr>
              <w:t>45.9</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line="229" w:lineRule="exact"/>
              <w:rPr>
                <w:sz w:val="20"/>
                <w:szCs w:val="20"/>
                <w:color w:val="auto"/>
              </w:rPr>
            </w:pPr>
            <w:r>
              <w:rPr>
                <w:rFonts w:ascii="Calibri" w:cs="Calibri" w:eastAsia="Calibri" w:hAnsi="Calibri"/>
                <w:sz w:val="20"/>
                <w:szCs w:val="20"/>
                <w:color w:val="auto"/>
              </w:rPr>
              <w:t>29.5</w:t>
            </w:r>
          </w:p>
        </w:tc>
        <w:tc>
          <w:tcPr>
            <w:tcW w:w="100" w:type="dxa"/>
            <w:vAlign w:val="bottom"/>
          </w:tcPr>
          <w:p>
            <w:pPr>
              <w:spacing w:after="0"/>
              <w:rPr>
                <w:sz w:val="19"/>
                <w:szCs w:val="19"/>
                <w:color w:val="auto"/>
              </w:rPr>
            </w:pPr>
          </w:p>
        </w:tc>
      </w:tr>
      <w:tr>
        <w:trPr>
          <w:trHeight w:val="229"/>
        </w:trPr>
        <w:tc>
          <w:tcPr>
            <w:tcW w:w="7760" w:type="dxa"/>
            <w:vAlign w:val="bottom"/>
            <w:tcBorders>
              <w:bottom w:val="single" w:sz="8" w:color="CFF0FC"/>
            </w:tcBorders>
            <w:shd w:val="clear" w:color="auto" w:fill="CFF0FC"/>
          </w:tcPr>
          <w:p>
            <w:pPr>
              <w:ind w:left="20"/>
              <w:spacing w:after="0" w:line="229" w:lineRule="exact"/>
              <w:rPr>
                <w:sz w:val="20"/>
                <w:szCs w:val="20"/>
                <w:color w:val="auto"/>
              </w:rPr>
            </w:pPr>
            <w:r>
              <w:rPr>
                <w:rFonts w:ascii="Calibri" w:cs="Calibri" w:eastAsia="Calibri" w:hAnsi="Calibri"/>
                <w:sz w:val="20"/>
                <w:szCs w:val="20"/>
                <w:color w:val="auto"/>
              </w:rPr>
              <w:t>Amortzaton</w:t>
            </w: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37.5</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line="229" w:lineRule="exact"/>
              <w:rPr>
                <w:sz w:val="20"/>
                <w:szCs w:val="20"/>
                <w:color w:val="auto"/>
              </w:rPr>
            </w:pPr>
            <w:r>
              <w:rPr>
                <w:rFonts w:ascii="Calibri" w:cs="Calibri" w:eastAsia="Calibri" w:hAnsi="Calibri"/>
                <w:sz w:val="20"/>
                <w:szCs w:val="20"/>
                <w:color w:val="auto"/>
              </w:rPr>
              <w:t>28.4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0"/>
              <w:spacing w:after="0" w:line="223" w:lineRule="exact"/>
              <w:rPr>
                <w:sz w:val="20"/>
                <w:szCs w:val="20"/>
                <w:color w:val="auto"/>
              </w:rPr>
            </w:pPr>
            <w:r>
              <w:rPr>
                <w:rFonts w:ascii="Calibri" w:cs="Calibri" w:eastAsia="Calibri" w:hAnsi="Calibri"/>
                <w:sz w:val="20"/>
                <w:szCs w:val="20"/>
                <w:color w:val="auto"/>
              </w:rPr>
              <w:t>Total</w:t>
            </w:r>
          </w:p>
        </w:tc>
        <w:tc>
          <w:tcPr>
            <w:tcW w:w="1020" w:type="dxa"/>
            <w:vAlign w:val="bottom"/>
          </w:tcPr>
          <w:p>
            <w:pPr>
              <w:jc w:val="right"/>
              <w:ind w:right="801"/>
              <w:spacing w:after="0" w:line="223" w:lineRule="exact"/>
              <w:rPr>
                <w:sz w:val="20"/>
                <w:szCs w:val="20"/>
                <w:color w:val="auto"/>
              </w:rPr>
            </w:pPr>
            <w:r>
              <w:rPr>
                <w:rFonts w:ascii="Calibri" w:cs="Calibri" w:eastAsia="Calibri" w:hAnsi="Calibri"/>
                <w:sz w:val="20"/>
                <w:szCs w:val="20"/>
                <w:color w:val="auto"/>
                <w:w w:val="98"/>
              </w:rPr>
              <w:t>$</w:t>
            </w:r>
          </w:p>
        </w:tc>
        <w:tc>
          <w:tcPr>
            <w:tcW w:w="520" w:type="dxa"/>
            <w:vAlign w:val="bottom"/>
          </w:tcPr>
          <w:p>
            <w:pPr>
              <w:jc w:val="right"/>
              <w:spacing w:after="0" w:line="223" w:lineRule="exact"/>
              <w:rPr>
                <w:sz w:val="20"/>
                <w:szCs w:val="20"/>
                <w:color w:val="auto"/>
              </w:rPr>
            </w:pPr>
            <w:r>
              <w:rPr>
                <w:rFonts w:ascii="Calibri" w:cs="Calibri" w:eastAsia="Calibri" w:hAnsi="Calibri"/>
                <w:sz w:val="20"/>
                <w:szCs w:val="20"/>
                <w:color w:val="auto"/>
              </w:rPr>
              <w:t>380.3</w:t>
            </w:r>
          </w:p>
        </w:tc>
        <w:tc>
          <w:tcPr>
            <w:tcW w:w="1300" w:type="dxa"/>
            <w:vAlign w:val="bottom"/>
            <w:gridSpan w:val="2"/>
          </w:tcPr>
          <w:p>
            <w:pPr>
              <w:ind w:left="300"/>
              <w:spacing w:after="0" w:line="223" w:lineRule="exact"/>
              <w:rPr>
                <w:sz w:val="20"/>
                <w:szCs w:val="20"/>
                <w:color w:val="auto"/>
              </w:rPr>
            </w:pPr>
            <w:r>
              <w:rPr>
                <w:rFonts w:ascii="Calibri" w:cs="Calibri" w:eastAsia="Calibri" w:hAnsi="Calibri"/>
                <w:sz w:val="20"/>
                <w:szCs w:val="20"/>
                <w:color w:val="auto"/>
              </w:rPr>
              <w:t>$</w:t>
            </w:r>
          </w:p>
        </w:tc>
        <w:tc>
          <w:tcPr>
            <w:tcW w:w="540" w:type="dxa"/>
            <w:vAlign w:val="bottom"/>
          </w:tcPr>
          <w:p>
            <w:pPr>
              <w:jc w:val="right"/>
              <w:spacing w:after="0" w:line="223" w:lineRule="exact"/>
              <w:rPr>
                <w:sz w:val="20"/>
                <w:szCs w:val="20"/>
                <w:color w:val="auto"/>
              </w:rPr>
            </w:pPr>
            <w:r>
              <w:rPr>
                <w:rFonts w:ascii="Calibri" w:cs="Calibri" w:eastAsia="Calibri" w:hAnsi="Calibri"/>
                <w:sz w:val="20"/>
                <w:szCs w:val="20"/>
                <w:color w:val="auto"/>
              </w:rPr>
              <w:t>320.0</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180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18"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color w:val="auto"/>
        </w:rPr>
        <w:t>The seasonal nature of constructon actvity impacts the Company’s interim operatng cash fow when compared with the full year. Full-year 2021 net cash provided by operatng actvites was $1.14 billion.</w:t>
      </w:r>
    </w:p>
    <w:p>
      <w:pPr>
        <w:spacing w:after="0" w:line="103" w:lineRule="exact"/>
        <w:rPr>
          <w:sz w:val="20"/>
          <w:szCs w:val="20"/>
          <w:color w:val="auto"/>
        </w:rPr>
      </w:pPr>
    </w:p>
    <w:p>
      <w:pPr>
        <w:jc w:val="both"/>
        <w:ind w:right="20"/>
        <w:spacing w:after="0" w:line="221" w:lineRule="auto"/>
        <w:rPr>
          <w:sz w:val="20"/>
          <w:szCs w:val="20"/>
          <w:color w:val="auto"/>
        </w:rPr>
      </w:pPr>
      <w:r>
        <w:rPr>
          <w:rFonts w:ascii="Calibri" w:cs="Calibri" w:eastAsia="Calibri" w:hAnsi="Calibri"/>
          <w:sz w:val="20"/>
          <w:szCs w:val="20"/>
          <w:color w:val="auto"/>
        </w:rPr>
        <w:t>During the nine months ended September 30, 2022 and 2021, the Company paid $309.1 million and $321.3 million, respectvely, for capital investments. In October 2022, the Company entered into a commitment for 691 railcars at an aggregate value of $75.8 million.</w:t>
      </w:r>
    </w:p>
    <w:p>
      <w:pPr>
        <w:spacing w:after="0" w:line="104"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The Company can repurchase its common stock through open-market purchases pursuant to authority granted by its Board of Directors or through private transactons at such prices and upon such terms as the Chief Executve Ofcer deems appropriate. The Company repurchased 418,336 shares of common stock during the frst nine months of 2022 at an aggregate cost of $150.0 million. At September 30, 2022, 13,102,616 shares of common stock can be purchased under the Company’s repurchase authorizaton.</w:t>
      </w:r>
    </w:p>
    <w:p>
      <w:pPr>
        <w:spacing w:after="0" w:line="106" w:lineRule="exact"/>
        <w:rPr>
          <w:sz w:val="20"/>
          <w:szCs w:val="20"/>
          <w:color w:val="auto"/>
        </w:rPr>
      </w:pPr>
    </w:p>
    <w:p>
      <w:pPr>
        <w:jc w:val="both"/>
        <w:spacing w:after="0" w:line="221" w:lineRule="auto"/>
        <w:rPr>
          <w:sz w:val="20"/>
          <w:szCs w:val="20"/>
          <w:color w:val="auto"/>
        </w:rPr>
      </w:pPr>
      <w:r>
        <w:rPr>
          <w:rFonts w:ascii="Calibri" w:cs="Calibri" w:eastAsia="Calibri" w:hAnsi="Calibri"/>
          <w:sz w:val="20"/>
          <w:szCs w:val="20"/>
          <w:color w:val="auto"/>
        </w:rPr>
        <w:t>During the nine months ended September 30, 2022, the Company repurchased $67.7 million (par value) of its Senior Notes, resultng in a pretax gain of $12.0 million.</w:t>
      </w:r>
    </w:p>
    <w:p>
      <w:pPr>
        <w:jc w:val="center"/>
        <w:spacing w:after="0" w:line="226" w:lineRule="auto"/>
        <w:rPr>
          <w:sz w:val="20"/>
          <w:szCs w:val="20"/>
          <w:color w:val="auto"/>
        </w:rPr>
      </w:pPr>
      <w:r>
        <w:rPr>
          <w:rFonts w:ascii="Calibri" w:cs="Calibri" w:eastAsia="Calibri" w:hAnsi="Calibri"/>
          <w:sz w:val="20"/>
          <w:szCs w:val="20"/>
          <w:color w:val="auto"/>
        </w:rPr>
        <w:t>Page 44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4" w:name="page45"/>
    <w:bookmarkEnd w:id="44"/>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 xml:space="preserve">On September 29, 2022, the Company satsfed and discharged its 0.650% Senior Notes due 2023 (the 2023 Notes). In connecton with the satsfacton and discharge, the Company irrevocably deposited with Regions Bank (the Trustee) funds in an amount sufcient to satsfy all remaining principal and interest payments on the 2023 Notes. The funds are invested in a fund that invests exclusively in U.S. Treasury securites and are classifed as </w:t>
      </w:r>
      <w:r>
        <w:rPr>
          <w:rFonts w:ascii="Calibri" w:cs="Calibri" w:eastAsia="Calibri" w:hAnsi="Calibri"/>
          <w:sz w:val="20"/>
          <w:szCs w:val="20"/>
          <w:i w:val="1"/>
          <w:iCs w:val="1"/>
          <w:color w:val="auto"/>
        </w:rPr>
        <w:t>Restricted investments (to satsfy discharged debt and related interest)</w:t>
      </w:r>
      <w:r>
        <w:rPr>
          <w:rFonts w:ascii="Calibri" w:cs="Calibri" w:eastAsia="Calibri" w:hAnsi="Calibri"/>
          <w:sz w:val="20"/>
          <w:szCs w:val="20"/>
          <w:color w:val="auto"/>
        </w:rPr>
        <w:t xml:space="preserve"> on the consolidated balance sheet at September 30, 2022. Holders of the 2023 Notes will receive payment of principal on the scheduled maturity date and payment of interest at the per annum rate (and on the dates) set forth in the 2023 Notes indenture. The Company utlized existng cash resources to fund the satsfacton and discharge. As a result of the satsfacton and discharge of the 2023 Notes, the obligatons of the Company under the indenture in respect of the 2023 Notes have been terminated, except those provisions of the indenture that, by their terms, survive the satsfacton and discharge. The 2023 Notes remain on the Company’s consolidated balance sheet at September 30, 2022 and will contnue to accrete to their par value over the period untl maturity in July 2023.</w:t>
      </w:r>
    </w:p>
    <w:p>
      <w:pPr>
        <w:spacing w:after="0" w:line="108"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The Company, through a wholly-owned special-purpose subsidiary, has a $400 million trade receivable securitzaton facility (the Trade Receivable Facility). On September 21, 2022, the Company extended the maturity of the Trade Receivable Facility to September 20, 2023. The Trade Receivable Facility contains a cross-default provision to the Company’s other debt agreements.</w:t>
      </w:r>
    </w:p>
    <w:p>
      <w:pPr>
        <w:spacing w:after="0" w:line="104"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color w:val="auto"/>
        </w:rPr>
        <w:t>The Company has an $800 million fve-year senior unsecured revolving facility (the Revolving Facility), which expires in December 2026. The Revolving Facility requires the Company’s rato of consolidated debt-to-consolidated EBITDA, as defned, for the trailing-twelve-month period (the Rato) to not exceed 3.50 tmes as of the end of any fscal quarter, provided that the Company may exclude from the Rato debt incurred in connecton with certain acquisitons during the quarter or the three preceding quarters so long as the Rato calculated without such exclusion does not exceed 4.00 tmes. Additonally, if there are no amounts outstanding under the Revolving Facility and the Trade Receivable Facility, consolidated debt, including debt for which the Company is a guarantor, may be reduced in an amount equal to the lesser of $500.0 million or the sum of the Company’s unrestricted cash and temporary investments, for purposes of the covenant calculaton. The Company was in compliance with the Rato at September 30, 2022.</w:t>
      </w:r>
    </w:p>
    <w:p>
      <w:pPr>
        <w:spacing w:after="0" w:line="94"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color w:val="auto"/>
        </w:rPr>
        <w:t>In the event of a default on the Rato, the lenders can terminate the Revolving Facility and Trade Receivable Facility and declare any outstanding balances as immediately due. There were no amounts outstanding under the Trade Receivable Facility or the Revolving Facility at September 30, 2022.</w:t>
      </w:r>
    </w:p>
    <w:p>
      <w:pPr>
        <w:spacing w:after="0" w:line="104"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color w:val="auto"/>
        </w:rPr>
        <w:t>Cash on hand and restricted investments,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address near-term debt maturites, meet capital expenditures and discretonary investment needs, fund certain acquisiton opportunites that may arise, allow the repurchase of shares of the Company’s common stock and allow for payment of dividends for the foreseeable future. At September 30, 2022, the Company had $1,197.4 million of unused borrowing capacity under its Revolving Facility and Trade Receivable Facility, subject to complying with the related leverage covenant. Historically, the Company has successfully extended the maturity dates of these credit facilites.</w:t>
      </w:r>
    </w:p>
    <w:p>
      <w:pPr>
        <w:spacing w:after="0" w:line="10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The Coronavirus Aid, Relief and Economic Security Act (CARES Act) was signed into law in March 2020 and provided liquidity support for businesses. Through the CARES Act, the Company deferred payment of $27.6 million, representng the 6.2% employer share of Social Security taxes for the period from March 27, 2020 through December 31, 2020. Half of the deferred obligaton was repaid in 2021 and the remaining half is due December 31, 2022. There will be no interest assessed on amounts deferred.</w:t>
      </w:r>
    </w:p>
    <w:p>
      <w:pPr>
        <w:jc w:val="center"/>
        <w:spacing w:after="0" w:line="227" w:lineRule="auto"/>
        <w:rPr>
          <w:sz w:val="20"/>
          <w:szCs w:val="20"/>
          <w:color w:val="auto"/>
        </w:rPr>
      </w:pPr>
      <w:r>
        <w:rPr>
          <w:rFonts w:ascii="Calibri" w:cs="Calibri" w:eastAsia="Calibri" w:hAnsi="Calibri"/>
          <w:sz w:val="20"/>
          <w:szCs w:val="20"/>
          <w:color w:val="auto"/>
        </w:rPr>
        <w:t>Page 45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5" w:name="page46"/>
    <w:bookmarkEnd w:id="45"/>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color w:val="auto"/>
        </w:rPr>
        <w:t>TRENDS AND RISKS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outlined the risks associated with its business in its Annual Report on Form 10-K for the year ended December 31, 2021.</w:t>
      </w:r>
    </w:p>
    <w:p>
      <w:pPr>
        <w:spacing w:after="0" w:line="212" w:lineRule="auto"/>
        <w:rPr>
          <w:sz w:val="20"/>
          <w:szCs w:val="20"/>
          <w:color w:val="auto"/>
        </w:rPr>
      </w:pPr>
      <w:r>
        <w:rPr>
          <w:rFonts w:ascii="Calibri" w:cs="Calibri" w:eastAsia="Calibri" w:hAnsi="Calibri"/>
          <w:sz w:val="20"/>
          <w:szCs w:val="20"/>
          <w:color w:val="auto"/>
        </w:rPr>
        <w:t>Management contnues to evaluate its exposure to all operatng risks on an ongoing basis.</w:t>
      </w:r>
    </w:p>
    <w:p>
      <w:pPr>
        <w:spacing w:after="0" w:line="103"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On August 16, 2022, the U.S. enacted the Infaton Reducton Act of 2022, which, among other things, implements a 15% minimum tax on book income of certain large corporatons, a 1% excise tax on net stock repurchases and several tax incentves to promote clean energy. Based on the Company’s current analysis of the provisions, management does not believe this legislaton will have a material impact on the Company’s consolidated fnancial statements.</w:t>
      </w:r>
    </w:p>
    <w:p>
      <w:pPr>
        <w:spacing w:after="0" w:line="313" w:lineRule="exact"/>
        <w:rPr>
          <w:sz w:val="20"/>
          <w:szCs w:val="20"/>
          <w:color w:val="auto"/>
        </w:rPr>
      </w:pPr>
    </w:p>
    <w:p>
      <w:pPr>
        <w:spacing w:after="0"/>
        <w:rPr>
          <w:sz w:val="20"/>
          <w:szCs w:val="20"/>
          <w:color w:val="auto"/>
        </w:rPr>
      </w:pPr>
      <w:r>
        <w:rPr>
          <w:rFonts w:ascii="Calibri" w:cs="Calibri" w:eastAsia="Calibri" w:hAnsi="Calibri"/>
          <w:sz w:val="20"/>
          <w:szCs w:val="20"/>
          <w:color w:val="auto"/>
        </w:rPr>
        <w:t>OTHER MATTERS</w:t>
      </w:r>
    </w:p>
    <w:p>
      <w:pPr>
        <w:spacing w:after="0" w:line="90"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06"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color w:val="auto"/>
        </w:rPr>
        <w:t>Investors are cautoned that all statements in this Form 10-Q that relate to the future involve risks and uncertaintes, and are based on assumptons that the Company believes in good faith are reasonable but which may be materially diferent from actual results. These statements, which are forward-looking statements under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Any or all of management’s forward-looking statements here and in other publicatons may turn out to be wrong.</w:t>
      </w:r>
    </w:p>
    <w:p>
      <w:pPr>
        <w:spacing w:after="0" w:line="10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The Company’s outlook is subject to various risks and uncertaintes and is based on assumptons that the Company believes in good faith are reasonable but which may be materially diferent from actual results. Factors that the Company currently believes could cause actual results to difer materially from the forward-looking statements in this Form 10-Q include, but are not limited to: the ability of the Company to face challenges, including shipment declines resultng from economic events beyond the Company’s control; a widespread decline in aggregates pricing, including a decline in aggregates shipment volume negatvely afectng aggregates price; the history of both cement and ready mixed concrete being subject to signifcant changes in supply, demand and price fuctuatons; the terminaton, capping and/or reducton or suspension of the federal and/or state gasoline tax(es) or other revenue related to public constructon; the level and tming of federal, state or local transportaton or infrastructure or public projects funding, most partcularly in Texas, Colorado, California, North Carolina, Georgia, Minnesota, Iowa, Florida, Indiana and Maryland; the United States Congress’ inability to reach agreement among themselves or with the Administraton on policy issues that impact the federal budget; the ability of states and/or other enttes to fnance approved projects either with tax revenues or alternatve fnancing structures; levels of constructon spending in the markets the Company serves; a reducton in defense spending and the subsequent impact on constructon actvity on or near military bases; a decline in energy-related constructon actvity resultng from suspension of the gas tax or a sustained period of low global oil prices or changes in oil producton paterns or capital spending, partcularly in Texas and West Virginia; increasing residental mortgage interest rates and other factors that could result in a slowdown in residental constructon; unfavorable weather conditons, partcularly Atlantc Ocean and Gulf of Mexico hurricane actvity, wildfres, the late start to spring or the early onset of winter and the impact of a drought or excessive rainfall in the markets served by the Company, any of which can signifcantly afect producton schedules, volumes, product and/or geographic mix and proftability; the volatlity of fuel costs, partcularly diesel fuel,</w:t>
      </w:r>
    </w:p>
    <w:p>
      <w:pPr>
        <w:jc w:val="center"/>
        <w:spacing w:after="0" w:line="237" w:lineRule="auto"/>
        <w:rPr>
          <w:sz w:val="20"/>
          <w:szCs w:val="20"/>
          <w:color w:val="auto"/>
        </w:rPr>
      </w:pPr>
      <w:r>
        <w:rPr>
          <w:rFonts w:ascii="Calibri" w:cs="Calibri" w:eastAsia="Calibri" w:hAnsi="Calibri"/>
          <w:sz w:val="20"/>
          <w:szCs w:val="20"/>
          <w:color w:val="auto"/>
        </w:rPr>
        <w:t>Page 46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6" w:name="page47"/>
    <w:bookmarkEnd w:id="46"/>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306"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notably related to the current confict between Russia and Ukraine, and the impact on the cost, or the availability generally, of other consumables, namely steel, explosives, tres and conveyor belts, and with respect to the Company’s Magnesia Specialtes business, natural gas; contnued increases in the cost of other repair and supply parts; constructon labor shortages and/or supply‐chain challenges; unexpected equipment failures, unscheduled maintenance, industrial accident or other prolonged and/or signifcant disrupton to producton facilites; the resiliency and potental declines of the Company’s various constructon end-use markets; the potental negatve duraton, severity and impact of a resurgence of the COVID-19 pandemic on the Company’s ability to contnue supplying heavy-side building materials and related services at normal levels or at all in the Company’s key regions, including the markets in which it does business, its suppliers, customers or other business partners as well as on its employees; the economic impact of government responses to a resurgence of COVID-19; the performance of the United States economy; the impact of governmental orders restrictng actvites imposed to prevent further outbreak of COVID-19 on travel, potentally reducing state fuel tax revenues used to fund highway projects; a decline in the commercial component of the nonresidental constructon market, notably ofce and retail space, including a decline resultng from economic distress related to the COVID-19 pandemic; increasing governmental regulaton, including environmental laws; the failure of relevant government agencies to implement expected regulatory reductons; transportaton availability or a sustained reducton in capital investment by the railroads, notably the availability of railcars, locomotve power and the conditon of rail infrastructure to move trains to supply the Company’s Texas, Colorado, Florida, Carolinas and Gulf Coast markets, including the movement of essental dolomitc lime for magnesia chemicals to the Company’s plant in Manistee, Michigan and its customers; increased transportaton costs, including increases from higher or fuctuatng passed-through energy costs or fuel surcharges, and other costs to comply with tghtening regulatons, as well as higher volumes of rail and water shipments; availability of trucks and licensed drivers for transport of the Company’s materials; availability and cost of constructon equipment in the United States; weakening in the steel industry markets served by the Company’s dolomitc lime products; trade disputes with one or more natons impactng the U.S. economy, including the impact of tarifs on the steel industry; unplanned changes in costs or realignment of customers that introduce volatlity to earnings, including that of the Magnesia Specialtes business that is running at capacity; proper functoning of informaton technology and automated operatng systems to manage or support operatons; infaton and its efect on both producton and interest costs; the concentraton of customers in constructon markets and the increased risk of potental losses on customer receivables; the impact of the level of demand in the Company’s end-use markets, producton levels and management of producton costs on the operatng leverage and therefore proftability of the Company; the possibility that the expected synergies from acquisitons will not be realized or will not be realized within the expected tme period, including achieving antcipated proftability to maintain compliance with the Company’s leverage rato debt covenant; changes in tax laws, the interpretaton of such laws and/or administratve practces, including acquisitons or divesttures, that would increase the Company’s tax rate; violaton of the Company’s debt covenant if price and/or volumes return to previous levels of instability; downward pressure on the Company’s common stock price and its impact on goodwill impairment evaluatons; the possibility of a reducton of the Company’s credit ratng to non-investment grade; and other risk factors listed from tme to tme found in the Company’s flings with the SEC.</w:t>
      </w:r>
    </w:p>
    <w:p>
      <w:pPr>
        <w:spacing w:after="0" w:line="132"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color w:val="auto"/>
        </w:rPr>
        <w:t>You should consider these forward-looking statements in light of risk factors discussed in the Company’s Annual Report on Form 10-K for the year ended December 31, 2021 and other periodic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The Company assumes no obligaton to update any such forward-looking statements.</w:t>
      </w:r>
    </w:p>
    <w:p>
      <w:pPr>
        <w:spacing w:after="0" w:line="19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47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7" w:name="page48"/>
    <w:bookmarkEnd w:id="47"/>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MANAGEMENT’S DISCUSSION AND ANALYSIS OF FINANCIAL CONDITION AND</w:t>
      </w:r>
    </w:p>
    <w:p>
      <w:pPr>
        <w:jc w:val="center"/>
        <w:spacing w:after="0" w:line="225" w:lineRule="auto"/>
        <w:rPr>
          <w:sz w:val="20"/>
          <w:szCs w:val="20"/>
          <w:color w:val="auto"/>
        </w:rPr>
      </w:pPr>
      <w:r>
        <w:rPr>
          <w:rFonts w:ascii="Calibri" w:cs="Calibri" w:eastAsia="Calibri" w:hAnsi="Calibri"/>
          <w:sz w:val="20"/>
          <w:szCs w:val="20"/>
          <w:color w:val="auto"/>
        </w:rPr>
        <w:t>RESULTS OF OPERATIONS</w:t>
      </w:r>
    </w:p>
    <w:p>
      <w:pPr>
        <w:jc w:val="center"/>
        <w:ind w:right="-59"/>
        <w:spacing w:after="0" w:line="226"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ACCESS TO COMPANY FILINGS</w:t>
      </w:r>
    </w:p>
    <w:p>
      <w:pPr>
        <w:spacing w:after="0" w:line="161" w:lineRule="exact"/>
        <w:rPr>
          <w:sz w:val="20"/>
          <w:szCs w:val="20"/>
          <w:color w:val="auto"/>
        </w:rPr>
      </w:pPr>
    </w:p>
    <w:p>
      <w:pPr>
        <w:spacing w:after="0"/>
        <w:rPr>
          <w:sz w:val="20"/>
          <w:szCs w:val="20"/>
          <w:color w:val="auto"/>
        </w:rPr>
      </w:pPr>
      <w:r>
        <w:rPr>
          <w:rFonts w:ascii="Calibri" w:cs="Calibri" w:eastAsia="Calibri" w:hAnsi="Calibri"/>
          <w:sz w:val="20"/>
          <w:szCs w:val="20"/>
          <w:color w:val="auto"/>
        </w:rPr>
        <w:t>Shareholders may obtain, without charge, a copy of Martn Marieta’s Annual Report on Form 10-K, as fled with the Securites and</w:t>
      </w:r>
    </w:p>
    <w:p>
      <w:pPr>
        <w:spacing w:after="0" w:line="225" w:lineRule="auto"/>
        <w:rPr>
          <w:sz w:val="20"/>
          <w:szCs w:val="20"/>
          <w:color w:val="auto"/>
        </w:rPr>
      </w:pPr>
      <w:r>
        <w:rPr>
          <w:rFonts w:ascii="Calibri" w:cs="Calibri" w:eastAsia="Calibri" w:hAnsi="Calibri"/>
          <w:sz w:val="20"/>
          <w:szCs w:val="20"/>
          <w:color w:val="auto"/>
        </w:rPr>
        <w:t>Exchange Commission for the fscal year ended December 31, 2021, by writng to:</w:t>
      </w:r>
    </w:p>
    <w:p>
      <w:pPr>
        <w:spacing w:after="0" w:line="94"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Martn Marieta</w:t>
      </w:r>
    </w:p>
    <w:p>
      <w:pPr>
        <w:ind w:left="260"/>
        <w:spacing w:after="0" w:line="225" w:lineRule="auto"/>
        <w:rPr>
          <w:sz w:val="20"/>
          <w:szCs w:val="20"/>
          <w:color w:val="auto"/>
        </w:rPr>
      </w:pPr>
      <w:r>
        <w:rPr>
          <w:rFonts w:ascii="Calibri" w:cs="Calibri" w:eastAsia="Calibri" w:hAnsi="Calibri"/>
          <w:sz w:val="20"/>
          <w:szCs w:val="20"/>
          <w:color w:val="auto"/>
        </w:rPr>
        <w:t>Atn: Corporate Secretary</w:t>
      </w:r>
    </w:p>
    <w:p>
      <w:pPr>
        <w:ind w:left="260"/>
        <w:spacing w:after="0" w:line="226" w:lineRule="auto"/>
        <w:rPr>
          <w:sz w:val="20"/>
          <w:szCs w:val="20"/>
          <w:color w:val="auto"/>
        </w:rPr>
      </w:pPr>
      <w:r>
        <w:rPr>
          <w:rFonts w:ascii="Calibri" w:cs="Calibri" w:eastAsia="Calibri" w:hAnsi="Calibri"/>
          <w:sz w:val="20"/>
          <w:szCs w:val="20"/>
          <w:color w:val="auto"/>
        </w:rPr>
        <w:t>4123 Parklake Avenue</w:t>
      </w:r>
    </w:p>
    <w:p>
      <w:pPr>
        <w:ind w:left="260"/>
        <w:spacing w:after="0" w:line="225" w:lineRule="auto"/>
        <w:rPr>
          <w:sz w:val="20"/>
          <w:szCs w:val="20"/>
          <w:color w:val="auto"/>
        </w:rPr>
      </w:pPr>
      <w:r>
        <w:rPr>
          <w:rFonts w:ascii="Calibri" w:cs="Calibri" w:eastAsia="Calibri" w:hAnsi="Calibri"/>
          <w:sz w:val="20"/>
          <w:szCs w:val="20"/>
          <w:color w:val="auto"/>
        </w:rPr>
        <w:t>Raleigh, North Carolina 27612</w:t>
      </w:r>
    </w:p>
    <w:p>
      <w:pPr>
        <w:spacing w:after="0" w:line="90"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Additonally, Martn Marieta’s Annual Report, press releases and flings with the Securites and Exchange Commission, including Forms 10-K, 10-Q, 8-K and 11-K, can generally be accessed via the Company’s website. Filings with the Securites and Exchange Commission accessed via the website are available through a link with the Electronic Data Gathering, Analysis, and Retrieval (EDGAR) system. Accordingly, access to such flings is available upon EDGAR placing the related document in its database. Investor relatons contact informaton is as follows:</w:t>
      </w:r>
    </w:p>
    <w:p>
      <w:pPr>
        <w:spacing w:after="0" w:line="96"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Telephone: (919) 510-4736</w:t>
      </w:r>
    </w:p>
    <w:p>
      <w:pPr>
        <w:ind w:left="260"/>
        <w:spacing w:after="0" w:line="225" w:lineRule="auto"/>
        <w:rPr>
          <w:sz w:val="20"/>
          <w:szCs w:val="20"/>
          <w:color w:val="auto"/>
        </w:rPr>
      </w:pPr>
      <w:r>
        <w:rPr>
          <w:rFonts w:ascii="Calibri" w:cs="Calibri" w:eastAsia="Calibri" w:hAnsi="Calibri"/>
          <w:sz w:val="20"/>
          <w:szCs w:val="20"/>
          <w:color w:val="auto"/>
        </w:rPr>
        <w:t>Website address: www.martnmarieta.com</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Informaton included on the Company’s website is not incorporated into, or otherwise creates a part of, this report.</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48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8" w:name="page49"/>
    <w:bookmarkEnd w:id="48"/>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Item 3. Quanttatve and Qualitatve Disclosures About Market Risk.</w:t>
      </w:r>
    </w:p>
    <w:p>
      <w:pPr>
        <w:spacing w:after="0" w:line="103"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color w:val="auto"/>
        </w:rPr>
        <w:t>The Company’s operatons are highly dependent upon the interest rate-sensitve constructon and steelmaking industries. Demand in the residental and nonresidental constructon markets, which combined accounted for 60% of aggregates shipments for the nine months ended September 30, 2022, is afected by interest rates. Since December 31, 2021, the Federal Reserve raised the target federal funds rate 300 basis points, and more increases are expected during the fourth quarter. Consequently, these marketplaces could experience lower levels of economic actvity in an environment of rising interest rates or escalatng costs if companies and consumers are unable to obtain fnancing for constructon projects or if consumer confdence is eroded by economic uncertainty.</w:t>
      </w:r>
    </w:p>
    <w:p>
      <w:pPr>
        <w:spacing w:after="0" w:line="104"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Demand for aggregates products, partcularly in the infrastructure constructon market, is afected by federal, state and local budget and defcit issues.</w:t>
      </w:r>
    </w:p>
    <w:p>
      <w:pPr>
        <w:spacing w:after="0" w:line="90"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color w:val="auto"/>
        </w:rPr>
        <w:t>Aside from these inherent risks from within its operatons, the Company’s earnings are also afected by changes in short-term interest rates and changes in enacted tax laws.</w:t>
      </w:r>
    </w:p>
    <w:p>
      <w:pPr>
        <w:spacing w:after="0" w:line="10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i w:val="1"/>
          <w:iCs w:val="1"/>
          <w:color w:val="auto"/>
        </w:rPr>
        <w:t xml:space="preserve">Variable-Rate Borrowing Facilites. </w:t>
      </w:r>
      <w:r>
        <w:rPr>
          <w:rFonts w:ascii="Calibri" w:cs="Calibri" w:eastAsia="Calibri" w:hAnsi="Calibri"/>
          <w:sz w:val="20"/>
          <w:szCs w:val="20"/>
          <w:color w:val="auto"/>
        </w:rPr>
        <w:t>At September 30, 2022, the Company had an $800.0 million Revolving Facility and a $400.0 million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Trade Receivable Facility. Borrowings under these facilites bear interest at a variable interest rate. There were no borrowings outstanding on either facility at September 30, 2022. However, any future borrowings under the credit facilites or outstanding variable-rate debt are exposed to interest rate risk.</w:t>
      </w:r>
    </w:p>
    <w:p>
      <w:pPr>
        <w:spacing w:after="0" w:line="106" w:lineRule="exact"/>
        <w:rPr>
          <w:sz w:val="20"/>
          <w:szCs w:val="20"/>
          <w:color w:val="auto"/>
        </w:rPr>
      </w:pPr>
    </w:p>
    <w:p>
      <w:pPr>
        <w:jc w:val="both"/>
        <w:spacing w:after="0"/>
        <w:rPr>
          <w:sz w:val="20"/>
          <w:szCs w:val="20"/>
          <w:color w:val="auto"/>
        </w:rPr>
      </w:pPr>
      <w:r>
        <w:rPr>
          <w:rFonts w:ascii="Calibri" w:cs="Calibri" w:eastAsia="Calibri" w:hAnsi="Calibri"/>
          <w:sz w:val="20"/>
          <w:szCs w:val="20"/>
          <w:i w:val="1"/>
          <w:iCs w:val="1"/>
          <w:color w:val="auto"/>
        </w:rPr>
        <w:t xml:space="preserve">Pension Expense. </w:t>
      </w:r>
      <w:r>
        <w:rPr>
          <w:rFonts w:ascii="Calibri" w:cs="Calibri" w:eastAsia="Calibri" w:hAnsi="Calibri"/>
          <w:sz w:val="20"/>
          <w:szCs w:val="20"/>
          <w:color w:val="auto"/>
        </w:rPr>
        <w:t>The Company’s results of operatons are afected by its pension expense. Assumptons that afect pension expense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include the discount rate and, for the qualifed defned beneft pension plan only, the expected long-term rate of return on assets. Therefore, the Company has interest rate risk associated with these factors. The impact of hypothetcal changes in these assumptons on the Company’s annual pension expense is discussed in the Company’s Annual Report on Form 10-K for the year ended December 31, 2021. The Company remeasured its qualifed pension plan as of February 28, 2022, to refect an amendment that increased the pension beneft for qualifying hourly employees. The discount rate at the remeasurement date was approximately 50 basis points higher compared with the discount rate as of December 31, 2021. As of September 30, 2022, discount rates have increased approximately 210 additonal basis points since the remeasurement. Unless another event requires an interim remeasurement, the Company will next remeasure its pension obligaton and funded status as of December 31, 2022. Changes in the discount rate and pension asset values will impact 2023 pension expense.</w:t>
      </w:r>
    </w:p>
    <w:p>
      <w:pPr>
        <w:spacing w:after="0" w:line="179" w:lineRule="exact"/>
        <w:rPr>
          <w:sz w:val="20"/>
          <w:szCs w:val="20"/>
          <w:color w:val="auto"/>
        </w:rPr>
      </w:pPr>
    </w:p>
    <w:p>
      <w:pPr>
        <w:jc w:val="both"/>
        <w:spacing w:after="0" w:line="227" w:lineRule="auto"/>
        <w:rPr>
          <w:sz w:val="20"/>
          <w:szCs w:val="20"/>
          <w:color w:val="auto"/>
        </w:rPr>
      </w:pPr>
      <w:r>
        <w:rPr>
          <w:rFonts w:ascii="Calibri" w:cs="Calibri" w:eastAsia="Calibri" w:hAnsi="Calibri"/>
          <w:sz w:val="20"/>
          <w:szCs w:val="20"/>
          <w:i w:val="1"/>
          <w:iCs w:val="1"/>
          <w:color w:val="auto"/>
        </w:rPr>
        <w:t xml:space="preserve">Income Tax. </w:t>
      </w:r>
      <w:r>
        <w:rPr>
          <w:rFonts w:ascii="Calibri" w:cs="Calibri" w:eastAsia="Calibri" w:hAnsi="Calibri"/>
          <w:sz w:val="20"/>
          <w:szCs w:val="20"/>
          <w:color w:val="auto"/>
        </w:rPr>
        <w:t>Any changes in enacted tax laws, rules or regulatory or judicial interpretatons; or any change in the pronouncements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relatng to accountng for income taxes could materially impact the Company’s efectve tax rate, tax payments, fnancial conditon and results of operatons.</w:t>
      </w:r>
    </w:p>
    <w:p>
      <w:pPr>
        <w:spacing w:after="0" w:line="90"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i w:val="1"/>
          <w:iCs w:val="1"/>
          <w:color w:val="auto"/>
        </w:rPr>
        <w:t>Energy Costs</w:t>
      </w:r>
      <w:r>
        <w:rPr>
          <w:rFonts w:ascii="Calibri" w:cs="Calibri" w:eastAsia="Calibri" w:hAnsi="Calibri"/>
          <w:sz w:val="20"/>
          <w:szCs w:val="20"/>
          <w:color w:val="auto"/>
        </w:rPr>
        <w:t>. Energy costs, including diesel fuel, natural gas, electricity, and coal, represent signifcant producton costs of the Company.</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Magnesia Specialtes business has fxed price agreements covering a majority of its 2022 energy requirements. On a consolidated basis, organic energy expense for the nine months ended September 30, 2022 increased approximately 59% compared with the prior-year period, related to higher prices for diesel, natural gas, electricity and gasoline in 2022. Specifcally, the ongoing confict between Russia and Ukraine has exacerbated already increased diesel prices; however, any future energy prices cannot be reliably predicted. A hypothetcal increase of 59% would change consolidated organic full-year 2022 energy expense by $179.3 million as compared with 2021, assuming constant volumes. Further, the full-year 2022 impact on consolidated total proftability and margins would be greater when also considering the energy consumed by operatons acquired in 2021.</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49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49" w:name="page50"/>
    <w:bookmarkEnd w:id="49"/>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jc w:val="center"/>
        <w:spacing w:after="0" w:line="225" w:lineRule="auto"/>
        <w:rPr>
          <w:sz w:val="20"/>
          <w:szCs w:val="20"/>
          <w:color w:val="auto"/>
        </w:rPr>
      </w:pPr>
      <w:r>
        <w:rPr>
          <w:rFonts w:ascii="Calibri" w:cs="Calibri" w:eastAsia="Calibri" w:hAnsi="Calibri"/>
          <w:sz w:val="20"/>
          <w:szCs w:val="20"/>
          <w:color w:val="auto"/>
        </w:rPr>
        <w:t>(Contnued)</w:t>
      </w:r>
    </w:p>
    <w:p>
      <w:pPr>
        <w:spacing w:after="0" w:line="200" w:lineRule="exact"/>
        <w:rPr>
          <w:sz w:val="20"/>
          <w:szCs w:val="20"/>
          <w:color w:val="auto"/>
        </w:rPr>
      </w:pPr>
    </w:p>
    <w:p>
      <w:pPr>
        <w:spacing w:after="0" w:line="214"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i w:val="1"/>
          <w:iCs w:val="1"/>
          <w:color w:val="auto"/>
        </w:rPr>
        <w:t xml:space="preserve">Commodity Risk. </w:t>
      </w:r>
      <w:r>
        <w:rPr>
          <w:rFonts w:ascii="Calibri" w:cs="Calibri" w:eastAsia="Calibri" w:hAnsi="Calibri"/>
          <w:sz w:val="20"/>
          <w:szCs w:val="20"/>
          <w:color w:val="auto"/>
        </w:rPr>
        <w:t>Cement is a commodity, and competton is based principally on price, which is highly sensitve to changes in supply and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demand. Prices are ofen subject to material changes in response to relatvely minor fuctuatons in supply and demand, general economic conditons and other market conditons beyond the Company’s control. Increases in the producton capacity of industry partcipants or increases in cement imports tend to create an oversupply of such products leading to an imbalance between supply and demand, which can have a negatve impact on product prices. There can be no assurance that prices for products sold will not decline in the future or that such declines will not have a material adverse efect on the Company’s business, fnancial conditon and results of operatons. Assuming full-year 2021 cement product revenues of $494.5 million, a hypothetcal 10% change in sales price would impact full-year cement product revenues by $49.5 million.</w:t>
      </w:r>
    </w:p>
    <w:p>
      <w:pPr>
        <w:spacing w:after="0" w:line="94"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Cement is a key raw material in the producton of ready mixed concrete. The Company may be unable to pass along increases in the costs of cement and raw materials to customers in the form of price increases for the Company’s products. Assuming annual cement costs are $210 million, an approximate 2021 full year rate for ready mixed concrete contnuing operatons, a 10% change in cement costs, assuming constant volumes, would change the ready mixed concrete product line cost of revenues by $21.0 million. While increases in cement pricing may negatvely impact the proftability of the ready mixed concrete operatons, the cement business would beneft, although the positve impact may not refect a direct correlaton to the impact on the ready mixed concrete business.</w:t>
      </w:r>
    </w:p>
    <w:p>
      <w:pPr>
        <w:spacing w:after="0" w:line="106"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The Company consumes other raw material and supply commodites in its operatons, the costs of which have been negatvely impacted by high infaton. The Company periodically implements price increases due to rising costs. However, there is a lag between announced price increases and the tme when they are fully realized.</w:t>
      </w:r>
    </w:p>
    <w:p>
      <w:pPr>
        <w:spacing w:after="0" w:line="312" w:lineRule="exact"/>
        <w:rPr>
          <w:sz w:val="20"/>
          <w:szCs w:val="20"/>
          <w:color w:val="auto"/>
        </w:rPr>
      </w:pPr>
    </w:p>
    <w:p>
      <w:pPr>
        <w:spacing w:after="0"/>
        <w:rPr>
          <w:sz w:val="20"/>
          <w:szCs w:val="20"/>
          <w:color w:val="auto"/>
        </w:rPr>
      </w:pPr>
      <w:r>
        <w:rPr>
          <w:rFonts w:ascii="Calibri" w:cs="Calibri" w:eastAsia="Calibri" w:hAnsi="Calibri"/>
          <w:sz w:val="20"/>
          <w:szCs w:val="20"/>
          <w:color w:val="auto"/>
        </w:rPr>
        <w:t>Item 4. Controls and Procedures.</w:t>
      </w:r>
    </w:p>
    <w:p>
      <w:pPr>
        <w:spacing w:after="0" w:line="103" w:lineRule="exact"/>
        <w:rPr>
          <w:sz w:val="20"/>
          <w:szCs w:val="20"/>
          <w:color w:val="auto"/>
        </w:rPr>
      </w:pPr>
    </w:p>
    <w:p>
      <w:pPr>
        <w:jc w:val="both"/>
        <w:spacing w:after="0" w:line="224" w:lineRule="auto"/>
        <w:rPr>
          <w:sz w:val="20"/>
          <w:szCs w:val="20"/>
          <w:color w:val="auto"/>
        </w:rPr>
      </w:pPr>
      <w:r>
        <w:rPr>
          <w:rFonts w:ascii="Calibri" w:cs="Calibri" w:eastAsia="Calibri" w:hAnsi="Calibri"/>
          <w:sz w:val="20"/>
          <w:szCs w:val="20"/>
          <w:i w:val="1"/>
          <w:iCs w:val="1"/>
          <w:color w:val="auto"/>
        </w:rPr>
        <w:t xml:space="preserve">Evaluaton of Disclosure Controls and Procedures. </w:t>
      </w:r>
      <w:r>
        <w:rPr>
          <w:rFonts w:ascii="Calibri" w:cs="Calibri" w:eastAsia="Calibri" w:hAnsi="Calibri"/>
          <w:sz w:val="20"/>
          <w:szCs w:val="20"/>
          <w:color w:val="auto"/>
        </w:rPr>
        <w:t>As of September 30, 2022, an evaluaton was performed under the supervision and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with the partcipaton of the Company’s management, including the Chief Executve Ofcer and Chief Financial Ofcer, of the efectveness of the design and the operaton of the Company’s disclosure controls and procedures. Based on that evaluaton, the Company’s management, including the Chief Executve Ofcer and Chief Financial Ofcer, concluded that the Company’s disclosure controls and procedures were efectve as of September 30, 2022. There were no changes in the Company’s internal control over fnancial reportng during the most recently completed fscal quarter that materially afected, or are reasonably likely to materially afect, the Company’s internal control over fnancial reportng.</w:t>
      </w: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50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50" w:name="page51"/>
    <w:bookmarkEnd w:id="50"/>
    <w:p>
      <w:pPr>
        <w:jc w:val="center"/>
        <w:ind w:right="40"/>
        <w:spacing w:after="0"/>
        <w:rPr>
          <w:sz w:val="20"/>
          <w:szCs w:val="20"/>
          <w:color w:val="auto"/>
        </w:rPr>
      </w:pPr>
      <w:r>
        <w:rPr>
          <w:rFonts w:ascii="Calibri" w:cs="Calibri" w:eastAsia="Calibri" w:hAnsi="Calibri"/>
          <w:sz w:val="20"/>
          <w:szCs w:val="20"/>
          <w:color w:val="auto"/>
        </w:rPr>
        <w:t>MARTIN MARIETTA MATERIALS, INC. AND CONSOLIDATED SUBSIDIARIES</w:t>
      </w:r>
    </w:p>
    <w:p>
      <w:pPr>
        <w:jc w:val="center"/>
        <w:ind w:right="40"/>
        <w:spacing w:after="0" w:line="225" w:lineRule="auto"/>
        <w:rPr>
          <w:sz w:val="20"/>
          <w:szCs w:val="20"/>
          <w:color w:val="auto"/>
        </w:rPr>
      </w:pPr>
      <w:r>
        <w:rPr>
          <w:rFonts w:ascii="Calibri" w:cs="Calibri" w:eastAsia="Calibri" w:hAnsi="Calibri"/>
          <w:sz w:val="20"/>
          <w:szCs w:val="20"/>
          <w:color w:val="auto"/>
        </w:rPr>
        <w:t>FORM 10-Q</w:t>
      </w:r>
    </w:p>
    <w:p>
      <w:pPr>
        <w:jc w:val="center"/>
        <w:spacing w:after="0" w:line="226" w:lineRule="auto"/>
        <w:rPr>
          <w:sz w:val="20"/>
          <w:szCs w:val="20"/>
          <w:color w:val="auto"/>
        </w:rPr>
      </w:pPr>
      <w:r>
        <w:rPr>
          <w:rFonts w:ascii="Calibri" w:cs="Calibri" w:eastAsia="Calibri" w:hAnsi="Calibri"/>
          <w:sz w:val="20"/>
          <w:szCs w:val="20"/>
          <w:color w:val="auto"/>
        </w:rPr>
        <w:t>For the Quarter Ended September 30, 2022</w:t>
      </w:r>
    </w:p>
    <w:p>
      <w:pPr>
        <w:jc w:val="center"/>
        <w:spacing w:after="0" w:line="225" w:lineRule="auto"/>
        <w:rPr>
          <w:sz w:val="20"/>
          <w:szCs w:val="20"/>
          <w:color w:val="auto"/>
        </w:rPr>
      </w:pPr>
      <w:r>
        <w:rPr>
          <w:rFonts w:ascii="Calibri" w:cs="Calibri" w:eastAsia="Calibri" w:hAnsi="Calibri"/>
          <w:sz w:val="20"/>
          <w:szCs w:val="20"/>
          <w:color w:val="auto"/>
        </w:rPr>
        <w:t>PART II. OTHER INFORMATION</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 Legal Proceedings.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See </w:t>
      </w:r>
      <w:r>
        <w:rPr>
          <w:rFonts w:ascii="Calibri" w:cs="Calibri" w:eastAsia="Calibri" w:hAnsi="Calibri"/>
          <w:sz w:val="20"/>
          <w:szCs w:val="20"/>
          <w:i w:val="1"/>
          <w:iCs w:val="1"/>
          <w:u w:val="single" w:color="auto"/>
          <w:color w:val="0000FF"/>
        </w:rPr>
        <w:t>Note 10 Commitments and Contngencies, Legal and Administratve Proceedings</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-21590</wp:posOffset>
            </wp:positionV>
            <wp:extent cx="41643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16433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1A. Risk Factors.</w:t>
      </w:r>
    </w:p>
    <w:p>
      <w:pPr>
        <w:spacing w:after="0" w:line="103"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color w:val="auto"/>
        </w:rPr>
        <w:t xml:space="preserve">Reference is made to </w:t>
      </w:r>
      <w:r>
        <w:rPr>
          <w:rFonts w:ascii="Calibri" w:cs="Calibri" w:eastAsia="Calibri" w:hAnsi="Calibri"/>
          <w:sz w:val="20"/>
          <w:szCs w:val="20"/>
          <w:i w:val="1"/>
          <w:iCs w:val="1"/>
          <w:color w:val="auto"/>
        </w:rPr>
        <w:t>Part I. Item 1A. Risk Factors and Forward-Looking Statements</w:t>
      </w:r>
      <w:r>
        <w:rPr>
          <w:rFonts w:ascii="Calibri" w:cs="Calibri" w:eastAsia="Calibri" w:hAnsi="Calibri"/>
          <w:sz w:val="20"/>
          <w:szCs w:val="20"/>
          <w:color w:val="auto"/>
        </w:rPr>
        <w:t xml:space="preserve"> of the Martn Marieta Annual Report on Form 10-K for the year ended December 31, 2021.</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2. Unregistered Sales of Equity Securites and Use of Proceeds</w:t>
      </w:r>
      <w:r>
        <w:rPr>
          <w:rFonts w:ascii="Calibri" w:cs="Calibri" w:eastAsia="Calibri" w:hAnsi="Calibri"/>
          <w:sz w:val="20"/>
          <w:szCs w:val="20"/>
          <w:color w:val="auto"/>
        </w:rPr>
        <w:t>.</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Calibri" w:cs="Calibri" w:eastAsia="Calibri" w:hAnsi="Calibri"/>
                <w:sz w:val="18"/>
                <w:szCs w:val="18"/>
                <w:color w:val="auto"/>
                <w:w w:val="95"/>
              </w:rPr>
              <w:t>Total Number of Shares</w:t>
            </w:r>
          </w:p>
        </w:tc>
        <w:tc>
          <w:tcPr>
            <w:tcW w:w="2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Calibri" w:cs="Calibri" w:eastAsia="Calibri" w:hAnsi="Calibri"/>
                <w:sz w:val="18"/>
                <w:szCs w:val="18"/>
                <w:color w:val="auto"/>
                <w:w w:val="96"/>
              </w:rPr>
              <w:t>Maximum Number of</w:t>
            </w:r>
          </w:p>
        </w:tc>
        <w:tc>
          <w:tcPr>
            <w:tcW w:w="100" w:type="dxa"/>
            <w:vAlign w:val="bottom"/>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Purchased as Part of</w:t>
            </w:r>
          </w:p>
        </w:tc>
        <w:tc>
          <w:tcPr>
            <w:tcW w:w="200" w:type="dxa"/>
            <w:vAlign w:val="bottom"/>
          </w:tcPr>
          <w:p>
            <w:pPr>
              <w:spacing w:after="0"/>
              <w:rPr>
                <w:sz w:val="18"/>
                <w:szCs w:val="18"/>
                <w:color w:val="auto"/>
              </w:rPr>
            </w:pPr>
          </w:p>
        </w:tc>
        <w:tc>
          <w:tcPr>
            <w:tcW w:w="1920" w:type="dxa"/>
            <w:vAlign w:val="bottom"/>
          </w:tcPr>
          <w:p>
            <w:pPr>
              <w:jc w:val="center"/>
              <w:spacing w:after="0" w:line="216" w:lineRule="exact"/>
              <w:rPr>
                <w:sz w:val="20"/>
                <w:szCs w:val="20"/>
                <w:color w:val="auto"/>
              </w:rPr>
            </w:pPr>
            <w:r>
              <w:rPr>
                <w:rFonts w:ascii="Calibri" w:cs="Calibri" w:eastAsia="Calibri" w:hAnsi="Calibri"/>
                <w:sz w:val="18"/>
                <w:szCs w:val="18"/>
                <w:color w:val="auto"/>
                <w:w w:val="95"/>
              </w:rPr>
              <w:t>Shares that May Yet</w:t>
            </w: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Total 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Average Price</w:t>
            </w:r>
          </w:p>
        </w:tc>
        <w:tc>
          <w:tcPr>
            <w:tcW w:w="220" w:type="dxa"/>
            <w:vAlign w:val="bottom"/>
          </w:tcPr>
          <w:p>
            <w:pPr>
              <w:spacing w:after="0"/>
              <w:rPr>
                <w:sz w:val="18"/>
                <w:szCs w:val="18"/>
                <w:color w:val="auto"/>
              </w:rPr>
            </w:pPr>
          </w:p>
        </w:tc>
        <w:tc>
          <w:tcPr>
            <w:tcW w:w="21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Publicly Announced</w:t>
            </w:r>
          </w:p>
        </w:tc>
        <w:tc>
          <w:tcPr>
            <w:tcW w:w="200" w:type="dxa"/>
            <w:vAlign w:val="bottom"/>
          </w:tcPr>
          <w:p>
            <w:pPr>
              <w:spacing w:after="0"/>
              <w:rPr>
                <w:sz w:val="18"/>
                <w:szCs w:val="18"/>
                <w:color w:val="auto"/>
              </w:rPr>
            </w:pPr>
          </w:p>
        </w:tc>
        <w:tc>
          <w:tcPr>
            <w:tcW w:w="192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be Purchased Under</w:t>
            </w:r>
          </w:p>
        </w:tc>
        <w:tc>
          <w:tcPr>
            <w:tcW w:w="100" w:type="dxa"/>
            <w:vAlign w:val="bottom"/>
          </w:tcPr>
          <w:p>
            <w:pPr>
              <w:spacing w:after="0"/>
              <w:rPr>
                <w:sz w:val="18"/>
                <w:szCs w:val="18"/>
                <w:color w:val="auto"/>
              </w:rPr>
            </w:pPr>
          </w:p>
        </w:tc>
      </w:tr>
      <w:tr>
        <w:trPr>
          <w:trHeight w:val="216"/>
        </w:trPr>
        <w:tc>
          <w:tcPr>
            <w:tcW w:w="3280" w:type="dxa"/>
            <w:vAlign w:val="bottom"/>
          </w:tcPr>
          <w:p>
            <w:pPr>
              <w:ind w:left="1420"/>
              <w:spacing w:after="0" w:line="216" w:lineRule="exact"/>
              <w:rPr>
                <w:sz w:val="20"/>
                <w:szCs w:val="20"/>
                <w:color w:val="auto"/>
              </w:rPr>
            </w:pPr>
            <w:r>
              <w:rPr>
                <w:rFonts w:ascii="Calibri" w:cs="Calibri" w:eastAsia="Calibri" w:hAnsi="Calibri"/>
                <w:sz w:val="18"/>
                <w:szCs w:val="18"/>
                <w:color w:val="auto"/>
              </w:rPr>
              <w:t>Period</w:t>
            </w:r>
          </w:p>
        </w:tc>
        <w:tc>
          <w:tcPr>
            <w:tcW w:w="120" w:type="dxa"/>
            <w:vAlign w:val="bottom"/>
          </w:tcPr>
          <w:p>
            <w:pPr>
              <w:spacing w:after="0"/>
              <w:rPr>
                <w:sz w:val="18"/>
                <w:szCs w:val="18"/>
                <w:color w:val="auto"/>
              </w:rPr>
            </w:pPr>
          </w:p>
        </w:tc>
        <w:tc>
          <w:tcPr>
            <w:tcW w:w="1580" w:type="dxa"/>
            <w:vAlign w:val="bottom"/>
          </w:tcPr>
          <w:p>
            <w:pPr>
              <w:jc w:val="right"/>
              <w:ind w:right="70"/>
              <w:spacing w:after="0" w:line="216" w:lineRule="exact"/>
              <w:rPr>
                <w:sz w:val="20"/>
                <w:szCs w:val="20"/>
                <w:color w:val="auto"/>
              </w:rPr>
            </w:pPr>
            <w:r>
              <w:rPr>
                <w:rFonts w:ascii="Calibri" w:cs="Calibri" w:eastAsia="Calibri" w:hAnsi="Calibri"/>
                <w:sz w:val="18"/>
                <w:szCs w:val="18"/>
                <w:color w:val="auto"/>
              </w:rPr>
              <w:t>Shares Purchased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30"/>
              <w:spacing w:after="0" w:line="216" w:lineRule="exact"/>
              <w:rPr>
                <w:sz w:val="20"/>
                <w:szCs w:val="20"/>
                <w:color w:val="auto"/>
              </w:rPr>
            </w:pPr>
            <w:r>
              <w:rPr>
                <w:rFonts w:ascii="Calibri" w:cs="Calibri" w:eastAsia="Calibri" w:hAnsi="Calibri"/>
                <w:sz w:val="18"/>
                <w:szCs w:val="18"/>
                <w:color w:val="auto"/>
              </w:rPr>
              <w:t>Paid per Share</w:t>
            </w:r>
          </w:p>
        </w:tc>
        <w:tc>
          <w:tcPr>
            <w:tcW w:w="220" w:type="dxa"/>
            <w:vAlign w:val="bottom"/>
          </w:tcPr>
          <w:p>
            <w:pPr>
              <w:spacing w:after="0"/>
              <w:rPr>
                <w:sz w:val="18"/>
                <w:szCs w:val="18"/>
                <w:color w:val="auto"/>
              </w:rPr>
            </w:pPr>
          </w:p>
        </w:tc>
        <w:tc>
          <w:tcPr>
            <w:tcW w:w="212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Plans or Programs</w:t>
            </w:r>
          </w:p>
        </w:tc>
        <w:tc>
          <w:tcPr>
            <w:tcW w:w="200" w:type="dxa"/>
            <w:vAlign w:val="bottom"/>
          </w:tcPr>
          <w:p>
            <w:pPr>
              <w:spacing w:after="0"/>
              <w:rPr>
                <w:sz w:val="18"/>
                <w:szCs w:val="18"/>
                <w:color w:val="auto"/>
              </w:rPr>
            </w:pPr>
          </w:p>
        </w:tc>
        <w:tc>
          <w:tcPr>
            <w:tcW w:w="192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the Plans or Programs</w:t>
            </w:r>
          </w:p>
        </w:tc>
        <w:tc>
          <w:tcPr>
            <w:tcW w:w="100" w:type="dxa"/>
            <w:vAlign w:val="bottom"/>
          </w:tcPr>
          <w:p>
            <w:pPr>
              <w:spacing w:after="0"/>
              <w:rPr>
                <w:sz w:val="18"/>
                <w:szCs w:val="18"/>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32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July 1, 2022 - July 31, 2022</w:t>
            </w: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13,390,401</w:t>
            </w:r>
          </w:p>
        </w:tc>
        <w:tc>
          <w:tcPr>
            <w:tcW w:w="100" w:type="dxa"/>
            <w:vAlign w:val="bottom"/>
            <w:shd w:val="clear" w:color="auto" w:fill="CFF0FC"/>
          </w:tcPr>
          <w:p>
            <w:pPr>
              <w:spacing w:after="0"/>
              <w:rPr>
                <w:sz w:val="18"/>
                <w:szCs w:val="18"/>
                <w:color w:val="auto"/>
              </w:rPr>
            </w:pPr>
          </w:p>
        </w:tc>
      </w:tr>
      <w:tr>
        <w:trPr>
          <w:trHeight w:val="215"/>
        </w:trPr>
        <w:tc>
          <w:tcPr>
            <w:tcW w:w="3280" w:type="dxa"/>
            <w:vAlign w:val="bottom"/>
          </w:tcPr>
          <w:p>
            <w:pPr>
              <w:ind w:left="20"/>
              <w:spacing w:after="0" w:line="215" w:lineRule="exact"/>
              <w:rPr>
                <w:sz w:val="20"/>
                <w:szCs w:val="20"/>
                <w:color w:val="auto"/>
              </w:rPr>
            </w:pPr>
            <w:r>
              <w:rPr>
                <w:rFonts w:ascii="Calibri" w:cs="Calibri" w:eastAsia="Calibri" w:hAnsi="Calibri"/>
                <w:sz w:val="18"/>
                <w:szCs w:val="18"/>
                <w:color w:val="auto"/>
              </w:rPr>
              <w:t>August 1, 2022 - August 31, 2022</w:t>
            </w: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93,580</w:t>
            </w:r>
          </w:p>
        </w:tc>
        <w:tc>
          <w:tcPr>
            <w:tcW w:w="4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348.84</w:t>
            </w:r>
          </w:p>
        </w:tc>
        <w:tc>
          <w:tcPr>
            <w:tcW w:w="2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93,580</w:t>
            </w:r>
          </w:p>
        </w:tc>
        <w:tc>
          <w:tcPr>
            <w:tcW w:w="21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13,296,821</w:t>
            </w:r>
          </w:p>
        </w:tc>
        <w:tc>
          <w:tcPr>
            <w:tcW w:w="100" w:type="dxa"/>
            <w:vAlign w:val="bottom"/>
          </w:tcPr>
          <w:p>
            <w:pPr>
              <w:spacing w:after="0"/>
              <w:rPr>
                <w:sz w:val="18"/>
                <w:szCs w:val="18"/>
                <w:color w:val="auto"/>
              </w:rPr>
            </w:pPr>
          </w:p>
        </w:tc>
      </w:tr>
      <w:tr>
        <w:trPr>
          <w:trHeight w:val="217"/>
        </w:trPr>
        <w:tc>
          <w:tcPr>
            <w:tcW w:w="32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September 1, 2022 - September 30, 2022</w:t>
            </w:r>
          </w:p>
        </w:tc>
        <w:tc>
          <w:tcPr>
            <w:tcW w:w="17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194,205</w:t>
            </w:r>
          </w:p>
        </w:tc>
        <w:tc>
          <w:tcPr>
            <w:tcW w:w="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346.83</w:t>
            </w:r>
          </w:p>
        </w:tc>
        <w:tc>
          <w:tcPr>
            <w:tcW w:w="23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194,205</w:t>
            </w:r>
          </w:p>
        </w:tc>
        <w:tc>
          <w:tcPr>
            <w:tcW w:w="21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13,102,616</w:t>
            </w:r>
          </w:p>
        </w:tc>
        <w:tc>
          <w:tcPr>
            <w:tcW w:w="100" w:type="dxa"/>
            <w:vAlign w:val="bottom"/>
            <w:shd w:val="clear" w:color="auto" w:fill="CFF0FC"/>
          </w:tcPr>
          <w:p>
            <w:pPr>
              <w:spacing w:after="0"/>
              <w:rPr>
                <w:sz w:val="18"/>
                <w:szCs w:val="18"/>
                <w:color w:val="auto"/>
              </w:rPr>
            </w:pPr>
          </w:p>
        </w:tc>
      </w:tr>
      <w:tr>
        <w:trPr>
          <w:trHeight w:val="209"/>
        </w:trPr>
        <w:tc>
          <w:tcPr>
            <w:tcW w:w="3280" w:type="dxa"/>
            <w:vAlign w:val="bottom"/>
          </w:tcPr>
          <w:p>
            <w:pPr>
              <w:ind w:left="20"/>
              <w:spacing w:after="0" w:line="209" w:lineRule="exact"/>
              <w:rPr>
                <w:sz w:val="20"/>
                <w:szCs w:val="20"/>
                <w:color w:val="auto"/>
              </w:rPr>
            </w:pPr>
            <w:r>
              <w:rPr>
                <w:rFonts w:ascii="Calibri" w:cs="Calibri" w:eastAsia="Calibri" w:hAnsi="Calibri"/>
                <w:sz w:val="18"/>
                <w:szCs w:val="18"/>
                <w:color w:val="auto"/>
              </w:rPr>
              <w:t>Total</w:t>
            </w:r>
          </w:p>
        </w:tc>
        <w:tc>
          <w:tcPr>
            <w:tcW w:w="1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287,785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287,785</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expiraton date.</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4. Mine Safety Disclosures.</w:t>
      </w:r>
    </w:p>
    <w:p>
      <w:pPr>
        <w:spacing w:after="0" w:line="103"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The informaton concerning mine safety violatons or other regulatory maters required by Secton 1503(a) of the Dodd-Frank Wall Street Reform and Consumer Protecton Act and Item 104 of Regulaton S-K (17 CFR 229.104)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51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51" w:name="page52"/>
    <w:bookmarkEnd w:id="51"/>
    <w:p>
      <w:pPr>
        <w:ind w:left="2660"/>
        <w:spacing w:after="0"/>
        <w:rPr>
          <w:sz w:val="20"/>
          <w:szCs w:val="20"/>
          <w:color w:val="auto"/>
        </w:rPr>
      </w:pPr>
      <w:r>
        <w:rPr>
          <w:rFonts w:ascii="Calibri" w:cs="Calibri" w:eastAsia="Calibri" w:hAnsi="Calibri"/>
          <w:sz w:val="20"/>
          <w:szCs w:val="20"/>
          <w:color w:val="auto"/>
        </w:rPr>
        <w:t>MARTIN MARIETTA MATERIALS, INC. AND CONSOLIDATED SUBSIDIARIES</w:t>
      </w:r>
    </w:p>
    <w:p>
      <w:pPr>
        <w:ind w:left="5120"/>
        <w:spacing w:after="0" w:line="225" w:lineRule="auto"/>
        <w:rPr>
          <w:sz w:val="20"/>
          <w:szCs w:val="20"/>
          <w:color w:val="auto"/>
        </w:rPr>
      </w:pPr>
      <w:r>
        <w:rPr>
          <w:rFonts w:ascii="Calibri" w:cs="Calibri" w:eastAsia="Calibri" w:hAnsi="Calibri"/>
          <w:sz w:val="20"/>
          <w:szCs w:val="20"/>
          <w:color w:val="auto"/>
        </w:rPr>
        <w:t>FORM 10-Q</w:t>
      </w:r>
    </w:p>
    <w:p>
      <w:pPr>
        <w:ind w:left="3840"/>
        <w:spacing w:after="0" w:line="226" w:lineRule="auto"/>
        <w:rPr>
          <w:sz w:val="20"/>
          <w:szCs w:val="20"/>
          <w:color w:val="auto"/>
        </w:rPr>
      </w:pPr>
      <w:r>
        <w:rPr>
          <w:rFonts w:ascii="Calibri" w:cs="Calibri" w:eastAsia="Calibri" w:hAnsi="Calibri"/>
          <w:sz w:val="20"/>
          <w:szCs w:val="20"/>
          <w:color w:val="auto"/>
        </w:rPr>
        <w:t>For the Quarter Ended September 30, 2022</w:t>
      </w:r>
    </w:p>
    <w:p>
      <w:pPr>
        <w:ind w:left="4380"/>
        <w:spacing w:after="0" w:line="225" w:lineRule="auto"/>
        <w:rPr>
          <w:sz w:val="20"/>
          <w:szCs w:val="20"/>
          <w:color w:val="auto"/>
        </w:rPr>
      </w:pPr>
      <w:r>
        <w:rPr>
          <w:rFonts w:ascii="Calibri" w:cs="Calibri" w:eastAsia="Calibri" w:hAnsi="Calibri"/>
          <w:sz w:val="20"/>
          <w:szCs w:val="20"/>
          <w:color w:val="auto"/>
        </w:rPr>
        <w:t>PART II. OTHER INFORMATION</w:t>
      </w:r>
    </w:p>
    <w:p>
      <w:pPr>
        <w:jc w:val="center"/>
        <w:spacing w:after="0" w:line="213" w:lineRule="auto"/>
        <w:rPr>
          <w:sz w:val="20"/>
          <w:szCs w:val="20"/>
          <w:color w:val="auto"/>
        </w:rPr>
      </w:pPr>
      <w:r>
        <w:rPr>
          <w:rFonts w:ascii="Calibri" w:cs="Calibri" w:eastAsia="Calibri" w:hAnsi="Calibri"/>
          <w:sz w:val="20"/>
          <w:szCs w:val="20"/>
          <w:color w:val="auto"/>
        </w:rPr>
        <w:t>(Contnued)</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Item 6.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Calibri" w:cs="Calibri" w:eastAsia="Calibri" w:hAnsi="Calibri"/>
                <w:sz w:val="20"/>
                <w:szCs w:val="20"/>
                <w:color w:val="auto"/>
              </w:rPr>
              <w:t>Exhibit No.</w:t>
            </w:r>
          </w:p>
        </w:tc>
        <w:tc>
          <w:tcPr>
            <w:tcW w:w="100" w:type="dxa"/>
            <w:vAlign w:val="bottom"/>
          </w:tcPr>
          <w:p>
            <w:pPr>
              <w:spacing w:after="0"/>
              <w:rPr>
                <w:sz w:val="22"/>
                <w:szCs w:val="22"/>
                <w:color w:val="auto"/>
              </w:rPr>
            </w:pPr>
          </w:p>
        </w:tc>
        <w:tc>
          <w:tcPr>
            <w:tcW w:w="9840" w:type="dxa"/>
            <w:vAlign w:val="bottom"/>
          </w:tcPr>
          <w:p>
            <w:pPr>
              <w:ind w:left="4500"/>
              <w:spacing w:after="0"/>
              <w:rPr>
                <w:sz w:val="20"/>
                <w:szCs w:val="20"/>
                <w:color w:val="auto"/>
              </w:rPr>
            </w:pPr>
            <w:r>
              <w:rPr>
                <w:rFonts w:ascii="Calibri" w:cs="Calibri" w:eastAsia="Calibri" w:hAnsi="Calibri"/>
                <w:sz w:val="20"/>
                <w:szCs w:val="20"/>
                <w:color w:val="auto"/>
              </w:rPr>
              <w:t>Document</w:t>
            </w:r>
          </w:p>
        </w:tc>
      </w:tr>
      <w:tr>
        <w:trPr>
          <w:trHeight w:val="33"/>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398"/>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November 2, 2022 of Chief Executve Ofcer pursuant to Securites and Exchange Act of 1934 Rule</w:t>
            </w:r>
          </w:p>
        </w:tc>
      </w:tr>
      <w:tr>
        <w:trPr>
          <w:trHeight w:val="231"/>
        </w:trPr>
        <w:tc>
          <w:tcPr>
            <w:tcW w:w="2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line="230" w:lineRule="exact"/>
              <w:rPr>
                <w:sz w:val="20"/>
                <w:szCs w:val="20"/>
                <w:color w:val="auto"/>
              </w:rPr>
            </w:pPr>
            <w:r>
              <w:rPr>
                <w:rFonts w:ascii="Calibri" w:cs="Calibri" w:eastAsia="Calibri" w:hAnsi="Calibri"/>
                <w:sz w:val="20"/>
                <w:szCs w:val="20"/>
                <w:color w:val="auto"/>
              </w:rPr>
              <w:t>13a-14 as adopted pursuant to Secton 302 of the Sarbanes-Oxley Act of 2002</w:t>
            </w:r>
          </w:p>
        </w:tc>
      </w:tr>
      <w:tr>
        <w:trPr>
          <w:trHeight w:val="384"/>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31.</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Certfcaton dated November 2, 2022 of Chief Financial Ofcer pursuant to Securites and Exchange Act of 1934 Rule</w:t>
            </w:r>
          </w:p>
        </w:tc>
      </w:tr>
      <w:tr>
        <w:trPr>
          <w:trHeight w:val="231"/>
        </w:trPr>
        <w:tc>
          <w:tcPr>
            <w:tcW w:w="2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line="230" w:lineRule="exact"/>
              <w:rPr>
                <w:sz w:val="20"/>
                <w:szCs w:val="20"/>
                <w:color w:val="auto"/>
              </w:rPr>
            </w:pPr>
            <w:r>
              <w:rPr>
                <w:rFonts w:ascii="Calibri" w:cs="Calibri" w:eastAsia="Calibri" w:hAnsi="Calibri"/>
                <w:sz w:val="20"/>
                <w:szCs w:val="20"/>
                <w:color w:val="auto"/>
              </w:rPr>
              <w:t>13a-14 as adopted pursuant to Secton 302 of the Sarbanes-Oxley Act of 2002</w:t>
            </w:r>
          </w:p>
        </w:tc>
      </w:tr>
      <w:tr>
        <w:trPr>
          <w:trHeight w:val="303"/>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November 2, 2022 of Chief Executve Ofcer required by 18 U.S.C. 1350, as adopted pursuant</w:t>
            </w:r>
          </w:p>
        </w:tc>
      </w:tr>
      <w:tr>
        <w:trPr>
          <w:trHeight w:val="231"/>
        </w:trPr>
        <w:tc>
          <w:tcPr>
            <w:tcW w:w="2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line="230" w:lineRule="exact"/>
              <w:rPr>
                <w:sz w:val="20"/>
                <w:szCs w:val="20"/>
                <w:color w:val="auto"/>
              </w:rPr>
            </w:pPr>
            <w:r>
              <w:rPr>
                <w:rFonts w:ascii="Calibri" w:cs="Calibri" w:eastAsia="Calibri" w:hAnsi="Calibri"/>
                <w:sz w:val="20"/>
                <w:szCs w:val="20"/>
                <w:color w:val="auto"/>
              </w:rPr>
              <w:t>to Secton 906 of the Sarbanes-Oxley Act of 2002</w:t>
            </w:r>
          </w:p>
        </w:tc>
      </w:tr>
      <w:tr>
        <w:trPr>
          <w:trHeight w:val="303"/>
        </w:trPr>
        <w:tc>
          <w:tcPr>
            <w:tcW w:w="480" w:type="dxa"/>
            <w:vAlign w:val="bottom"/>
            <w:gridSpan w:val="2"/>
          </w:tcPr>
          <w:p>
            <w:pPr>
              <w:jc w:val="right"/>
              <w:spacing w:after="0"/>
              <w:rPr>
                <w:sz w:val="20"/>
                <w:szCs w:val="20"/>
                <w:color w:val="auto"/>
              </w:rPr>
            </w:pPr>
            <w:r>
              <w:rPr>
                <w:rFonts w:ascii="Calibri" w:cs="Calibri" w:eastAsia="Calibri" w:hAnsi="Calibri"/>
                <w:sz w:val="20"/>
                <w:szCs w:val="20"/>
                <w:color w:val="0000FF"/>
              </w:rPr>
              <w:t>32.</w:t>
            </w:r>
            <w:r>
              <w:rPr>
                <w:rFonts w:ascii="Calibri" w:cs="Calibri" w:eastAsia="Calibri" w:hAnsi="Calibri"/>
                <w:sz w:val="20"/>
                <w:szCs w:val="20"/>
                <w:u w:val="single" w:color="auto"/>
                <w:color w:val="0000FF"/>
              </w:rPr>
              <w:t>02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Calibri" w:cs="Calibri" w:eastAsia="Calibri" w:hAnsi="Calibri"/>
                <w:sz w:val="20"/>
                <w:szCs w:val="20"/>
                <w:color w:val="auto"/>
              </w:rPr>
              <w:t>Writen Statement dated November 2, 2022 of Chief Financial Ofcer required by 18 U.S.C. 1350, as adopted pursuant</w:t>
            </w:r>
          </w:p>
        </w:tc>
      </w:tr>
      <w:tr>
        <w:trPr>
          <w:trHeight w:val="231"/>
        </w:trPr>
        <w:tc>
          <w:tcPr>
            <w:tcW w:w="20" w:type="dxa"/>
            <w:vAlign w:val="bottom"/>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line="230" w:lineRule="exact"/>
              <w:rPr>
                <w:sz w:val="20"/>
                <w:szCs w:val="20"/>
                <w:color w:val="auto"/>
              </w:rPr>
            </w:pPr>
            <w:r>
              <w:rPr>
                <w:rFonts w:ascii="Calibri" w:cs="Calibri" w:eastAsia="Calibri" w:hAnsi="Calibri"/>
                <w:sz w:val="20"/>
                <w:szCs w:val="20"/>
                <w:color w:val="auto"/>
              </w:rPr>
              <w:t>to Secton 906 of the Sarbanes-Oxley Act of 2002</w:t>
            </w:r>
          </w:p>
        </w:tc>
      </w:tr>
    </w:tbl>
    <w:p>
      <w:pPr>
        <w:spacing w:after="0" w:line="93" w:lineRule="exact"/>
        <w:rPr>
          <w:sz w:val="20"/>
          <w:szCs w:val="20"/>
          <w:color w:val="auto"/>
        </w:rPr>
      </w:pPr>
    </w:p>
    <w:p>
      <w:pPr>
        <w:ind w:left="1420" w:hanging="1399"/>
        <w:spacing w:after="0"/>
        <w:tabs>
          <w:tab w:leader="none" w:pos="1420" w:val="left"/>
        </w:tabs>
        <w:numPr>
          <w:ilvl w:val="0"/>
          <w:numId w:val="16"/>
        </w:numPr>
        <w:rPr>
          <w:rFonts w:ascii="Calibri" w:cs="Calibri" w:eastAsia="Calibri" w:hAnsi="Calibri"/>
          <w:sz w:val="20"/>
          <w:szCs w:val="20"/>
          <w:u w:val="single" w:color="auto"/>
          <w:color w:val="0000FF"/>
        </w:rPr>
      </w:pPr>
      <w:r>
        <w:rPr>
          <w:rFonts w:ascii="Calibri" w:cs="Calibri" w:eastAsia="Calibri" w:hAnsi="Calibri"/>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1301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Calibri" w:cs="Calibri" w:eastAsia="Calibri" w:hAnsi="Calibri"/>
                <w:sz w:val="20"/>
                <w:szCs w:val="20"/>
                <w:color w:val="auto"/>
              </w:rPr>
              <w:t>101.INS</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Instance Document – The instance document does not appear in the Interactve Data File because its XBRL</w:t>
            </w:r>
          </w:p>
        </w:tc>
      </w:tr>
      <w:tr>
        <w:trPr>
          <w:trHeight w:val="234"/>
        </w:trPr>
        <w:tc>
          <w:tcPr>
            <w:tcW w:w="1040" w:type="dxa"/>
            <w:vAlign w:val="bottom"/>
          </w:tcPr>
          <w:p>
            <w:pPr>
              <w:spacing w:after="0"/>
              <w:rPr>
                <w:sz w:val="20"/>
                <w:szCs w:val="20"/>
                <w:color w:val="auto"/>
              </w:rPr>
            </w:pPr>
          </w:p>
        </w:tc>
        <w:tc>
          <w:tcPr>
            <w:tcW w:w="10160" w:type="dxa"/>
            <w:vAlign w:val="bottom"/>
          </w:tcPr>
          <w:p>
            <w:pPr>
              <w:ind w:left="360"/>
              <w:spacing w:after="0" w:line="234" w:lineRule="exact"/>
              <w:rPr>
                <w:sz w:val="20"/>
                <w:szCs w:val="20"/>
                <w:color w:val="auto"/>
              </w:rPr>
            </w:pPr>
            <w:r>
              <w:rPr>
                <w:rFonts w:ascii="Calibri" w:cs="Calibri" w:eastAsia="Calibri" w:hAnsi="Calibri"/>
                <w:sz w:val="20"/>
                <w:szCs w:val="20"/>
                <w:color w:val="auto"/>
              </w:rPr>
              <w:t>tags are embedded within the Inline XBRL document.</w:t>
            </w:r>
          </w:p>
        </w:tc>
      </w:tr>
      <w:tr>
        <w:trPr>
          <w:trHeight w:val="338"/>
        </w:trPr>
        <w:tc>
          <w:tcPr>
            <w:tcW w:w="1040" w:type="dxa"/>
            <w:vAlign w:val="bottom"/>
          </w:tcPr>
          <w:p>
            <w:pPr>
              <w:spacing w:after="0"/>
              <w:rPr>
                <w:sz w:val="20"/>
                <w:szCs w:val="20"/>
                <w:color w:val="auto"/>
              </w:rPr>
            </w:pPr>
            <w:r>
              <w:rPr>
                <w:rFonts w:ascii="Calibri" w:cs="Calibri" w:eastAsia="Calibri" w:hAnsi="Calibri"/>
                <w:sz w:val="20"/>
                <w:szCs w:val="20"/>
                <w:color w:val="auto"/>
              </w:rPr>
              <w:t>101.SCH</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Schema Document</w:t>
            </w:r>
          </w:p>
        </w:tc>
      </w:tr>
      <w:tr>
        <w:trPr>
          <w:trHeight w:val="553"/>
        </w:trPr>
        <w:tc>
          <w:tcPr>
            <w:tcW w:w="1040" w:type="dxa"/>
            <w:vAlign w:val="bottom"/>
          </w:tcPr>
          <w:p>
            <w:pPr>
              <w:spacing w:after="0"/>
              <w:rPr>
                <w:sz w:val="20"/>
                <w:szCs w:val="20"/>
                <w:color w:val="auto"/>
              </w:rPr>
            </w:pPr>
            <w:r>
              <w:rPr>
                <w:rFonts w:ascii="Calibri" w:cs="Calibri" w:eastAsia="Calibri" w:hAnsi="Calibri"/>
                <w:sz w:val="20"/>
                <w:szCs w:val="20"/>
                <w:color w:val="auto"/>
              </w:rPr>
              <w:t>101.CAL</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Calculaton Linkbase Document</w:t>
            </w:r>
          </w:p>
        </w:tc>
      </w:tr>
      <w:tr>
        <w:trPr>
          <w:trHeight w:val="553"/>
        </w:trPr>
        <w:tc>
          <w:tcPr>
            <w:tcW w:w="1040" w:type="dxa"/>
            <w:vAlign w:val="bottom"/>
          </w:tcPr>
          <w:p>
            <w:pPr>
              <w:spacing w:after="0"/>
              <w:rPr>
                <w:sz w:val="20"/>
                <w:szCs w:val="20"/>
                <w:color w:val="auto"/>
              </w:rPr>
            </w:pPr>
            <w:r>
              <w:rPr>
                <w:rFonts w:ascii="Calibri" w:cs="Calibri" w:eastAsia="Calibri" w:hAnsi="Calibri"/>
                <w:sz w:val="20"/>
                <w:szCs w:val="20"/>
                <w:color w:val="auto"/>
              </w:rPr>
              <w:t>101.LAB</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Label Linkbase Document</w:t>
            </w:r>
          </w:p>
        </w:tc>
      </w:tr>
      <w:tr>
        <w:trPr>
          <w:trHeight w:val="553"/>
        </w:trPr>
        <w:tc>
          <w:tcPr>
            <w:tcW w:w="1040" w:type="dxa"/>
            <w:vAlign w:val="bottom"/>
          </w:tcPr>
          <w:p>
            <w:pPr>
              <w:spacing w:after="0"/>
              <w:rPr>
                <w:sz w:val="20"/>
                <w:szCs w:val="20"/>
                <w:color w:val="auto"/>
              </w:rPr>
            </w:pPr>
            <w:r>
              <w:rPr>
                <w:rFonts w:ascii="Calibri" w:cs="Calibri" w:eastAsia="Calibri" w:hAnsi="Calibri"/>
                <w:sz w:val="20"/>
                <w:szCs w:val="20"/>
                <w:color w:val="auto"/>
              </w:rPr>
              <w:t>101.PRE</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Presentaton Linkbase Document</w:t>
            </w:r>
          </w:p>
        </w:tc>
      </w:tr>
      <w:tr>
        <w:trPr>
          <w:trHeight w:val="554"/>
        </w:trPr>
        <w:tc>
          <w:tcPr>
            <w:tcW w:w="1040" w:type="dxa"/>
            <w:vAlign w:val="bottom"/>
          </w:tcPr>
          <w:p>
            <w:pPr>
              <w:spacing w:after="0"/>
              <w:rPr>
                <w:sz w:val="20"/>
                <w:szCs w:val="20"/>
                <w:color w:val="auto"/>
              </w:rPr>
            </w:pPr>
            <w:r>
              <w:rPr>
                <w:rFonts w:ascii="Calibri" w:cs="Calibri" w:eastAsia="Calibri" w:hAnsi="Calibri"/>
                <w:sz w:val="20"/>
                <w:szCs w:val="20"/>
                <w:color w:val="auto"/>
              </w:rPr>
              <w:t>101.DEF</w:t>
            </w:r>
          </w:p>
        </w:tc>
        <w:tc>
          <w:tcPr>
            <w:tcW w:w="10160" w:type="dxa"/>
            <w:vAlign w:val="bottom"/>
          </w:tcPr>
          <w:p>
            <w:pPr>
              <w:ind w:left="360"/>
              <w:spacing w:after="0"/>
              <w:rPr>
                <w:sz w:val="20"/>
                <w:szCs w:val="20"/>
                <w:color w:val="auto"/>
              </w:rPr>
            </w:pPr>
            <w:r>
              <w:rPr>
                <w:rFonts w:ascii="Calibri" w:cs="Calibri" w:eastAsia="Calibri" w:hAnsi="Calibri"/>
                <w:sz w:val="20"/>
                <w:szCs w:val="20"/>
                <w:color w:val="auto"/>
              </w:rPr>
              <w:t>Inline XBRL Taxonomy Extension Defniton Linkbase</w:t>
            </w:r>
          </w:p>
        </w:tc>
      </w:tr>
    </w:tbl>
    <w:p>
      <w:pPr>
        <w:spacing w:after="0" w:line="309" w:lineRule="exact"/>
        <w:rPr>
          <w:sz w:val="20"/>
          <w:szCs w:val="20"/>
          <w:color w:val="auto"/>
        </w:rPr>
      </w:pPr>
    </w:p>
    <w:p>
      <w:pPr>
        <w:ind w:left="1420" w:hanging="1399"/>
        <w:spacing w:after="0"/>
        <w:tabs>
          <w:tab w:leader="none" w:pos="1420"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Cover Page Interactve Data File (formated as inline XBRL and contained in Exhibit 101)</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11" w:lineRule="exact"/>
        <w:rPr>
          <w:rFonts w:ascii="Calibri" w:cs="Calibri" w:eastAsia="Calibri" w:hAnsi="Calibri"/>
          <w:sz w:val="20"/>
          <w:szCs w:val="20"/>
          <w:color w:val="auto"/>
        </w:rPr>
      </w:pPr>
    </w:p>
    <w:p>
      <w:pPr>
        <w:ind w:left="5060"/>
        <w:spacing w:after="0"/>
        <w:rPr>
          <w:rFonts w:ascii="Calibri" w:cs="Calibri" w:eastAsia="Calibri" w:hAnsi="Calibri"/>
          <w:sz w:val="20"/>
          <w:szCs w:val="20"/>
          <w:color w:val="auto"/>
        </w:rPr>
      </w:pPr>
      <w:r>
        <w:rPr>
          <w:rFonts w:ascii="Calibri" w:cs="Calibri" w:eastAsia="Calibri" w:hAnsi="Calibri"/>
          <w:sz w:val="20"/>
          <w:szCs w:val="20"/>
          <w:color w:val="auto"/>
        </w:rPr>
        <w:t>Page 52 of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52" w:name="page53"/>
    <w:bookmarkEnd w:id="52"/>
    <w:p>
      <w:pPr>
        <w:jc w:val="center"/>
        <w:spacing w:after="0"/>
        <w:rPr>
          <w:sz w:val="20"/>
          <w:szCs w:val="20"/>
          <w:color w:val="auto"/>
        </w:rPr>
      </w:pPr>
      <w:r>
        <w:rPr>
          <w:rFonts w:ascii="Calibri" w:cs="Calibri" w:eastAsia="Calibri" w:hAnsi="Calibri"/>
          <w:sz w:val="20"/>
          <w:szCs w:val="20"/>
          <w:color w:val="auto"/>
        </w:rPr>
        <w:t>SIGNATURES</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Calibri" w:cs="Calibri" w:eastAsia="Calibri" w:hAnsi="Calibri"/>
                <w:sz w:val="20"/>
                <w:szCs w:val="20"/>
                <w:color w:val="auto"/>
              </w:rPr>
              <w:t>MARTIN MARIETTA MATERIALS, INC.</w:t>
            </w:r>
          </w:p>
        </w:tc>
      </w:tr>
      <w:tr>
        <w:trPr>
          <w:trHeight w:val="234"/>
        </w:trPr>
        <w:tc>
          <w:tcPr>
            <w:tcW w:w="3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120" w:type="dxa"/>
            <w:vAlign w:val="bottom"/>
          </w:tcPr>
          <w:p>
            <w:pPr>
              <w:ind w:left="560"/>
              <w:spacing w:after="0" w:line="234" w:lineRule="exact"/>
              <w:rPr>
                <w:sz w:val="20"/>
                <w:szCs w:val="20"/>
                <w:color w:val="auto"/>
              </w:rPr>
            </w:pPr>
            <w:r>
              <w:rPr>
                <w:rFonts w:ascii="Calibri" w:cs="Calibri" w:eastAsia="Calibri" w:hAnsi="Calibri"/>
                <w:sz w:val="20"/>
                <w:szCs w:val="20"/>
                <w:color w:val="auto"/>
              </w:rPr>
              <w:t>(Registrant)</w:t>
            </w:r>
          </w:p>
        </w:tc>
      </w:tr>
      <w:tr>
        <w:trPr>
          <w:trHeight w:val="458"/>
        </w:trPr>
        <w:tc>
          <w:tcPr>
            <w:tcW w:w="3540" w:type="dxa"/>
            <w:vAlign w:val="bottom"/>
          </w:tcPr>
          <w:p>
            <w:pPr>
              <w:ind w:left="20"/>
              <w:spacing w:after="0"/>
              <w:rPr>
                <w:sz w:val="20"/>
                <w:szCs w:val="20"/>
                <w:color w:val="auto"/>
              </w:rPr>
            </w:pPr>
            <w:r>
              <w:rPr>
                <w:rFonts w:ascii="Calibri" w:cs="Calibri" w:eastAsia="Calibri" w:hAnsi="Calibri"/>
                <w:sz w:val="20"/>
                <w:szCs w:val="20"/>
                <w:color w:val="auto"/>
              </w:rPr>
              <w:t>Date: November 2, 2022</w:t>
            </w:r>
          </w:p>
        </w:tc>
        <w:tc>
          <w:tcPr>
            <w:tcW w:w="3580" w:type="dxa"/>
            <w:vAlign w:val="bottom"/>
          </w:tcPr>
          <w:p>
            <w:pPr>
              <w:ind w:left="3000"/>
              <w:spacing w:after="0"/>
              <w:rPr>
                <w:sz w:val="20"/>
                <w:szCs w:val="20"/>
                <w:color w:val="auto"/>
              </w:rPr>
            </w:pPr>
            <w:r>
              <w:rPr>
                <w:rFonts w:ascii="Calibri" w:cs="Calibri" w:eastAsia="Calibri" w:hAnsi="Calibri"/>
                <w:sz w:val="20"/>
                <w:szCs w:val="20"/>
                <w:color w:val="auto"/>
              </w:rPr>
              <w:t>By:</w:t>
            </w:r>
          </w:p>
        </w:tc>
        <w:tc>
          <w:tcPr>
            <w:tcW w:w="4120" w:type="dxa"/>
            <w:vAlign w:val="bottom"/>
            <w:tcBorders>
              <w:bottom w:val="single" w:sz="8" w:color="auto"/>
            </w:tcBorders>
          </w:tcPr>
          <w:p>
            <w:pPr>
              <w:ind w:left="20"/>
              <w:spacing w:after="0"/>
              <w:rPr>
                <w:sz w:val="20"/>
                <w:szCs w:val="20"/>
                <w:color w:val="auto"/>
              </w:rPr>
            </w:pPr>
            <w:r>
              <w:rPr>
                <w:rFonts w:ascii="Calibri" w:cs="Calibri" w:eastAsia="Calibri" w:hAnsi="Calibri"/>
                <w:sz w:val="20"/>
                <w:szCs w:val="20"/>
                <w:color w:val="auto"/>
              </w:rPr>
              <w:t>/s/ James A. J. Nickolas</w:t>
            </w:r>
          </w:p>
        </w:tc>
      </w:tr>
      <w:tr>
        <w:trPr>
          <w:trHeight w:val="192"/>
        </w:trPr>
        <w:tc>
          <w:tcPr>
            <w:tcW w:w="35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120" w:type="dxa"/>
            <w:vAlign w:val="bottom"/>
          </w:tcPr>
          <w:p>
            <w:pPr>
              <w:ind w:left="20"/>
              <w:spacing w:after="0" w:line="192" w:lineRule="exact"/>
              <w:rPr>
                <w:sz w:val="20"/>
                <w:szCs w:val="20"/>
                <w:color w:val="auto"/>
              </w:rPr>
            </w:pPr>
            <w:r>
              <w:rPr>
                <w:rFonts w:ascii="Calibri" w:cs="Calibri" w:eastAsia="Calibri" w:hAnsi="Calibri"/>
                <w:sz w:val="20"/>
                <w:szCs w:val="20"/>
                <w:color w:val="auto"/>
              </w:rPr>
              <w:t>James A. J. Nickolas</w:t>
            </w:r>
          </w:p>
        </w:tc>
      </w:tr>
      <w:tr>
        <w:trPr>
          <w:trHeight w:val="230"/>
        </w:trPr>
        <w:tc>
          <w:tcPr>
            <w:tcW w:w="3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120" w:type="dxa"/>
            <w:vAlign w:val="bottom"/>
          </w:tcPr>
          <w:p>
            <w:pPr>
              <w:ind w:left="20"/>
              <w:spacing w:after="0" w:line="229" w:lineRule="exact"/>
              <w:rPr>
                <w:sz w:val="20"/>
                <w:szCs w:val="20"/>
                <w:color w:val="auto"/>
              </w:rPr>
            </w:pPr>
            <w:r>
              <w:rPr>
                <w:rFonts w:ascii="Calibri" w:cs="Calibri" w:eastAsia="Calibri" w:hAnsi="Calibri"/>
                <w:sz w:val="20"/>
                <w:szCs w:val="20"/>
                <w:color w:val="auto"/>
              </w:rPr>
              <w:t>Sr. Vice President and</w:t>
            </w:r>
          </w:p>
        </w:tc>
      </w:tr>
      <w:tr>
        <w:trPr>
          <w:trHeight w:val="234"/>
        </w:trPr>
        <w:tc>
          <w:tcPr>
            <w:tcW w:w="3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120" w:type="dxa"/>
            <w:vAlign w:val="bottom"/>
          </w:tcPr>
          <w:p>
            <w:pPr>
              <w:ind w:left="160"/>
              <w:spacing w:after="0" w:line="234" w:lineRule="exact"/>
              <w:rPr>
                <w:sz w:val="20"/>
                <w:szCs w:val="20"/>
                <w:color w:val="auto"/>
              </w:rPr>
            </w:pPr>
            <w:r>
              <w:rPr>
                <w:rFonts w:ascii="Calibri" w:cs="Calibri" w:eastAsia="Calibri" w:hAnsi="Calibri"/>
                <w:sz w:val="20"/>
                <w:szCs w:val="20"/>
                <w:color w:val="auto"/>
              </w:rPr>
              <w:t>Chief Financial Ofcer</w:t>
            </w:r>
          </w:p>
        </w:tc>
      </w:tr>
      <w:tr>
        <w:trPr>
          <w:trHeight w:val="634"/>
        </w:trPr>
        <w:tc>
          <w:tcPr>
            <w:tcW w:w="3540" w:type="dxa"/>
            <w:vAlign w:val="bottom"/>
          </w:tcPr>
          <w:p>
            <w:pPr>
              <w:spacing w:after="0"/>
              <w:rPr>
                <w:sz w:val="24"/>
                <w:szCs w:val="24"/>
                <w:color w:val="auto"/>
              </w:rPr>
            </w:pPr>
          </w:p>
        </w:tc>
        <w:tc>
          <w:tcPr>
            <w:tcW w:w="3580" w:type="dxa"/>
            <w:vAlign w:val="bottom"/>
          </w:tcPr>
          <w:p>
            <w:pPr>
              <w:ind w:left="1520"/>
              <w:spacing w:after="0"/>
              <w:rPr>
                <w:sz w:val="20"/>
                <w:szCs w:val="20"/>
                <w:color w:val="auto"/>
              </w:rPr>
            </w:pPr>
            <w:r>
              <w:rPr>
                <w:rFonts w:ascii="Calibri" w:cs="Calibri" w:eastAsia="Calibri" w:hAnsi="Calibri"/>
                <w:sz w:val="20"/>
                <w:szCs w:val="20"/>
                <w:color w:val="auto"/>
              </w:rPr>
              <w:t>Page 53 of 53</w:t>
            </w:r>
          </w:p>
        </w:tc>
        <w:tc>
          <w:tcPr>
            <w:tcW w:w="4120" w:type="dxa"/>
            <w:vAlign w:val="bottom"/>
          </w:tcPr>
          <w:p>
            <w:pPr>
              <w:spacing w:after="0"/>
              <w:rPr>
                <w:sz w:val="24"/>
                <w:szCs w:val="24"/>
                <w:color w:val="auto"/>
              </w:rPr>
            </w:pPr>
          </w:p>
        </w:tc>
      </w:tr>
      <w:tr>
        <w:trPr>
          <w:trHeight w:val="148"/>
        </w:trPr>
        <w:tc>
          <w:tcPr>
            <w:tcW w:w="3540" w:type="dxa"/>
            <w:vAlign w:val="bottom"/>
            <w:tcBorders>
              <w:bottom w:val="single" w:sz="8" w:color="9A9A9A"/>
            </w:tcBorders>
          </w:tcPr>
          <w:p>
            <w:pPr>
              <w:spacing w:after="0"/>
              <w:rPr>
                <w:sz w:val="12"/>
                <w:szCs w:val="12"/>
                <w:color w:val="auto"/>
              </w:rPr>
            </w:pPr>
          </w:p>
        </w:tc>
        <w:tc>
          <w:tcPr>
            <w:tcW w:w="3580" w:type="dxa"/>
            <w:vAlign w:val="bottom"/>
            <w:tcBorders>
              <w:bottom w:val="single" w:sz="8" w:color="9A9A9A"/>
            </w:tcBorders>
          </w:tcPr>
          <w:p>
            <w:pPr>
              <w:spacing w:after="0"/>
              <w:rPr>
                <w:sz w:val="12"/>
                <w:szCs w:val="12"/>
                <w:color w:val="auto"/>
              </w:rPr>
            </w:pPr>
          </w:p>
        </w:tc>
        <w:tc>
          <w:tcPr>
            <w:tcW w:w="41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3" w:name="page54"/>
    <w:bookmarkEnd w:id="53"/>
    <w:p>
      <w:pPr>
        <w:ind w:left="10080"/>
        <w:spacing w:after="0"/>
        <w:rPr>
          <w:sz w:val="20"/>
          <w:szCs w:val="20"/>
          <w:color w:val="auto"/>
        </w:rPr>
      </w:pPr>
      <w:r>
        <w:rPr>
          <w:rFonts w:ascii="Calibri" w:cs="Calibri" w:eastAsia="Calibri" w:hAnsi="Calibri"/>
          <w:sz w:val="20"/>
          <w:szCs w:val="20"/>
          <w:b w:val="1"/>
          <w:bCs w:val="1"/>
          <w:color w:val="auto"/>
        </w:rPr>
        <w:t>EXHIBIT 31.01</w:t>
      </w:r>
    </w:p>
    <w:p>
      <w:pPr>
        <w:spacing w:after="0" w:line="400" w:lineRule="exact"/>
        <w:rPr>
          <w:sz w:val="20"/>
          <w:szCs w:val="20"/>
          <w:color w:val="auto"/>
        </w:rPr>
      </w:pPr>
    </w:p>
    <w:p>
      <w:pPr>
        <w:jc w:val="center"/>
        <w:ind w:right="40"/>
        <w:spacing w:after="0" w:line="228"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188" w:lineRule="exact"/>
        <w:rPr>
          <w:sz w:val="20"/>
          <w:szCs w:val="20"/>
          <w:color w:val="auto"/>
        </w:rPr>
      </w:pPr>
    </w:p>
    <w:p>
      <w:pPr>
        <w:ind w:left="1140" w:hanging="383"/>
        <w:spacing w:after="0"/>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197" w:lineRule="exact"/>
        <w:rPr>
          <w:rFonts w:ascii="Calibri" w:cs="Calibri" w:eastAsia="Calibri" w:hAnsi="Calibri"/>
          <w:sz w:val="20"/>
          <w:szCs w:val="20"/>
          <w:color w:val="auto"/>
        </w:rPr>
      </w:pPr>
    </w:p>
    <w:p>
      <w:pPr>
        <w:jc w:val="both"/>
        <w:ind w:left="1140" w:hanging="383"/>
        <w:spacing w:after="0" w:line="227" w:lineRule="auto"/>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Calibri" w:cs="Calibri" w:eastAsia="Calibri" w:hAnsi="Calibri"/>
          <w:sz w:val="20"/>
          <w:szCs w:val="20"/>
          <w:color w:val="auto"/>
        </w:rPr>
      </w:pPr>
    </w:p>
    <w:p>
      <w:pPr>
        <w:jc w:val="both"/>
        <w:ind w:left="1140" w:hanging="383"/>
        <w:spacing w:after="0" w:line="227" w:lineRule="auto"/>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198" w:lineRule="exact"/>
        <w:rPr>
          <w:rFonts w:ascii="Calibri" w:cs="Calibri" w:eastAsia="Calibri" w:hAnsi="Calibri"/>
          <w:sz w:val="20"/>
          <w:szCs w:val="20"/>
          <w:color w:val="auto"/>
        </w:rPr>
      </w:pPr>
    </w:p>
    <w:p>
      <w:pPr>
        <w:jc w:val="both"/>
        <w:ind w:left="1140" w:hanging="383"/>
        <w:spacing w:after="0" w:line="222" w:lineRule="auto"/>
        <w:tabs>
          <w:tab w:leader="none" w:pos="1140" w:val="left"/>
        </w:tabs>
        <w:numPr>
          <w:ilvl w:val="0"/>
          <w:numId w:val="18"/>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3" w:lineRule="exact"/>
        <w:rPr>
          <w:rFonts w:ascii="Calibri" w:cs="Calibri" w:eastAsia="Calibri" w:hAnsi="Calibri"/>
          <w:sz w:val="20"/>
          <w:szCs w:val="20"/>
          <w:color w:val="auto"/>
        </w:rPr>
      </w:pPr>
    </w:p>
    <w:p>
      <w:pPr>
        <w:jc w:val="both"/>
        <w:ind w:left="1880" w:hanging="375"/>
        <w:spacing w:after="0" w:line="223"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99" w:lineRule="exact"/>
        <w:rPr>
          <w:rFonts w:ascii="Calibri" w:cs="Calibri" w:eastAsia="Calibri" w:hAnsi="Calibri"/>
          <w:sz w:val="20"/>
          <w:szCs w:val="20"/>
          <w:color w:val="auto"/>
        </w:rPr>
      </w:pPr>
    </w:p>
    <w:p>
      <w:pPr>
        <w:jc w:val="both"/>
        <w:ind w:left="1880" w:hanging="375"/>
        <w:spacing w:after="0" w:line="226"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00" w:lineRule="exact"/>
        <w:rPr>
          <w:rFonts w:ascii="Calibri" w:cs="Calibri" w:eastAsia="Calibri" w:hAnsi="Calibri"/>
          <w:sz w:val="20"/>
          <w:szCs w:val="20"/>
          <w:color w:val="auto"/>
        </w:rPr>
      </w:pPr>
    </w:p>
    <w:p>
      <w:pPr>
        <w:jc w:val="both"/>
        <w:ind w:left="1880" w:hanging="375"/>
        <w:spacing w:after="0" w:line="227"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98" w:lineRule="exact"/>
        <w:rPr>
          <w:rFonts w:ascii="Calibri" w:cs="Calibri" w:eastAsia="Calibri" w:hAnsi="Calibri"/>
          <w:sz w:val="20"/>
          <w:szCs w:val="20"/>
          <w:color w:val="auto"/>
        </w:rPr>
      </w:pPr>
    </w:p>
    <w:p>
      <w:pPr>
        <w:jc w:val="both"/>
        <w:ind w:left="1880" w:hanging="375"/>
        <w:spacing w:after="0" w:line="223" w:lineRule="auto"/>
        <w:tabs>
          <w:tab w:leader="none" w:pos="1880" w:val="left"/>
        </w:tabs>
        <w:numPr>
          <w:ilvl w:val="1"/>
          <w:numId w:val="18"/>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54" w:name="page55"/>
    <w:bookmarkEnd w:id="54"/>
    <w:p>
      <w:pPr>
        <w:jc w:val="both"/>
        <w:ind w:left="1140" w:hanging="383"/>
        <w:spacing w:after="0" w:line="227" w:lineRule="auto"/>
        <w:tabs>
          <w:tab w:leader="none" w:pos="1140" w:val="left"/>
        </w:tabs>
        <w:numPr>
          <w:ilvl w:val="0"/>
          <w:numId w:val="19"/>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98" w:lineRule="exact"/>
        <w:rPr>
          <w:rFonts w:ascii="Calibri" w:cs="Calibri" w:eastAsia="Calibri" w:hAnsi="Calibri"/>
          <w:sz w:val="20"/>
          <w:szCs w:val="20"/>
          <w:color w:val="auto"/>
        </w:rPr>
      </w:pPr>
    </w:p>
    <w:p>
      <w:pPr>
        <w:jc w:val="both"/>
        <w:ind w:left="1880" w:hanging="375"/>
        <w:spacing w:after="0" w:line="222"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3" w:lineRule="exact"/>
        <w:rPr>
          <w:rFonts w:ascii="Calibri" w:cs="Calibri" w:eastAsia="Calibri" w:hAnsi="Calibri"/>
          <w:sz w:val="20"/>
          <w:szCs w:val="20"/>
          <w:color w:val="auto"/>
        </w:rPr>
      </w:pPr>
    </w:p>
    <w:p>
      <w:pPr>
        <w:ind w:left="1880" w:hanging="375"/>
        <w:spacing w:after="0" w:line="221" w:lineRule="auto"/>
        <w:tabs>
          <w:tab w:leader="none" w:pos="1880" w:val="left"/>
        </w:tabs>
        <w:numPr>
          <w:ilvl w:val="1"/>
          <w:numId w:val="19"/>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360" w:type="dxa"/>
            <w:vAlign w:val="bottom"/>
          </w:tcPr>
          <w:p>
            <w:pPr>
              <w:ind w:left="20"/>
              <w:spacing w:after="0"/>
              <w:rPr>
                <w:sz w:val="20"/>
                <w:szCs w:val="20"/>
                <w:color w:val="auto"/>
              </w:rPr>
            </w:pPr>
            <w:r>
              <w:rPr>
                <w:rFonts w:ascii="Calibri" w:cs="Calibri" w:eastAsia="Calibri" w:hAnsi="Calibri"/>
                <w:sz w:val="20"/>
                <w:szCs w:val="20"/>
                <w:color w:val="auto"/>
              </w:rPr>
              <w:t>Date: November 2, 2022</w:t>
            </w:r>
          </w:p>
        </w:tc>
        <w:tc>
          <w:tcPr>
            <w:tcW w:w="6880" w:type="dxa"/>
            <w:vAlign w:val="bottom"/>
            <w:gridSpan w:val="2"/>
          </w:tcPr>
          <w:p>
            <w:pPr>
              <w:ind w:left="2300"/>
              <w:spacing w:after="0"/>
              <w:rPr>
                <w:sz w:val="20"/>
                <w:szCs w:val="20"/>
                <w:color w:val="auto"/>
              </w:rPr>
            </w:pPr>
            <w:r>
              <w:rPr>
                <w:rFonts w:ascii="Calibri" w:cs="Calibri" w:eastAsia="Calibri" w:hAnsi="Calibri"/>
                <w:sz w:val="20"/>
                <w:szCs w:val="20"/>
                <w:color w:val="auto"/>
              </w:rPr>
              <w:t>By:   /s/ C. Howard Nye</w:t>
            </w:r>
          </w:p>
        </w:tc>
      </w:tr>
      <w:tr>
        <w:trPr>
          <w:trHeight w:val="202"/>
        </w:trPr>
        <w:tc>
          <w:tcPr>
            <w:tcW w:w="43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40" w:type="dxa"/>
            <w:vAlign w:val="bottom"/>
            <w:tcBorders>
              <w:top w:val="single" w:sz="8" w:color="auto"/>
            </w:tcBorders>
          </w:tcPr>
          <w:p>
            <w:pPr>
              <w:ind w:left="20"/>
              <w:spacing w:after="0" w:line="202" w:lineRule="exact"/>
              <w:rPr>
                <w:sz w:val="20"/>
                <w:szCs w:val="20"/>
                <w:color w:val="auto"/>
              </w:rPr>
            </w:pPr>
            <w:r>
              <w:rPr>
                <w:rFonts w:ascii="Calibri" w:cs="Calibri" w:eastAsia="Calibri" w:hAnsi="Calibri"/>
                <w:sz w:val="20"/>
                <w:szCs w:val="20"/>
                <w:color w:val="auto"/>
              </w:rPr>
              <w:t>C. Howard Nye</w:t>
            </w:r>
          </w:p>
        </w:tc>
      </w:tr>
      <w:tr>
        <w:trPr>
          <w:trHeight w:val="230"/>
        </w:trPr>
        <w:tc>
          <w:tcPr>
            <w:tcW w:w="43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40" w:type="dxa"/>
            <w:vAlign w:val="bottom"/>
          </w:tcPr>
          <w:p>
            <w:pPr>
              <w:ind w:left="20"/>
              <w:spacing w:after="0" w:line="229" w:lineRule="exact"/>
              <w:rPr>
                <w:sz w:val="20"/>
                <w:szCs w:val="20"/>
                <w:color w:val="auto"/>
              </w:rPr>
            </w:pPr>
            <w:r>
              <w:rPr>
                <w:rFonts w:ascii="Calibri" w:cs="Calibri" w:eastAsia="Calibri" w:hAnsi="Calibri"/>
                <w:sz w:val="20"/>
                <w:szCs w:val="20"/>
                <w:color w:val="auto"/>
              </w:rPr>
              <w:t>Chairman, President and</w:t>
            </w:r>
          </w:p>
        </w:tc>
      </w:tr>
      <w:tr>
        <w:trPr>
          <w:trHeight w:val="234"/>
        </w:trPr>
        <w:tc>
          <w:tcPr>
            <w:tcW w:w="4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40" w:type="dxa"/>
            <w:vAlign w:val="bottom"/>
          </w:tcPr>
          <w:p>
            <w:pPr>
              <w:ind w:left="160"/>
              <w:spacing w:after="0" w:line="234" w:lineRule="exact"/>
              <w:rPr>
                <w:sz w:val="20"/>
                <w:szCs w:val="20"/>
                <w:color w:val="auto"/>
              </w:rPr>
            </w:pPr>
            <w:r>
              <w:rPr>
                <w:rFonts w:ascii="Calibri" w:cs="Calibri" w:eastAsia="Calibri" w:hAnsi="Calibri"/>
                <w:sz w:val="20"/>
                <w:szCs w:val="20"/>
                <w:color w:val="auto"/>
              </w:rPr>
              <w:t>Chief Executve Ofcer</w:t>
            </w:r>
          </w:p>
        </w:tc>
      </w:tr>
      <w:tr>
        <w:trPr>
          <w:trHeight w:val="553"/>
        </w:trPr>
        <w:tc>
          <w:tcPr>
            <w:tcW w:w="43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5" w:name="page56"/>
    <w:bookmarkEnd w:id="55"/>
    <w:p>
      <w:pPr>
        <w:ind w:left="10080"/>
        <w:spacing w:after="0"/>
        <w:rPr>
          <w:sz w:val="20"/>
          <w:szCs w:val="20"/>
          <w:color w:val="auto"/>
        </w:rPr>
      </w:pPr>
      <w:r>
        <w:rPr>
          <w:rFonts w:ascii="Calibri" w:cs="Calibri" w:eastAsia="Calibri" w:hAnsi="Calibri"/>
          <w:sz w:val="20"/>
          <w:szCs w:val="20"/>
          <w:b w:val="1"/>
          <w:bCs w:val="1"/>
          <w:color w:val="auto"/>
        </w:rPr>
        <w:t>EXHIBIT 31.02</w:t>
      </w:r>
    </w:p>
    <w:p>
      <w:pPr>
        <w:spacing w:after="0" w:line="400" w:lineRule="exact"/>
        <w:rPr>
          <w:sz w:val="20"/>
          <w:szCs w:val="20"/>
          <w:color w:val="auto"/>
        </w:rPr>
      </w:pPr>
    </w:p>
    <w:p>
      <w:pPr>
        <w:jc w:val="center"/>
        <w:ind w:right="40"/>
        <w:spacing w:after="0" w:line="228" w:lineRule="auto"/>
        <w:rPr>
          <w:sz w:val="20"/>
          <w:szCs w:val="20"/>
          <w:color w:val="auto"/>
        </w:rPr>
      </w:pPr>
      <w:r>
        <w:rPr>
          <w:rFonts w:ascii="Calibri" w:cs="Calibri" w:eastAsia="Calibri" w:hAnsi="Calibri"/>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188" w:lineRule="exact"/>
        <w:rPr>
          <w:sz w:val="20"/>
          <w:szCs w:val="20"/>
          <w:color w:val="auto"/>
        </w:rPr>
      </w:pPr>
    </w:p>
    <w:p>
      <w:pPr>
        <w:ind w:left="1140" w:hanging="383"/>
        <w:spacing w:after="0"/>
        <w:tabs>
          <w:tab w:leader="none" w:pos="114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I have reviewed this Form 10-Q of Martn Marieta Materials, Inc.;</w:t>
      </w:r>
    </w:p>
    <w:p>
      <w:pPr>
        <w:spacing w:after="0" w:line="197" w:lineRule="exact"/>
        <w:rPr>
          <w:rFonts w:ascii="Calibri" w:cs="Calibri" w:eastAsia="Calibri" w:hAnsi="Calibri"/>
          <w:sz w:val="20"/>
          <w:szCs w:val="20"/>
          <w:color w:val="auto"/>
        </w:rPr>
      </w:pPr>
    </w:p>
    <w:p>
      <w:pPr>
        <w:jc w:val="both"/>
        <w:ind w:left="1140" w:hanging="383"/>
        <w:spacing w:after="0" w:line="227" w:lineRule="auto"/>
        <w:tabs>
          <w:tab w:leader="none" w:pos="114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Calibri" w:cs="Calibri" w:eastAsia="Calibri" w:hAnsi="Calibri"/>
          <w:sz w:val="20"/>
          <w:szCs w:val="20"/>
          <w:color w:val="auto"/>
        </w:rPr>
      </w:pPr>
    </w:p>
    <w:p>
      <w:pPr>
        <w:jc w:val="both"/>
        <w:ind w:left="1140" w:hanging="383"/>
        <w:spacing w:after="0" w:line="227" w:lineRule="auto"/>
        <w:tabs>
          <w:tab w:leader="none" w:pos="114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Based on my knowledge, the consolidated fnancial statements, and other fnancial informaton included in this report, fairly present in all material respects the consolidated fnancial conditon, results of operatons and cash fows of the registrant as of, and for, the periods presented in this report;</w:t>
      </w:r>
    </w:p>
    <w:p>
      <w:pPr>
        <w:spacing w:after="0" w:line="198" w:lineRule="exact"/>
        <w:rPr>
          <w:rFonts w:ascii="Calibri" w:cs="Calibri" w:eastAsia="Calibri" w:hAnsi="Calibri"/>
          <w:sz w:val="20"/>
          <w:szCs w:val="20"/>
          <w:color w:val="auto"/>
        </w:rPr>
      </w:pPr>
    </w:p>
    <w:p>
      <w:pPr>
        <w:jc w:val="both"/>
        <w:ind w:left="1140" w:hanging="383"/>
        <w:spacing w:after="0" w:line="222" w:lineRule="auto"/>
        <w:tabs>
          <w:tab w:leader="none" w:pos="1140" w:val="left"/>
        </w:tabs>
        <w:numPr>
          <w:ilvl w:val="0"/>
          <w:numId w:val="20"/>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213" w:lineRule="exact"/>
        <w:rPr>
          <w:rFonts w:ascii="Calibri" w:cs="Calibri" w:eastAsia="Calibri" w:hAnsi="Calibri"/>
          <w:sz w:val="20"/>
          <w:szCs w:val="20"/>
          <w:color w:val="auto"/>
        </w:rPr>
      </w:pPr>
    </w:p>
    <w:p>
      <w:pPr>
        <w:jc w:val="both"/>
        <w:ind w:left="1880" w:hanging="375"/>
        <w:spacing w:after="0" w:line="223" w:lineRule="auto"/>
        <w:tabs>
          <w:tab w:leader="none" w:pos="188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99" w:lineRule="exact"/>
        <w:rPr>
          <w:rFonts w:ascii="Calibri" w:cs="Calibri" w:eastAsia="Calibri" w:hAnsi="Calibri"/>
          <w:sz w:val="20"/>
          <w:szCs w:val="20"/>
          <w:color w:val="auto"/>
        </w:rPr>
      </w:pPr>
    </w:p>
    <w:p>
      <w:pPr>
        <w:jc w:val="both"/>
        <w:ind w:left="1880" w:hanging="375"/>
        <w:spacing w:after="0" w:line="226" w:lineRule="auto"/>
        <w:tabs>
          <w:tab w:leader="none" w:pos="188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consolidated fnancial statements for external purposes in accordance with generally accepted accountng principles;</w:t>
      </w:r>
    </w:p>
    <w:p>
      <w:pPr>
        <w:spacing w:after="0" w:line="200" w:lineRule="exact"/>
        <w:rPr>
          <w:rFonts w:ascii="Calibri" w:cs="Calibri" w:eastAsia="Calibri" w:hAnsi="Calibri"/>
          <w:sz w:val="20"/>
          <w:szCs w:val="20"/>
          <w:color w:val="auto"/>
        </w:rPr>
      </w:pPr>
    </w:p>
    <w:p>
      <w:pPr>
        <w:jc w:val="both"/>
        <w:ind w:left="1880" w:hanging="375"/>
        <w:spacing w:after="0" w:line="227" w:lineRule="auto"/>
        <w:tabs>
          <w:tab w:leader="none" w:pos="188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98" w:lineRule="exact"/>
        <w:rPr>
          <w:rFonts w:ascii="Calibri" w:cs="Calibri" w:eastAsia="Calibri" w:hAnsi="Calibri"/>
          <w:sz w:val="20"/>
          <w:szCs w:val="20"/>
          <w:color w:val="auto"/>
        </w:rPr>
      </w:pPr>
    </w:p>
    <w:p>
      <w:pPr>
        <w:jc w:val="both"/>
        <w:ind w:left="1880" w:hanging="375"/>
        <w:spacing w:after="0" w:line="223" w:lineRule="auto"/>
        <w:tabs>
          <w:tab w:leader="none" w:pos="188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56" w:name="page57"/>
    <w:bookmarkEnd w:id="56"/>
    <w:p>
      <w:pPr>
        <w:jc w:val="both"/>
        <w:ind w:left="1140" w:hanging="383"/>
        <w:spacing w:after="0" w:line="227" w:lineRule="auto"/>
        <w:tabs>
          <w:tab w:leader="none" w:pos="1140" w:val="left"/>
        </w:tabs>
        <w:numPr>
          <w:ilvl w:val="0"/>
          <w:numId w:val="21"/>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98" w:lineRule="exact"/>
        <w:rPr>
          <w:rFonts w:ascii="Calibri" w:cs="Calibri" w:eastAsia="Calibri" w:hAnsi="Calibri"/>
          <w:sz w:val="20"/>
          <w:szCs w:val="20"/>
          <w:color w:val="auto"/>
        </w:rPr>
      </w:pPr>
    </w:p>
    <w:p>
      <w:pPr>
        <w:jc w:val="both"/>
        <w:ind w:left="1880" w:hanging="375"/>
        <w:spacing w:after="0" w:line="222" w:lineRule="auto"/>
        <w:tabs>
          <w:tab w:leader="none" w:pos="1880"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3" w:lineRule="exact"/>
        <w:rPr>
          <w:rFonts w:ascii="Calibri" w:cs="Calibri" w:eastAsia="Calibri" w:hAnsi="Calibri"/>
          <w:sz w:val="20"/>
          <w:szCs w:val="20"/>
          <w:color w:val="auto"/>
        </w:rPr>
      </w:pPr>
    </w:p>
    <w:p>
      <w:pPr>
        <w:ind w:left="1880" w:hanging="375"/>
        <w:spacing w:after="0" w:line="221" w:lineRule="auto"/>
        <w:tabs>
          <w:tab w:leader="none" w:pos="1880" w:val="left"/>
        </w:tabs>
        <w:numPr>
          <w:ilvl w:val="1"/>
          <w:numId w:val="21"/>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340" w:type="dxa"/>
            <w:vAlign w:val="bottom"/>
          </w:tcPr>
          <w:p>
            <w:pPr>
              <w:ind w:left="20"/>
              <w:spacing w:after="0"/>
              <w:rPr>
                <w:sz w:val="20"/>
                <w:szCs w:val="20"/>
                <w:color w:val="auto"/>
              </w:rPr>
            </w:pPr>
            <w:r>
              <w:rPr>
                <w:rFonts w:ascii="Calibri" w:cs="Calibri" w:eastAsia="Calibri" w:hAnsi="Calibri"/>
                <w:sz w:val="20"/>
                <w:szCs w:val="20"/>
                <w:color w:val="auto"/>
              </w:rPr>
              <w:t>Date: November 2, 2022</w:t>
            </w:r>
          </w:p>
        </w:tc>
        <w:tc>
          <w:tcPr>
            <w:tcW w:w="6900" w:type="dxa"/>
            <w:vAlign w:val="bottom"/>
            <w:gridSpan w:val="2"/>
          </w:tcPr>
          <w:p>
            <w:pPr>
              <w:ind w:left="2320"/>
              <w:spacing w:after="0"/>
              <w:rPr>
                <w:sz w:val="20"/>
                <w:szCs w:val="20"/>
                <w:color w:val="auto"/>
              </w:rPr>
            </w:pPr>
            <w:r>
              <w:rPr>
                <w:rFonts w:ascii="Calibri" w:cs="Calibri" w:eastAsia="Calibri" w:hAnsi="Calibri"/>
                <w:sz w:val="20"/>
                <w:szCs w:val="20"/>
                <w:color w:val="auto"/>
              </w:rPr>
              <w:t>By:   /s/ James A. J. Nickolas</w:t>
            </w:r>
          </w:p>
        </w:tc>
      </w:tr>
      <w:tr>
        <w:trPr>
          <w:trHeight w:val="202"/>
        </w:trPr>
        <w:tc>
          <w:tcPr>
            <w:tcW w:w="4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40" w:type="dxa"/>
            <w:vAlign w:val="bottom"/>
            <w:tcBorders>
              <w:top w:val="single" w:sz="8" w:color="auto"/>
            </w:tcBorders>
          </w:tcPr>
          <w:p>
            <w:pPr>
              <w:ind w:left="20"/>
              <w:spacing w:after="0" w:line="202" w:lineRule="exact"/>
              <w:rPr>
                <w:sz w:val="20"/>
                <w:szCs w:val="20"/>
                <w:color w:val="auto"/>
              </w:rPr>
            </w:pPr>
            <w:r>
              <w:rPr>
                <w:rFonts w:ascii="Calibri" w:cs="Calibri" w:eastAsia="Calibri" w:hAnsi="Calibri"/>
                <w:sz w:val="20"/>
                <w:szCs w:val="20"/>
                <w:color w:val="auto"/>
              </w:rPr>
              <w:t>James A. J. Nickolas</w:t>
            </w:r>
          </w:p>
        </w:tc>
      </w:tr>
      <w:tr>
        <w:trPr>
          <w:trHeight w:val="230"/>
        </w:trPr>
        <w:tc>
          <w:tcPr>
            <w:tcW w:w="4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040" w:type="dxa"/>
            <w:vAlign w:val="bottom"/>
          </w:tcPr>
          <w:p>
            <w:pPr>
              <w:ind w:left="20"/>
              <w:spacing w:after="0" w:line="229" w:lineRule="exact"/>
              <w:rPr>
                <w:sz w:val="20"/>
                <w:szCs w:val="20"/>
                <w:color w:val="auto"/>
              </w:rPr>
            </w:pPr>
            <w:r>
              <w:rPr>
                <w:rFonts w:ascii="Calibri" w:cs="Calibri" w:eastAsia="Calibri" w:hAnsi="Calibri"/>
                <w:sz w:val="20"/>
                <w:szCs w:val="20"/>
                <w:color w:val="auto"/>
              </w:rPr>
              <w:t>Sr. Vice President and</w:t>
            </w:r>
          </w:p>
        </w:tc>
      </w:tr>
      <w:tr>
        <w:trPr>
          <w:trHeight w:val="234"/>
        </w:trPr>
        <w:tc>
          <w:tcPr>
            <w:tcW w:w="4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40" w:type="dxa"/>
            <w:vAlign w:val="bottom"/>
          </w:tcPr>
          <w:p>
            <w:pPr>
              <w:ind w:left="160"/>
              <w:spacing w:after="0" w:line="234" w:lineRule="exact"/>
              <w:rPr>
                <w:sz w:val="20"/>
                <w:szCs w:val="20"/>
                <w:color w:val="auto"/>
              </w:rPr>
            </w:pPr>
            <w:r>
              <w:rPr>
                <w:rFonts w:ascii="Calibri" w:cs="Calibri" w:eastAsia="Calibri" w:hAnsi="Calibri"/>
                <w:sz w:val="20"/>
                <w:szCs w:val="20"/>
                <w:color w:val="auto"/>
              </w:rPr>
              <w:t>Chief Financial Ofcer</w:t>
            </w:r>
          </w:p>
        </w:tc>
      </w:tr>
      <w:tr>
        <w:trPr>
          <w:trHeight w:val="553"/>
        </w:trPr>
        <w:tc>
          <w:tcPr>
            <w:tcW w:w="43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188"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25"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198" w:lineRule="exact"/>
        <w:rPr>
          <w:sz w:val="20"/>
          <w:szCs w:val="20"/>
          <w:color w:val="auto"/>
        </w:rPr>
      </w:pPr>
    </w:p>
    <w:p>
      <w:pPr>
        <w:jc w:val="both"/>
        <w:ind w:firstLine="749"/>
        <w:spacing w:after="0" w:line="227" w:lineRule="auto"/>
        <w:rPr>
          <w:sz w:val="20"/>
          <w:szCs w:val="20"/>
          <w:color w:val="auto"/>
        </w:rPr>
      </w:pPr>
      <w:r>
        <w:rPr>
          <w:rFonts w:ascii="Calibri" w:cs="Calibri" w:eastAsia="Calibri" w:hAnsi="Calibri"/>
          <w:sz w:val="20"/>
          <w:szCs w:val="20"/>
          <w:color w:val="auto"/>
        </w:rPr>
        <w:t>In connecton with the Quarterly Report on Form 10-Q for the period ended September 30, 2022 (the “Report”) of Martn Marieta Materials, Inc. (the “Registrant”), as fled with the Securites and Exchange Commission on the date hereof, I, C. Howard Nye, the Chief Executve Ofcer of the Registrant, certfy, to the best of my knowledge, that:</w:t>
      </w:r>
    </w:p>
    <w:p>
      <w:pPr>
        <w:spacing w:after="0" w:line="198" w:lineRule="exact"/>
        <w:rPr>
          <w:sz w:val="20"/>
          <w:szCs w:val="20"/>
          <w:color w:val="auto"/>
        </w:rPr>
      </w:pPr>
    </w:p>
    <w:p>
      <w:pPr>
        <w:ind w:left="1500" w:right="20" w:hanging="743"/>
        <w:spacing w:after="0" w:line="228" w:lineRule="auto"/>
        <w:tabs>
          <w:tab w:leader="none" w:pos="15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97" w:lineRule="exact"/>
        <w:rPr>
          <w:rFonts w:ascii="Calibri" w:cs="Calibri" w:eastAsia="Calibri" w:hAnsi="Calibri"/>
          <w:sz w:val="20"/>
          <w:szCs w:val="20"/>
          <w:color w:val="auto"/>
        </w:rPr>
      </w:pPr>
    </w:p>
    <w:p>
      <w:pPr>
        <w:ind w:left="1500" w:hanging="743"/>
        <w:spacing w:after="0" w:line="228" w:lineRule="auto"/>
        <w:tabs>
          <w:tab w:leader="none" w:pos="1500" w:val="left"/>
        </w:tabs>
        <w:numPr>
          <w:ilvl w:val="0"/>
          <w:numId w:val="22"/>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04"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ind w:left="6780"/>
        <w:spacing w:after="0" w:line="238" w:lineRule="auto"/>
        <w:rPr>
          <w:sz w:val="20"/>
          <w:szCs w:val="20"/>
          <w:color w:val="auto"/>
        </w:rPr>
      </w:pPr>
      <w:r>
        <w:rPr>
          <w:rFonts w:ascii="Calibri" w:cs="Calibri" w:eastAsia="Calibri" w:hAnsi="Calibri"/>
          <w:sz w:val="20"/>
          <w:szCs w:val="20"/>
          <w:color w:val="auto"/>
        </w:rPr>
        <w:t>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-140970</wp:posOffset>
            </wp:positionV>
            <wp:extent cx="28460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right"/>
        <w:ind w:right="2440"/>
        <w:spacing w:after="0" w:line="226" w:lineRule="auto"/>
        <w:rPr>
          <w:sz w:val="20"/>
          <w:szCs w:val="20"/>
          <w:color w:val="auto"/>
        </w:rPr>
      </w:pPr>
      <w:r>
        <w:rPr>
          <w:rFonts w:ascii="Calibri" w:cs="Calibri" w:eastAsia="Calibri" w:hAnsi="Calibri"/>
          <w:sz w:val="20"/>
          <w:szCs w:val="20"/>
          <w:color w:val="auto"/>
        </w:rPr>
        <w:t>Chairman, President and</w:t>
      </w:r>
    </w:p>
    <w:p>
      <w:pPr>
        <w:jc w:val="right"/>
        <w:ind w:right="2480"/>
        <w:spacing w:after="0" w:line="226" w:lineRule="auto"/>
        <w:rPr>
          <w:sz w:val="20"/>
          <w:szCs w:val="20"/>
          <w:color w:val="auto"/>
        </w:rPr>
      </w:pPr>
      <w:r>
        <w:rPr>
          <w:rFonts w:ascii="Calibri" w:cs="Calibri" w:eastAsia="Calibri" w:hAnsi="Calibri"/>
          <w:sz w:val="20"/>
          <w:szCs w:val="20"/>
          <w:color w:val="auto"/>
        </w:rPr>
        <w:t>Chief Executve Ofcer</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Dated: November 2, 2022</w:t>
      </w:r>
    </w:p>
    <w:p>
      <w:pPr>
        <w:spacing w:after="0" w:line="198" w:lineRule="exact"/>
        <w:rPr>
          <w:sz w:val="20"/>
          <w:szCs w:val="20"/>
          <w:color w:val="auto"/>
        </w:rPr>
      </w:pPr>
    </w:p>
    <w:p>
      <w:pPr>
        <w:ind w:right="20"/>
        <w:spacing w:after="0" w:line="228"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58" w:name="page59"/>
    <w:bookmarkEnd w:id="58"/>
    <w:p>
      <w:pPr>
        <w:ind w:left="10080"/>
        <w:spacing w:after="0"/>
        <w:rPr>
          <w:sz w:val="20"/>
          <w:szCs w:val="20"/>
          <w:color w:val="auto"/>
        </w:rPr>
      </w:pPr>
      <w:r>
        <w:rPr>
          <w:rFonts w:ascii="Calibri" w:cs="Calibri" w:eastAsia="Calibri" w:hAnsi="Calibri"/>
          <w:sz w:val="20"/>
          <w:szCs w:val="20"/>
          <w:b w:val="1"/>
          <w:bCs w:val="1"/>
          <w:color w:val="auto"/>
        </w:rPr>
        <w:t>EXHIBIT 32.02</w:t>
      </w:r>
    </w:p>
    <w:p>
      <w:pPr>
        <w:spacing w:after="0" w:line="188"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Writen Statement Pursuant to 18 U.S.C. 1350,</w:t>
      </w:r>
    </w:p>
    <w:p>
      <w:pPr>
        <w:jc w:val="center"/>
        <w:spacing w:after="0" w:line="225" w:lineRule="auto"/>
        <w:rPr>
          <w:sz w:val="20"/>
          <w:szCs w:val="20"/>
          <w:color w:val="auto"/>
        </w:rPr>
      </w:pPr>
      <w:r>
        <w:rPr>
          <w:rFonts w:ascii="Calibri" w:cs="Calibri" w:eastAsia="Calibri" w:hAnsi="Calibri"/>
          <w:sz w:val="20"/>
          <w:szCs w:val="20"/>
          <w:b w:val="1"/>
          <w:bCs w:val="1"/>
          <w:color w:val="auto"/>
        </w:rPr>
        <w:t>As Adopted Pursuant to Secton 906 of the Sarbanes-Oxley Act of 2002</w:t>
      </w:r>
    </w:p>
    <w:p>
      <w:pPr>
        <w:spacing w:after="0" w:line="198" w:lineRule="exact"/>
        <w:rPr>
          <w:sz w:val="20"/>
          <w:szCs w:val="20"/>
          <w:color w:val="auto"/>
        </w:rPr>
      </w:pPr>
    </w:p>
    <w:p>
      <w:pPr>
        <w:jc w:val="both"/>
        <w:ind w:firstLine="749"/>
        <w:spacing w:after="0" w:line="227" w:lineRule="auto"/>
        <w:rPr>
          <w:sz w:val="20"/>
          <w:szCs w:val="20"/>
          <w:color w:val="auto"/>
        </w:rPr>
      </w:pPr>
      <w:r>
        <w:rPr>
          <w:rFonts w:ascii="Calibri" w:cs="Calibri" w:eastAsia="Calibri" w:hAnsi="Calibri"/>
          <w:sz w:val="20"/>
          <w:szCs w:val="20"/>
          <w:color w:val="auto"/>
        </w:rPr>
        <w:t>In connecton with the Quarterly Report on Form 10-Q for the period ended September 30, 2022 (the “Report”) of Martn Marieta Materials, Inc. (the “Registrant”), as fled with the Securites and Exchange Commission on the date hereof, I, James A. J. Nickolas, the Chief Financial Ofcer of the Registrant, certfy, to the best of my knowledge, that:</w:t>
      </w:r>
    </w:p>
    <w:p>
      <w:pPr>
        <w:spacing w:after="0" w:line="198" w:lineRule="exact"/>
        <w:rPr>
          <w:sz w:val="20"/>
          <w:szCs w:val="20"/>
          <w:color w:val="auto"/>
        </w:rPr>
      </w:pPr>
    </w:p>
    <w:p>
      <w:pPr>
        <w:ind w:left="1500" w:right="20" w:hanging="743"/>
        <w:spacing w:after="0" w:line="228" w:lineRule="auto"/>
        <w:tabs>
          <w:tab w:leader="none" w:pos="15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97" w:lineRule="exact"/>
        <w:rPr>
          <w:rFonts w:ascii="Calibri" w:cs="Calibri" w:eastAsia="Calibri" w:hAnsi="Calibri"/>
          <w:sz w:val="20"/>
          <w:szCs w:val="20"/>
          <w:color w:val="auto"/>
        </w:rPr>
      </w:pPr>
    </w:p>
    <w:p>
      <w:pPr>
        <w:ind w:left="1500" w:hanging="743"/>
        <w:spacing w:after="0" w:line="228" w:lineRule="auto"/>
        <w:tabs>
          <w:tab w:leader="none" w:pos="1500" w:val="left"/>
        </w:tabs>
        <w:numPr>
          <w:ilvl w:val="0"/>
          <w:numId w:val="23"/>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00" w:lineRule="exact"/>
        <w:rPr>
          <w:sz w:val="20"/>
          <w:szCs w:val="20"/>
          <w:color w:val="auto"/>
        </w:rPr>
      </w:pPr>
    </w:p>
    <w:p>
      <w:pPr>
        <w:spacing w:after="0" w:line="204"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ind w:left="6780"/>
        <w:spacing w:after="0" w:line="238" w:lineRule="auto"/>
        <w:rPr>
          <w:sz w:val="20"/>
          <w:szCs w:val="20"/>
          <w:color w:val="auto"/>
        </w:rPr>
      </w:pPr>
      <w:r>
        <w:rPr>
          <w:rFonts w:ascii="Calibri" w:cs="Calibri" w:eastAsia="Calibri" w:hAnsi="Calibri"/>
          <w:sz w:val="20"/>
          <w:szCs w:val="20"/>
          <w:color w:val="auto"/>
        </w:rPr>
        <w:t>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-140970</wp:posOffset>
            </wp:positionV>
            <wp:extent cx="28460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80"/>
        <w:spacing w:after="0" w:line="226" w:lineRule="auto"/>
        <w:rPr>
          <w:sz w:val="20"/>
          <w:szCs w:val="20"/>
          <w:color w:val="auto"/>
        </w:rPr>
      </w:pPr>
      <w:r>
        <w:rPr>
          <w:rFonts w:ascii="Calibri" w:cs="Calibri" w:eastAsia="Calibri" w:hAnsi="Calibri"/>
          <w:sz w:val="20"/>
          <w:szCs w:val="20"/>
          <w:color w:val="auto"/>
        </w:rPr>
        <w:t>Sr. Vice President and</w:t>
      </w:r>
    </w:p>
    <w:p>
      <w:pPr>
        <w:ind w:left="6900"/>
        <w:spacing w:after="0" w:line="226" w:lineRule="auto"/>
        <w:rPr>
          <w:sz w:val="20"/>
          <w:szCs w:val="20"/>
          <w:color w:val="auto"/>
        </w:rPr>
      </w:pPr>
      <w:r>
        <w:rPr>
          <w:rFonts w:ascii="Calibri" w:cs="Calibri" w:eastAsia="Calibri" w:hAnsi="Calibri"/>
          <w:sz w:val="20"/>
          <w:szCs w:val="20"/>
          <w:color w:val="auto"/>
        </w:rPr>
        <w:t>Chief Financial Ofcer</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Dated: November 2, 2022</w:t>
      </w:r>
    </w:p>
    <w:p>
      <w:pPr>
        <w:spacing w:after="0" w:line="198" w:lineRule="exact"/>
        <w:rPr>
          <w:sz w:val="20"/>
          <w:szCs w:val="20"/>
          <w:color w:val="auto"/>
        </w:rPr>
      </w:pPr>
    </w:p>
    <w:p>
      <w:pPr>
        <w:ind w:right="20"/>
        <w:spacing w:after="0" w:line="228"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59" w:name="page60"/>
    <w:bookmarkEnd w:id="59"/>
    <w:p>
      <w:pPr>
        <w:ind w:left="10320"/>
        <w:spacing w:after="0"/>
        <w:rPr>
          <w:sz w:val="20"/>
          <w:szCs w:val="20"/>
          <w:color w:val="auto"/>
        </w:rPr>
      </w:pPr>
      <w:r>
        <w:rPr>
          <w:rFonts w:ascii="Calibri" w:cs="Calibri" w:eastAsia="Calibri" w:hAnsi="Calibri"/>
          <w:sz w:val="20"/>
          <w:szCs w:val="20"/>
          <w:color w:val="auto"/>
        </w:rPr>
        <w:t>Appendix 1</w:t>
      </w:r>
    </w:p>
    <w:p>
      <w:pPr>
        <w:ind w:left="10320"/>
        <w:spacing w:after="0" w:line="225" w:lineRule="auto"/>
        <w:rPr>
          <w:sz w:val="20"/>
          <w:szCs w:val="20"/>
          <w:color w:val="auto"/>
        </w:rPr>
      </w:pPr>
      <w:r>
        <w:rPr>
          <w:rFonts w:ascii="Calibri" w:cs="Calibri" w:eastAsia="Calibri" w:hAnsi="Calibri"/>
          <w:sz w:val="20"/>
          <w:szCs w:val="20"/>
          <w:b w:val="1"/>
          <w:bCs w:val="1"/>
          <w:color w:val="auto"/>
        </w:rPr>
        <w:t>EXHIBIT 95</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MINE SAFETY DISCLOSURES</w:t>
      </w:r>
    </w:p>
    <w:p>
      <w:pPr>
        <w:spacing w:after="0" w:line="198"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operaton of the Company’s domestc aggregates quarries and mines is subject to regulaton by the federal Mine Safety and Health Administraton (MSHA) under the Federal Mine Safety and Health Act of 1977 (the Mine Act). MSHA inspects the Company’s quarries and mines on a regular basis and issues various citatons and orders when it believes a violaton has occurred under the Mine Act. Whenever MSHA issues a citaton or order, it also generally proposes a civil penalty, or fne, related to the alleged violaton. Citatons or orders may be contested and appealed and, as part of that process, are ofen reduced in severity and amount; they are sometmes dismissed.</w:t>
      </w:r>
    </w:p>
    <w:p>
      <w:pPr>
        <w:spacing w:after="0" w:line="35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(SEC). In evaluatng this informaton, consideraton should be given to factors such as: (i) the number of citatons and orders will vary depending on the size of the quarry or mine and types of operatons (i.e.,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331"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The Company has provided the informaton below in response to the SEC’s rules and regulatons issued under the provisions of the Dodd-Frank Act. The disclosures refect U.S. mining operatons only, as the requirements of the Dodd-Frank Act and the SEC rules and regulatons thereunder do not apply to the Company’s quarries and mines operated outside the United States.</w:t>
      </w:r>
    </w:p>
    <w:p>
      <w:pPr>
        <w:spacing w:after="0" w:line="214" w:lineRule="exact"/>
        <w:rPr>
          <w:sz w:val="20"/>
          <w:szCs w:val="20"/>
          <w:color w:val="auto"/>
        </w:rPr>
      </w:pPr>
    </w:p>
    <w:p>
      <w:pPr>
        <w:jc w:val="both"/>
        <w:spacing w:after="0" w:line="221" w:lineRule="auto"/>
        <w:rPr>
          <w:sz w:val="20"/>
          <w:szCs w:val="20"/>
          <w:color w:val="auto"/>
        </w:rPr>
      </w:pPr>
      <w:r>
        <w:rPr>
          <w:rFonts w:ascii="Calibri" w:cs="Calibri" w:eastAsia="Calibri" w:hAnsi="Calibri"/>
          <w:sz w:val="20"/>
          <w:szCs w:val="20"/>
          <w:color w:val="auto"/>
        </w:rPr>
        <w:t>The Company presents the following items regarding certain mining safety and health maters for the three months ended September 30, 2022:</w:t>
      </w:r>
    </w:p>
    <w:p>
      <w:pPr>
        <w:spacing w:after="0" w:line="239" w:lineRule="exact"/>
        <w:rPr>
          <w:sz w:val="20"/>
          <w:szCs w:val="20"/>
          <w:color w:val="auto"/>
        </w:rPr>
      </w:pPr>
    </w:p>
    <w:p>
      <w:pPr>
        <w:jc w:val="both"/>
        <w:ind w:left="380" w:hanging="372"/>
        <w:spacing w:after="0" w:line="224"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violatons of mandatory health or safety standards that could signifcantly and substantally contribute to the cause and efect of a mine safety or health hazard under secton 104 of the Mine Act for which the Company has received a citaton from MSHA (hereinafer, “Secton 104 S&amp;S Citatons”). If MSHA determines that a violaton of a mandatory health or safety standard is likely to result in a reasonably serious injury or illness under the unique circumstance contributed to by the violaton, MSHA will classify the violaton as a “signifcant and substantal” violaton (commonly referred to as an S&amp;S violaton). MSHA inspectors will classify each citaton or order writen as an S&amp;S violaton or not.</w:t>
      </w:r>
    </w:p>
    <w:p>
      <w:pPr>
        <w:spacing w:after="0" w:line="212" w:lineRule="exact"/>
        <w:rPr>
          <w:rFonts w:ascii="Times New Roman" w:cs="Times New Roman" w:eastAsia="Times New Roman" w:hAnsi="Times New Roman"/>
          <w:sz w:val="20"/>
          <w:szCs w:val="20"/>
          <w:b w:val="1"/>
          <w:bCs w:val="1"/>
          <w:color w:val="auto"/>
        </w:rPr>
      </w:pPr>
    </w:p>
    <w:p>
      <w:pPr>
        <w:jc w:val="both"/>
        <w:ind w:left="380" w:hanging="372"/>
        <w:spacing w:after="0" w:line="22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authorized persons) from the afected area of a quarry or mine.</w:t>
      </w:r>
    </w:p>
    <w:p>
      <w:pPr>
        <w:spacing w:after="0" w:line="227" w:lineRule="exact"/>
        <w:rPr>
          <w:rFonts w:ascii="Times New Roman" w:cs="Times New Roman" w:eastAsia="Times New Roman" w:hAnsi="Times New Roman"/>
          <w:sz w:val="20"/>
          <w:szCs w:val="20"/>
          <w:b w:val="1"/>
          <w:bCs w:val="1"/>
          <w:color w:val="auto"/>
        </w:rPr>
      </w:pPr>
    </w:p>
    <w:p>
      <w:pPr>
        <w:jc w:val="both"/>
        <w:ind w:left="380" w:hanging="372"/>
        <w:spacing w:after="0" w:line="226" w:lineRule="auto"/>
        <w:tabs>
          <w:tab w:leader="none" w:pos="380" w:val="left"/>
        </w:tabs>
        <w:numPr>
          <w:ilvl w:val="0"/>
          <w:numId w:val="24"/>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60" w:name="page61"/>
    <w:bookmarkEnd w:id="60"/>
    <w:p>
      <w:pPr>
        <w:ind w:left="10320"/>
        <w:spacing w:after="0"/>
        <w:rPr>
          <w:sz w:val="20"/>
          <w:szCs w:val="20"/>
          <w:color w:val="auto"/>
        </w:rPr>
      </w:pPr>
      <w:r>
        <w:rPr>
          <w:rFonts w:ascii="Calibri" w:cs="Calibri" w:eastAsia="Calibri" w:hAnsi="Calibri"/>
          <w:sz w:val="20"/>
          <w:szCs w:val="20"/>
          <w:color w:val="auto"/>
        </w:rPr>
        <w:t>Appendix 1</w:t>
      </w:r>
    </w:p>
    <w:p>
      <w:pPr>
        <w:ind w:left="380"/>
        <w:spacing w:after="0" w:line="225" w:lineRule="auto"/>
        <w:rPr>
          <w:sz w:val="20"/>
          <w:szCs w:val="20"/>
          <w:color w:val="auto"/>
        </w:rPr>
      </w:pPr>
      <w:r>
        <w:rPr>
          <w:rFonts w:ascii="Calibri" w:cs="Calibri" w:eastAsia="Calibri" w:hAnsi="Calibri"/>
          <w:sz w:val="20"/>
          <w:szCs w:val="20"/>
          <w:color w:val="auto"/>
        </w:rPr>
        <w:t>or health hazard, but the conditons do not cause imminent danger, and the MSHA inspector fnds that the violaton is caused by an</w:t>
      </w:r>
    </w:p>
    <w:p>
      <w:pPr>
        <w:ind w:left="380"/>
        <w:spacing w:after="0" w:line="226" w:lineRule="auto"/>
        <w:rPr>
          <w:sz w:val="20"/>
          <w:szCs w:val="20"/>
          <w:color w:val="auto"/>
        </w:rPr>
      </w:pPr>
      <w:r>
        <w:rPr>
          <w:rFonts w:ascii="Calibri" w:cs="Calibri" w:eastAsia="Calibri" w:hAnsi="Calibri"/>
          <w:sz w:val="20"/>
          <w:szCs w:val="20"/>
          <w:color w:val="auto"/>
        </w:rPr>
        <w:t>unwarranted failure of the operator to comply with the health and safety standards.</w:t>
      </w:r>
    </w:p>
    <w:p>
      <w:pPr>
        <w:spacing w:after="0" w:line="225" w:lineRule="exact"/>
        <w:rPr>
          <w:sz w:val="20"/>
          <w:szCs w:val="20"/>
          <w:color w:val="auto"/>
        </w:rPr>
      </w:pPr>
    </w:p>
    <w:p>
      <w:pPr>
        <w:jc w:val="both"/>
        <w:ind w:left="380" w:hanging="372"/>
        <w:spacing w:after="0" w:line="223" w:lineRule="auto"/>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29" w:lineRule="exact"/>
        <w:rPr>
          <w:rFonts w:ascii="Times New Roman" w:cs="Times New Roman" w:eastAsia="Times New Roman" w:hAnsi="Times New Roman"/>
          <w:sz w:val="20"/>
          <w:szCs w:val="20"/>
          <w:b w:val="1"/>
          <w:bCs w:val="1"/>
          <w:color w:val="auto"/>
        </w:rPr>
      </w:pPr>
    </w:p>
    <w:p>
      <w:pPr>
        <w:jc w:val="both"/>
        <w:ind w:left="380" w:hanging="372"/>
        <w:spacing w:after="0" w:line="226" w:lineRule="auto"/>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227" w:lineRule="exact"/>
        <w:rPr>
          <w:rFonts w:ascii="Times New Roman" w:cs="Times New Roman" w:eastAsia="Times New Roman" w:hAnsi="Times New Roman"/>
          <w:sz w:val="20"/>
          <w:szCs w:val="20"/>
          <w:b w:val="1"/>
          <w:bCs w:val="1"/>
          <w:color w:val="auto"/>
        </w:rPr>
      </w:pPr>
    </w:p>
    <w:p>
      <w:pPr>
        <w:jc w:val="both"/>
        <w:ind w:left="380" w:hanging="372"/>
        <w:spacing w:after="0" w:line="226" w:lineRule="auto"/>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dollar value of proposed assessments from MSHA under the Mine Act. These are the amounts of proposed assessments issued by MSHA with each citaton or order for the tme period covered by the reports.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227" w:lineRule="exact"/>
        <w:rPr>
          <w:rFonts w:ascii="Times New Roman" w:cs="Times New Roman" w:eastAsia="Times New Roman" w:hAnsi="Times New Roman"/>
          <w:sz w:val="20"/>
          <w:szCs w:val="20"/>
          <w:b w:val="1"/>
          <w:bCs w:val="1"/>
          <w:color w:val="auto"/>
        </w:rPr>
      </w:pPr>
    </w:p>
    <w:p>
      <w:pPr>
        <w:jc w:val="both"/>
        <w:ind w:left="380" w:hanging="372"/>
        <w:spacing w:after="0"/>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200" w:lineRule="exact"/>
        <w:rPr>
          <w:rFonts w:ascii="Times New Roman" w:cs="Times New Roman" w:eastAsia="Times New Roman" w:hAnsi="Times New Roman"/>
          <w:sz w:val="20"/>
          <w:szCs w:val="20"/>
          <w:b w:val="1"/>
          <w:bCs w:val="1"/>
          <w:color w:val="auto"/>
        </w:rPr>
      </w:pPr>
    </w:p>
    <w:p>
      <w:pPr>
        <w:spacing w:after="0" w:line="201" w:lineRule="exact"/>
        <w:rPr>
          <w:rFonts w:ascii="Times New Roman" w:cs="Times New Roman" w:eastAsia="Times New Roman" w:hAnsi="Times New Roman"/>
          <w:sz w:val="20"/>
          <w:szCs w:val="20"/>
          <w:b w:val="1"/>
          <w:bCs w:val="1"/>
          <w:color w:val="auto"/>
        </w:rPr>
      </w:pPr>
    </w:p>
    <w:p>
      <w:pPr>
        <w:jc w:val="both"/>
        <w:ind w:left="380" w:hanging="372"/>
        <w:spacing w:after="0" w:line="226" w:lineRule="auto"/>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MSHA determines that a mine has a “patern” of these types of violatons, or the potental to have such a patern, MSHA is required to notfy the mine operator of the existence of such a thing.</w:t>
      </w:r>
    </w:p>
    <w:p>
      <w:pPr>
        <w:spacing w:after="0" w:line="21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pending as of the last day of period.</w:t>
      </w:r>
    </w:p>
    <w:p>
      <w:pPr>
        <w:spacing w:after="0" w:line="2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initated during period.</w:t>
      </w:r>
    </w:p>
    <w:p>
      <w:pPr>
        <w:spacing w:after="0" w:line="2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25"/>
        </w:numPr>
        <w:rPr>
          <w:rFonts w:ascii="Times New Roman" w:cs="Times New Roman" w:eastAsia="Times New Roman" w:hAnsi="Times New Roman"/>
          <w:sz w:val="20"/>
          <w:szCs w:val="20"/>
          <w:b w:val="1"/>
          <w:bCs w:val="1"/>
          <w:color w:val="auto"/>
        </w:rPr>
      </w:pPr>
      <w:r>
        <w:rPr>
          <w:rFonts w:ascii="Calibri" w:cs="Calibri" w:eastAsia="Calibri" w:hAnsi="Calibri"/>
          <w:sz w:val="20"/>
          <w:szCs w:val="20"/>
          <w:color w:val="auto"/>
        </w:rPr>
        <w:t>Legal actons before the Federal Mine Safety and Health Review Commissions resolved during period.</w:t>
      </w:r>
    </w:p>
    <w:p>
      <w:pPr>
        <w:spacing w:after="0" w:line="211"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61" w:name="page62"/>
    <w:bookmarkEnd w:id="61"/>
    <w:p>
      <w:pPr>
        <w:ind w:left="10320"/>
        <w:spacing w:after="0"/>
        <w:rPr>
          <w:sz w:val="20"/>
          <w:szCs w:val="20"/>
          <w:color w:val="auto"/>
        </w:rPr>
      </w:pPr>
      <w:r>
        <w:rPr>
          <w:rFonts w:ascii="Calibri" w:cs="Calibri" w:eastAsia="Calibri" w:hAnsi="Calibri"/>
          <w:sz w:val="20"/>
          <w:szCs w:val="20"/>
          <w:color w:val="auto"/>
        </w:rPr>
        <w:t>Appendix 1</w:t>
      </w:r>
    </w:p>
    <w:p>
      <w:pPr>
        <w:spacing w:after="0" w:line="225" w:lineRule="auto"/>
        <w:rPr>
          <w:sz w:val="20"/>
          <w:szCs w:val="20"/>
          <w:color w:val="auto"/>
        </w:rPr>
      </w:pPr>
      <w:r>
        <w:rPr>
          <w:rFonts w:ascii="Calibri" w:cs="Calibri" w:eastAsia="Calibri" w:hAnsi="Calibri"/>
          <w:sz w:val="20"/>
          <w:szCs w:val="20"/>
          <w:color w:val="auto"/>
        </w:rPr>
        <w:t>penaltes they have received from MSHA, or complaints of discriminaton by miners under Secton 105 of the Mine Act.  Appendix 1</w:t>
      </w:r>
    </w:p>
    <w:p>
      <w:pPr>
        <w:spacing w:after="0" w:line="226" w:lineRule="auto"/>
        <w:rPr>
          <w:sz w:val="20"/>
          <w:szCs w:val="20"/>
          <w:color w:val="auto"/>
        </w:rPr>
      </w:pPr>
      <w:r>
        <w:rPr>
          <w:rFonts w:ascii="Calibri" w:cs="Calibri" w:eastAsia="Calibri" w:hAnsi="Calibri"/>
          <w:sz w:val="20"/>
          <w:szCs w:val="20"/>
          <w:color w:val="auto"/>
        </w:rPr>
        <w:t>shows, for each of the Company’s quarries and mines identfed, as of September 30, 2022, the number of legal actons pending before</w:t>
      </w:r>
    </w:p>
    <w:p>
      <w:pPr>
        <w:spacing w:after="0" w:line="225" w:lineRule="auto"/>
        <w:rPr>
          <w:sz w:val="20"/>
          <w:szCs w:val="20"/>
          <w:color w:val="auto"/>
        </w:rPr>
      </w:pPr>
      <w:r>
        <w:rPr>
          <w:rFonts w:ascii="Calibri" w:cs="Calibri" w:eastAsia="Calibri" w:hAnsi="Calibri"/>
          <w:sz w:val="20"/>
          <w:szCs w:val="20"/>
          <w:color w:val="auto"/>
        </w:rPr>
        <w:t>the Commission, along with the number of legal actons initated before the Commission during the quarter as well as resolved during</w:t>
      </w:r>
    </w:p>
    <w:p>
      <w:pPr>
        <w:spacing w:after="0" w:line="213" w:lineRule="auto"/>
        <w:rPr>
          <w:sz w:val="20"/>
          <w:szCs w:val="20"/>
          <w:color w:val="auto"/>
        </w:rPr>
      </w:pPr>
      <w:r>
        <w:rPr>
          <w:rFonts w:ascii="Calibri" w:cs="Calibri" w:eastAsia="Calibri" w:hAnsi="Calibri"/>
          <w:sz w:val="20"/>
          <w:szCs w:val="20"/>
          <w:color w:val="auto"/>
        </w:rPr>
        <w:t>the quarter. In additon, Appendix 1 includes a footnote to the column for legal actons before the Commission pending as of the last day</w:t>
      </w:r>
    </w:p>
    <w:p>
      <w:pPr>
        <w:spacing w:after="0" w:line="225" w:lineRule="auto"/>
        <w:rPr>
          <w:sz w:val="20"/>
          <w:szCs w:val="20"/>
          <w:color w:val="auto"/>
        </w:rPr>
      </w:pPr>
      <w:r>
        <w:rPr>
          <w:rFonts w:ascii="Calibri" w:cs="Calibri" w:eastAsia="Calibri" w:hAnsi="Calibri"/>
          <w:sz w:val="20"/>
          <w:szCs w:val="20"/>
          <w:color w:val="auto"/>
        </w:rPr>
        <w:t>of the period, which footnote breaks down that total number of legal actons pending by categories according to the type of proceeding</w:t>
      </w:r>
    </w:p>
    <w:p>
      <w:pPr>
        <w:spacing w:after="0" w:line="226" w:lineRule="auto"/>
        <w:rPr>
          <w:sz w:val="20"/>
          <w:szCs w:val="20"/>
          <w:color w:val="auto"/>
        </w:rPr>
      </w:pPr>
      <w:r>
        <w:rPr>
          <w:rFonts w:ascii="Calibri" w:cs="Calibri" w:eastAsia="Calibri" w:hAnsi="Calibri"/>
          <w:sz w:val="20"/>
          <w:szCs w:val="20"/>
          <w:color w:val="auto"/>
        </w:rPr>
        <w:t>in accordance with various categories established by the Procedural Rules of the Commission.</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44"/>
        </w:trPr>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00" w:type="dxa"/>
            <w:vAlign w:val="bottom"/>
            <w:gridSpan w:val="2"/>
          </w:tcPr>
          <w:p>
            <w:pPr>
              <w:ind w:left="380"/>
              <w:spacing w:after="0"/>
              <w:rPr>
                <w:sz w:val="20"/>
                <w:szCs w:val="20"/>
                <w:color w:val="auto"/>
              </w:rPr>
            </w:pPr>
            <w:r>
              <w:rPr>
                <w:rFonts w:ascii="Calibri" w:cs="Calibri" w:eastAsia="Calibri" w:hAnsi="Calibri"/>
                <w:sz w:val="20"/>
                <w:szCs w:val="20"/>
                <w:color w:val="auto"/>
                <w:w w:val="98"/>
              </w:rPr>
              <w:t>Appendix 1</w:t>
            </w:r>
          </w:p>
        </w:tc>
      </w:tr>
      <w:tr>
        <w:trPr>
          <w:trHeight w:val="211"/>
        </w:trPr>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jc w:val="center"/>
              <w:spacing w:after="0" w:line="211" w:lineRule="exact"/>
              <w:rPr>
                <w:sz w:val="20"/>
                <w:szCs w:val="20"/>
                <w:color w:val="auto"/>
              </w:rPr>
            </w:pPr>
            <w:r>
              <w:rPr>
                <w:rFonts w:ascii="Calibri" w:cs="Calibri" w:eastAsia="Calibri" w:hAnsi="Calibri"/>
                <w:sz w:val="20"/>
                <w:szCs w:val="20"/>
                <w:b w:val="1"/>
                <w:bCs w:val="1"/>
                <w:color w:val="auto"/>
                <w:w w:val="98"/>
              </w:rPr>
              <w:t>Total</w:t>
            </w:r>
          </w:p>
        </w:tc>
        <w:tc>
          <w:tcPr>
            <w:tcW w:w="1560" w:type="dxa"/>
            <w:vAlign w:val="bottom"/>
            <w:gridSpan w:val="2"/>
          </w:tcPr>
          <w:p>
            <w:pPr>
              <w:jc w:val="center"/>
              <w:spacing w:after="0" w:line="211" w:lineRule="exact"/>
              <w:rPr>
                <w:sz w:val="20"/>
                <w:szCs w:val="20"/>
                <w:color w:val="auto"/>
              </w:rPr>
            </w:pPr>
            <w:r>
              <w:rPr>
                <w:rFonts w:ascii="Calibri" w:cs="Calibri" w:eastAsia="Calibri" w:hAnsi="Calibri"/>
                <w:sz w:val="20"/>
                <w:szCs w:val="20"/>
                <w:b w:val="1"/>
                <w:bCs w:val="1"/>
                <w:color w:val="auto"/>
              </w:rPr>
              <w:t>Receive Received</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3"/>
          </w:tcPr>
          <w:p>
            <w:pPr>
              <w:ind w:left="100"/>
              <w:spacing w:after="0" w:line="216" w:lineRule="exact"/>
              <w:rPr>
                <w:sz w:val="20"/>
                <w:szCs w:val="20"/>
                <w:color w:val="auto"/>
              </w:rPr>
            </w:pPr>
            <w:r>
              <w:rPr>
                <w:rFonts w:ascii="Calibri" w:cs="Calibri" w:eastAsia="Calibri" w:hAnsi="Calibri"/>
                <w:sz w:val="20"/>
                <w:szCs w:val="20"/>
                <w:b w:val="1"/>
                <w:bCs w:val="1"/>
                <w:color w:val="auto"/>
              </w:rPr>
              <w:t>Numb d Notce  Notce</w:t>
            </w: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161"/>
              <w:spacing w:after="0" w:line="203" w:lineRule="exact"/>
              <w:rPr>
                <w:sz w:val="20"/>
                <w:szCs w:val="20"/>
                <w:color w:val="auto"/>
              </w:rPr>
            </w:pPr>
            <w:r>
              <w:rPr>
                <w:rFonts w:ascii="Calibri" w:cs="Calibri" w:eastAsia="Calibri" w:hAnsi="Calibri"/>
                <w:sz w:val="20"/>
                <w:szCs w:val="20"/>
                <w:b w:val="1"/>
                <w:bCs w:val="1"/>
                <w:color w:val="auto"/>
                <w:w w:val="94"/>
              </w:rPr>
              <w:t>Total</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7"/>
              </w:rPr>
              <w:t>er of</w:t>
            </w:r>
          </w:p>
        </w:tc>
        <w:tc>
          <w:tcPr>
            <w:tcW w:w="760" w:type="dxa"/>
            <w:vAlign w:val="bottom"/>
          </w:tcPr>
          <w:p>
            <w:pPr>
              <w:ind w:left="300"/>
              <w:spacing w:after="0" w:line="203" w:lineRule="exact"/>
              <w:rPr>
                <w:sz w:val="20"/>
                <w:szCs w:val="20"/>
                <w:color w:val="auto"/>
              </w:rPr>
            </w:pPr>
            <w:r>
              <w:rPr>
                <w:rFonts w:ascii="Calibri" w:cs="Calibri" w:eastAsia="Calibri" w:hAnsi="Calibri"/>
                <w:sz w:val="20"/>
                <w:szCs w:val="20"/>
                <w:b w:val="1"/>
                <w:bCs w:val="1"/>
                <w:color w:val="auto"/>
              </w:rPr>
              <w:t>of</w:t>
            </w:r>
          </w:p>
        </w:tc>
        <w:tc>
          <w:tcPr>
            <w:tcW w:w="800" w:type="dxa"/>
            <w:vAlign w:val="bottom"/>
          </w:tcPr>
          <w:p>
            <w:pPr>
              <w:ind w:left="300"/>
              <w:spacing w:after="0" w:line="203" w:lineRule="exact"/>
              <w:rPr>
                <w:sz w:val="20"/>
                <w:szCs w:val="20"/>
                <w:color w:val="auto"/>
              </w:rPr>
            </w:pPr>
            <w:r>
              <w:rPr>
                <w:rFonts w:ascii="Calibri" w:cs="Calibri" w:eastAsia="Calibri" w:hAnsi="Calibri"/>
                <w:sz w:val="20"/>
                <w:szCs w:val="20"/>
                <w:b w:val="1"/>
                <w:bCs w:val="1"/>
                <w:color w:val="auto"/>
              </w:rPr>
              <w:t>of</w:t>
            </w:r>
          </w:p>
        </w:tc>
        <w:tc>
          <w:tcPr>
            <w:tcW w:w="7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Legal</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Legal</w:t>
            </w:r>
          </w:p>
        </w:tc>
        <w:tc>
          <w:tcPr>
            <w:tcW w:w="680" w:type="dxa"/>
            <w:vAlign w:val="bottom"/>
          </w:tcPr>
          <w:p>
            <w:pPr>
              <w:spacing w:after="0"/>
              <w:rPr>
                <w:sz w:val="17"/>
                <w:szCs w:val="17"/>
                <w:color w:val="auto"/>
              </w:rPr>
            </w:pPr>
          </w:p>
        </w:tc>
      </w:tr>
      <w:tr>
        <w:trPr>
          <w:trHeight w:val="203"/>
        </w:trPr>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141"/>
              <w:spacing w:after="0" w:line="203" w:lineRule="exact"/>
              <w:rPr>
                <w:sz w:val="20"/>
                <w:szCs w:val="20"/>
                <w:color w:val="auto"/>
              </w:rPr>
            </w:pPr>
            <w:r>
              <w:rPr>
                <w:rFonts w:ascii="Calibri" w:cs="Calibri" w:eastAsia="Calibri" w:hAnsi="Calibri"/>
                <w:sz w:val="20"/>
                <w:szCs w:val="20"/>
                <w:b w:val="1"/>
                <w:bCs w:val="1"/>
                <w:color w:val="auto"/>
                <w:w w:val="99"/>
              </w:rPr>
              <w:t>Dollar</w:t>
            </w:r>
          </w:p>
        </w:tc>
        <w:tc>
          <w:tcPr>
            <w:tcW w:w="1380" w:type="dxa"/>
            <w:vAlign w:val="bottom"/>
            <w:gridSpan w:val="2"/>
          </w:tcPr>
          <w:p>
            <w:pPr>
              <w:ind w:left="100"/>
              <w:spacing w:after="0" w:line="203" w:lineRule="exact"/>
              <w:rPr>
                <w:sz w:val="20"/>
                <w:szCs w:val="20"/>
                <w:color w:val="auto"/>
              </w:rPr>
            </w:pPr>
            <w:r>
              <w:rPr>
                <w:rFonts w:ascii="Calibri" w:cs="Calibri" w:eastAsia="Calibri" w:hAnsi="Calibri"/>
                <w:sz w:val="20"/>
                <w:szCs w:val="20"/>
                <w:b w:val="1"/>
                <w:bCs w:val="1"/>
                <w:color w:val="auto"/>
              </w:rPr>
              <w:t>Minin Patern</w:t>
            </w:r>
          </w:p>
        </w:tc>
        <w:tc>
          <w:tcPr>
            <w:tcW w:w="1520" w:type="dxa"/>
            <w:vAlign w:val="bottom"/>
            <w:gridSpan w:val="2"/>
          </w:tcPr>
          <w:p>
            <w:pPr>
              <w:jc w:val="center"/>
              <w:spacing w:after="0" w:line="203" w:lineRule="exact"/>
              <w:rPr>
                <w:sz w:val="20"/>
                <w:szCs w:val="20"/>
                <w:color w:val="auto"/>
              </w:rPr>
            </w:pPr>
            <w:r>
              <w:rPr>
                <w:rFonts w:ascii="Calibri" w:cs="Calibri" w:eastAsia="Calibri" w:hAnsi="Calibri"/>
                <w:sz w:val="20"/>
                <w:szCs w:val="20"/>
                <w:b w:val="1"/>
                <w:bCs w:val="1"/>
                <w:color w:val="auto"/>
              </w:rPr>
              <w:t>Potenta Actons</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Acton</w:t>
            </w:r>
          </w:p>
        </w:tc>
        <w:tc>
          <w:tcPr>
            <w:tcW w:w="68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8"/>
              </w:rPr>
              <w:t>Legal</w:t>
            </w:r>
          </w:p>
        </w:tc>
      </w:tr>
      <w:tr>
        <w:trPr>
          <w:trHeight w:val="216"/>
        </w:trPr>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ind w:left="40"/>
              <w:spacing w:after="0" w:line="216" w:lineRule="exact"/>
              <w:rPr>
                <w:sz w:val="20"/>
                <w:szCs w:val="20"/>
                <w:color w:val="auto"/>
              </w:rPr>
            </w:pPr>
            <w:r>
              <w:rPr>
                <w:rFonts w:ascii="Calibri" w:cs="Calibri" w:eastAsia="Calibri" w:hAnsi="Calibri"/>
                <w:sz w:val="20"/>
                <w:szCs w:val="20"/>
                <w:b w:val="1"/>
                <w:bCs w:val="1"/>
                <w:color w:val="auto"/>
              </w:rPr>
              <w:t>Secton</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center"/>
              <w:spacing w:after="0" w:line="216" w:lineRule="exact"/>
              <w:rPr>
                <w:sz w:val="20"/>
                <w:szCs w:val="20"/>
                <w:color w:val="auto"/>
              </w:rPr>
            </w:pPr>
            <w:r>
              <w:rPr>
                <w:rFonts w:ascii="Calibri" w:cs="Calibri" w:eastAsia="Calibri" w:hAnsi="Calibri"/>
                <w:sz w:val="20"/>
                <w:szCs w:val="20"/>
                <w:b w:val="1"/>
                <w:bCs w:val="1"/>
                <w:color w:val="auto"/>
                <w:w w:val="98"/>
              </w:rPr>
              <w:t>Value of</w:t>
            </w:r>
          </w:p>
        </w:tc>
        <w:tc>
          <w:tcPr>
            <w:tcW w:w="62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g</w:t>
            </w:r>
          </w:p>
        </w:tc>
        <w:tc>
          <w:tcPr>
            <w:tcW w:w="760" w:type="dxa"/>
            <w:vAlign w:val="bottom"/>
          </w:tcPr>
          <w:p>
            <w:pPr>
              <w:ind w:left="300"/>
              <w:spacing w:after="0" w:line="216" w:lineRule="exact"/>
              <w:rPr>
                <w:sz w:val="20"/>
                <w:szCs w:val="20"/>
                <w:color w:val="auto"/>
              </w:rPr>
            </w:pPr>
            <w:r>
              <w:rPr>
                <w:rFonts w:ascii="Calibri" w:cs="Calibri" w:eastAsia="Calibri" w:hAnsi="Calibri"/>
                <w:sz w:val="20"/>
                <w:szCs w:val="20"/>
                <w:b w:val="1"/>
                <w:bCs w:val="1"/>
                <w:color w:val="auto"/>
              </w:rPr>
              <w:t>of</w:t>
            </w:r>
          </w:p>
        </w:tc>
        <w:tc>
          <w:tcPr>
            <w:tcW w:w="1520" w:type="dxa"/>
            <w:vAlign w:val="bottom"/>
            <w:gridSpan w:val="2"/>
          </w:tcPr>
          <w:p>
            <w:pPr>
              <w:jc w:val="center"/>
              <w:spacing w:after="0" w:line="216" w:lineRule="exact"/>
              <w:rPr>
                <w:sz w:val="20"/>
                <w:szCs w:val="20"/>
                <w:color w:val="auto"/>
              </w:rPr>
            </w:pPr>
            <w:r>
              <w:rPr>
                <w:rFonts w:ascii="Calibri" w:cs="Calibri" w:eastAsia="Calibri" w:hAnsi="Calibri"/>
                <w:sz w:val="20"/>
                <w:szCs w:val="20"/>
                <w:b w:val="1"/>
                <w:bCs w:val="1"/>
                <w:color w:val="auto"/>
              </w:rPr>
              <w:t>l to have Pending</w:t>
            </w:r>
          </w:p>
        </w:tc>
        <w:tc>
          <w:tcPr>
            <w:tcW w:w="62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w w:val="99"/>
              </w:rPr>
              <w:t>s</w:t>
            </w:r>
          </w:p>
        </w:tc>
        <w:tc>
          <w:tcPr>
            <w:tcW w:w="68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Actons</w:t>
            </w:r>
          </w:p>
        </w:tc>
      </w:tr>
      <w:tr>
        <w:trPr>
          <w:trHeight w:val="203"/>
        </w:trPr>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Secton</w:t>
            </w:r>
          </w:p>
        </w:tc>
        <w:tc>
          <w:tcPr>
            <w:tcW w:w="700" w:type="dxa"/>
            <w:vAlign w:val="bottom"/>
          </w:tcPr>
          <w:p>
            <w:pPr>
              <w:spacing w:after="0"/>
              <w:rPr>
                <w:sz w:val="17"/>
                <w:szCs w:val="17"/>
                <w:color w:val="auto"/>
              </w:rPr>
            </w:pPr>
          </w:p>
        </w:tc>
        <w:tc>
          <w:tcPr>
            <w:tcW w:w="1380" w:type="dxa"/>
            <w:vAlign w:val="bottom"/>
            <w:gridSpan w:val="2"/>
          </w:tcPr>
          <w:p>
            <w:pPr>
              <w:ind w:left="80"/>
              <w:spacing w:after="0" w:line="203" w:lineRule="exact"/>
              <w:rPr>
                <w:sz w:val="20"/>
                <w:szCs w:val="20"/>
                <w:color w:val="auto"/>
              </w:rPr>
            </w:pPr>
            <w:r>
              <w:rPr>
                <w:rFonts w:ascii="Calibri" w:cs="Calibri" w:eastAsia="Calibri" w:hAnsi="Calibri"/>
                <w:sz w:val="20"/>
                <w:szCs w:val="20"/>
                <w:b w:val="1"/>
                <w:bCs w:val="1"/>
                <w:color w:val="auto"/>
              </w:rPr>
              <w:t>104(d) Secton</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161"/>
              <w:spacing w:after="0" w:line="203" w:lineRule="exact"/>
              <w:rPr>
                <w:sz w:val="20"/>
                <w:szCs w:val="20"/>
                <w:color w:val="auto"/>
              </w:rPr>
            </w:pPr>
            <w:r>
              <w:rPr>
                <w:rFonts w:ascii="Calibri" w:cs="Calibri" w:eastAsia="Calibri" w:hAnsi="Calibri"/>
                <w:sz w:val="20"/>
                <w:szCs w:val="20"/>
                <w:b w:val="1"/>
                <w:bCs w:val="1"/>
                <w:color w:val="auto"/>
              </w:rPr>
              <w:t>MSHA</w:t>
            </w:r>
          </w:p>
        </w:tc>
        <w:tc>
          <w:tcPr>
            <w:tcW w:w="2180" w:type="dxa"/>
            <w:vAlign w:val="bottom"/>
            <w:gridSpan w:val="3"/>
          </w:tcPr>
          <w:p>
            <w:pPr>
              <w:ind w:left="80"/>
              <w:spacing w:after="0" w:line="203" w:lineRule="exact"/>
              <w:rPr>
                <w:sz w:val="20"/>
                <w:szCs w:val="20"/>
                <w:color w:val="auto"/>
              </w:rPr>
            </w:pPr>
            <w:r>
              <w:rPr>
                <w:rFonts w:ascii="Calibri" w:cs="Calibri" w:eastAsia="Calibri" w:hAnsi="Calibri"/>
                <w:sz w:val="20"/>
                <w:szCs w:val="20"/>
                <w:b w:val="1"/>
                <w:bCs w:val="1"/>
                <w:color w:val="auto"/>
              </w:rPr>
              <w:t>Relate Violato Patern</w:t>
            </w:r>
          </w:p>
        </w:tc>
        <w:tc>
          <w:tcPr>
            <w:tcW w:w="7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as of</w:t>
            </w:r>
          </w:p>
        </w:tc>
        <w:tc>
          <w:tcPr>
            <w:tcW w:w="1300" w:type="dxa"/>
            <w:vAlign w:val="bottom"/>
            <w:gridSpan w:val="2"/>
          </w:tcPr>
          <w:p>
            <w:pPr>
              <w:ind w:left="20"/>
              <w:spacing w:after="0" w:line="203" w:lineRule="exact"/>
              <w:rPr>
                <w:sz w:val="20"/>
                <w:szCs w:val="20"/>
                <w:color w:val="auto"/>
              </w:rPr>
            </w:pPr>
            <w:r>
              <w:rPr>
                <w:rFonts w:ascii="Calibri" w:cs="Calibri" w:eastAsia="Calibri" w:hAnsi="Calibri"/>
                <w:sz w:val="20"/>
                <w:szCs w:val="20"/>
                <w:b w:val="1"/>
                <w:bCs w:val="1"/>
                <w:color w:val="auto"/>
              </w:rPr>
              <w:t>Insttut Resolv</w:t>
            </w:r>
          </w:p>
        </w:tc>
      </w:tr>
      <w:tr>
        <w:trPr>
          <w:trHeight w:val="203"/>
        </w:trPr>
        <w:tc>
          <w:tcPr>
            <w:tcW w:w="2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104</w:t>
            </w:r>
          </w:p>
        </w:tc>
        <w:tc>
          <w:tcPr>
            <w:tcW w:w="70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Secton</w:t>
            </w:r>
          </w:p>
        </w:tc>
        <w:tc>
          <w:tcPr>
            <w:tcW w:w="700" w:type="dxa"/>
            <w:vAlign w:val="bottom"/>
          </w:tcPr>
          <w:p>
            <w:pPr>
              <w:ind w:left="100"/>
              <w:spacing w:after="0" w:line="203" w:lineRule="exact"/>
              <w:rPr>
                <w:sz w:val="20"/>
                <w:szCs w:val="20"/>
                <w:color w:val="auto"/>
              </w:rPr>
            </w:pPr>
            <w:r>
              <w:rPr>
                <w:rFonts w:ascii="Calibri" w:cs="Calibri" w:eastAsia="Calibri" w:hAnsi="Calibri"/>
                <w:sz w:val="20"/>
                <w:szCs w:val="20"/>
                <w:b w:val="1"/>
                <w:bCs w:val="1"/>
                <w:color w:val="auto"/>
              </w:rPr>
              <w:t>Citato</w:t>
            </w:r>
          </w:p>
        </w:tc>
        <w:tc>
          <w:tcPr>
            <w:tcW w:w="2300" w:type="dxa"/>
            <w:vAlign w:val="bottom"/>
            <w:gridSpan w:val="4"/>
          </w:tcPr>
          <w:p>
            <w:pPr>
              <w:ind w:left="80"/>
              <w:spacing w:after="0" w:line="203" w:lineRule="exact"/>
              <w:rPr>
                <w:sz w:val="20"/>
                <w:szCs w:val="20"/>
                <w:color w:val="auto"/>
              </w:rPr>
            </w:pPr>
            <w:r>
              <w:rPr>
                <w:rFonts w:ascii="Calibri" w:cs="Calibri" w:eastAsia="Calibri" w:hAnsi="Calibri"/>
                <w:sz w:val="20"/>
                <w:szCs w:val="20"/>
                <w:b w:val="1"/>
                <w:bCs w:val="1"/>
                <w:color w:val="auto"/>
              </w:rPr>
              <w:t>110(b) Secton Assessme</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2"/>
              </w:rPr>
              <w:t>d</w:t>
            </w:r>
          </w:p>
        </w:tc>
        <w:tc>
          <w:tcPr>
            <w:tcW w:w="76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n Under</w:t>
            </w:r>
          </w:p>
        </w:tc>
        <w:tc>
          <w:tcPr>
            <w:tcW w:w="80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7"/>
              </w:rPr>
              <w:t>under</w:t>
            </w:r>
          </w:p>
        </w:tc>
        <w:tc>
          <w:tcPr>
            <w:tcW w:w="7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Last Day</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5"/>
              </w:rPr>
              <w:t>ed</w:t>
            </w:r>
          </w:p>
        </w:tc>
        <w:tc>
          <w:tcPr>
            <w:tcW w:w="68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5"/>
              </w:rPr>
              <w:t>ed</w:t>
            </w:r>
          </w:p>
        </w:tc>
      </w:tr>
      <w:tr>
        <w:trPr>
          <w:trHeight w:val="216"/>
        </w:trPr>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w w:val="96"/>
              </w:rPr>
              <w:t>S&amp;S</w:t>
            </w:r>
          </w:p>
        </w:tc>
        <w:tc>
          <w:tcPr>
            <w:tcW w:w="70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104(b)</w:t>
            </w:r>
          </w:p>
        </w:tc>
        <w:tc>
          <w:tcPr>
            <w:tcW w:w="700" w:type="dxa"/>
            <w:vAlign w:val="bottom"/>
          </w:tcPr>
          <w:p>
            <w:pPr>
              <w:ind w:left="60"/>
              <w:spacing w:after="0" w:line="216" w:lineRule="exact"/>
              <w:rPr>
                <w:sz w:val="20"/>
                <w:szCs w:val="20"/>
                <w:color w:val="auto"/>
              </w:rPr>
            </w:pPr>
            <w:r>
              <w:rPr>
                <w:rFonts w:ascii="Calibri" w:cs="Calibri" w:eastAsia="Calibri" w:hAnsi="Calibri"/>
                <w:sz w:val="20"/>
                <w:szCs w:val="20"/>
                <w:b w:val="1"/>
                <w:bCs w:val="1"/>
                <w:color w:val="auto"/>
              </w:rPr>
              <w:t>ns and</w:t>
            </w:r>
          </w:p>
        </w:tc>
        <w:tc>
          <w:tcPr>
            <w:tcW w:w="68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(2)</w:t>
            </w:r>
          </w:p>
        </w:tc>
        <w:tc>
          <w:tcPr>
            <w:tcW w:w="660" w:type="dxa"/>
            <w:vAlign w:val="bottom"/>
          </w:tcPr>
          <w:p>
            <w:pPr>
              <w:ind w:left="60"/>
              <w:spacing w:after="0" w:line="216" w:lineRule="exact"/>
              <w:rPr>
                <w:sz w:val="20"/>
                <w:szCs w:val="20"/>
                <w:color w:val="auto"/>
              </w:rPr>
            </w:pPr>
            <w:r>
              <w:rPr>
                <w:rFonts w:ascii="Calibri" w:cs="Calibri" w:eastAsia="Calibri" w:hAnsi="Calibri"/>
                <w:sz w:val="20"/>
                <w:szCs w:val="20"/>
                <w:b w:val="1"/>
                <w:bCs w:val="1"/>
                <w:color w:val="auto"/>
              </w:rPr>
              <w:t>107(a)</w:t>
            </w:r>
          </w:p>
        </w:tc>
        <w:tc>
          <w:tcPr>
            <w:tcW w:w="180" w:type="dxa"/>
            <w:vAlign w:val="bottom"/>
          </w:tcPr>
          <w:p>
            <w:pPr>
              <w:spacing w:after="0"/>
              <w:rPr>
                <w:sz w:val="18"/>
                <w:szCs w:val="18"/>
                <w:color w:val="auto"/>
              </w:rPr>
            </w:pPr>
          </w:p>
        </w:tc>
        <w:tc>
          <w:tcPr>
            <w:tcW w:w="780" w:type="dxa"/>
            <w:vAlign w:val="bottom"/>
          </w:tcPr>
          <w:p>
            <w:pPr>
              <w:jc w:val="center"/>
              <w:ind w:right="141"/>
              <w:spacing w:after="0" w:line="216" w:lineRule="exact"/>
              <w:rPr>
                <w:sz w:val="20"/>
                <w:szCs w:val="20"/>
                <w:color w:val="auto"/>
              </w:rPr>
            </w:pPr>
            <w:r>
              <w:rPr>
                <w:rFonts w:ascii="Calibri" w:cs="Calibri" w:eastAsia="Calibri" w:hAnsi="Calibri"/>
                <w:sz w:val="20"/>
                <w:szCs w:val="20"/>
                <w:b w:val="1"/>
                <w:bCs w:val="1"/>
                <w:color w:val="auto"/>
                <w:w w:val="98"/>
              </w:rPr>
              <w:t>nt/</w:t>
            </w:r>
          </w:p>
        </w:tc>
        <w:tc>
          <w:tcPr>
            <w:tcW w:w="62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Fatali</w:t>
            </w:r>
          </w:p>
        </w:tc>
        <w:tc>
          <w:tcPr>
            <w:tcW w:w="76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Secton</w:t>
            </w:r>
          </w:p>
        </w:tc>
        <w:tc>
          <w:tcPr>
            <w:tcW w:w="80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rPr>
              <w:t>Secton</w:t>
            </w:r>
          </w:p>
        </w:tc>
        <w:tc>
          <w:tcPr>
            <w:tcW w:w="720" w:type="dxa"/>
            <w:vAlign w:val="bottom"/>
          </w:tcPr>
          <w:p>
            <w:pPr>
              <w:jc w:val="center"/>
              <w:spacing w:after="0" w:line="216" w:lineRule="exact"/>
              <w:rPr>
                <w:sz w:val="20"/>
                <w:szCs w:val="20"/>
                <w:color w:val="auto"/>
              </w:rPr>
            </w:pPr>
            <w:r>
              <w:rPr>
                <w:rFonts w:ascii="Calibri" w:cs="Calibri" w:eastAsia="Calibri" w:hAnsi="Calibri"/>
                <w:sz w:val="20"/>
                <w:szCs w:val="20"/>
                <w:b w:val="1"/>
                <w:bCs w:val="1"/>
                <w:color w:val="auto"/>
                <w:w w:val="93"/>
              </w:rPr>
              <w:t>of</w:t>
            </w:r>
          </w:p>
        </w:tc>
        <w:tc>
          <w:tcPr>
            <w:tcW w:w="1300" w:type="dxa"/>
            <w:vAlign w:val="bottom"/>
            <w:gridSpan w:val="2"/>
          </w:tcPr>
          <w:p>
            <w:pPr>
              <w:ind w:left="20"/>
              <w:spacing w:after="0" w:line="216" w:lineRule="exact"/>
              <w:rPr>
                <w:sz w:val="20"/>
                <w:szCs w:val="20"/>
                <w:color w:val="auto"/>
              </w:rPr>
            </w:pPr>
            <w:r>
              <w:rPr>
                <w:rFonts w:ascii="Calibri" w:cs="Calibri" w:eastAsia="Calibri" w:hAnsi="Calibri"/>
                <w:sz w:val="20"/>
                <w:szCs w:val="20"/>
                <w:b w:val="1"/>
                <w:bCs w:val="1"/>
                <w:color w:val="auto"/>
              </w:rPr>
              <w:t>During During</w:t>
            </w:r>
          </w:p>
        </w:tc>
      </w:tr>
      <w:tr>
        <w:trPr>
          <w:trHeight w:val="203"/>
        </w:trPr>
        <w:tc>
          <w:tcPr>
            <w:tcW w:w="2020" w:type="dxa"/>
            <w:vAlign w:val="bottom"/>
          </w:tcPr>
          <w:p>
            <w:pPr>
              <w:spacing w:after="0"/>
              <w:rPr>
                <w:sz w:val="17"/>
                <w:szCs w:val="17"/>
                <w:color w:val="auto"/>
              </w:rPr>
            </w:pPr>
          </w:p>
        </w:tc>
        <w:tc>
          <w:tcPr>
            <w:tcW w:w="2020" w:type="dxa"/>
            <w:vAlign w:val="bottom"/>
            <w:gridSpan w:val="3"/>
          </w:tcPr>
          <w:p>
            <w:pPr>
              <w:ind w:left="60"/>
              <w:spacing w:after="0" w:line="203" w:lineRule="exact"/>
              <w:rPr>
                <w:sz w:val="20"/>
                <w:szCs w:val="20"/>
                <w:color w:val="auto"/>
              </w:rPr>
            </w:pPr>
            <w:r>
              <w:rPr>
                <w:rFonts w:ascii="Calibri" w:cs="Calibri" w:eastAsia="Calibri" w:hAnsi="Calibri"/>
                <w:sz w:val="20"/>
                <w:szCs w:val="20"/>
                <w:b w:val="1"/>
                <w:bCs w:val="1"/>
                <w:color w:val="auto"/>
              </w:rPr>
              <w:t>MSHA Citaton Orders</w:t>
            </w:r>
          </w:p>
        </w:tc>
        <w:tc>
          <w:tcPr>
            <w:tcW w:w="700" w:type="dxa"/>
            <w:vAlign w:val="bottom"/>
          </w:tcPr>
          <w:p>
            <w:pPr>
              <w:ind w:left="60"/>
              <w:spacing w:after="0" w:line="203" w:lineRule="exact"/>
              <w:rPr>
                <w:sz w:val="20"/>
                <w:szCs w:val="20"/>
                <w:color w:val="auto"/>
              </w:rPr>
            </w:pPr>
            <w:r>
              <w:rPr>
                <w:rFonts w:ascii="Calibri" w:cs="Calibri" w:eastAsia="Calibri" w:hAnsi="Calibri"/>
                <w:sz w:val="20"/>
                <w:szCs w:val="20"/>
                <w:b w:val="1"/>
                <w:bCs w:val="1"/>
                <w:color w:val="auto"/>
              </w:rPr>
              <w:t>Orders</w:t>
            </w:r>
          </w:p>
        </w:tc>
        <w:tc>
          <w:tcPr>
            <w:tcW w:w="1340" w:type="dxa"/>
            <w:vAlign w:val="bottom"/>
            <w:gridSpan w:val="2"/>
          </w:tcPr>
          <w:p>
            <w:pPr>
              <w:ind w:left="80"/>
              <w:spacing w:after="0" w:line="203" w:lineRule="exact"/>
              <w:rPr>
                <w:sz w:val="20"/>
                <w:szCs w:val="20"/>
                <w:color w:val="auto"/>
              </w:rPr>
            </w:pPr>
            <w:r>
              <w:rPr>
                <w:rFonts w:ascii="Calibri" w:cs="Calibri" w:eastAsia="Calibri" w:hAnsi="Calibri"/>
                <w:sz w:val="20"/>
                <w:szCs w:val="20"/>
                <w:b w:val="1"/>
                <w:bCs w:val="1"/>
                <w:color w:val="auto"/>
              </w:rPr>
              <w:t>Violat Orders</w:t>
            </w:r>
          </w:p>
        </w:tc>
        <w:tc>
          <w:tcPr>
            <w:tcW w:w="180" w:type="dxa"/>
            <w:vAlign w:val="bottom"/>
          </w:tcPr>
          <w:p>
            <w:pPr>
              <w:jc w:val="right"/>
              <w:spacing w:after="0" w:line="203" w:lineRule="exact"/>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ind w:right="1"/>
              <w:spacing w:after="0" w:line="203" w:lineRule="exact"/>
              <w:rPr>
                <w:sz w:val="20"/>
                <w:szCs w:val="20"/>
                <w:color w:val="auto"/>
              </w:rPr>
            </w:pPr>
            <w:r>
              <w:rPr>
                <w:rFonts w:ascii="Calibri" w:cs="Calibri" w:eastAsia="Calibri" w:hAnsi="Calibri"/>
                <w:sz w:val="20"/>
                <w:szCs w:val="20"/>
                <w:b w:val="1"/>
                <w:bCs w:val="1"/>
                <w:color w:val="auto"/>
                <w:w w:val="96"/>
              </w:rPr>
              <w:t>Propose</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tes</w:t>
            </w:r>
          </w:p>
        </w:tc>
        <w:tc>
          <w:tcPr>
            <w:tcW w:w="76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rPr>
              <w:t>104(e)</w:t>
            </w:r>
          </w:p>
        </w:tc>
        <w:tc>
          <w:tcPr>
            <w:tcW w:w="80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8"/>
              </w:rPr>
              <w:t>104(e)</w:t>
            </w:r>
          </w:p>
        </w:tc>
        <w:tc>
          <w:tcPr>
            <w:tcW w:w="7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9"/>
              </w:rPr>
              <w:t>Period</w:t>
            </w:r>
          </w:p>
        </w:tc>
        <w:tc>
          <w:tcPr>
            <w:tcW w:w="62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9"/>
              </w:rPr>
              <w:t>Period</w:t>
            </w:r>
          </w:p>
        </w:tc>
        <w:tc>
          <w:tcPr>
            <w:tcW w:w="680" w:type="dxa"/>
            <w:vAlign w:val="bottom"/>
          </w:tcPr>
          <w:p>
            <w:pPr>
              <w:jc w:val="center"/>
              <w:spacing w:after="0" w:line="203" w:lineRule="exact"/>
              <w:rPr>
                <w:sz w:val="20"/>
                <w:szCs w:val="20"/>
                <w:color w:val="auto"/>
              </w:rPr>
            </w:pPr>
            <w:r>
              <w:rPr>
                <w:rFonts w:ascii="Calibri" w:cs="Calibri" w:eastAsia="Calibri" w:hAnsi="Calibri"/>
                <w:sz w:val="20"/>
                <w:szCs w:val="20"/>
                <w:b w:val="1"/>
                <w:bCs w:val="1"/>
                <w:color w:val="auto"/>
                <w:w w:val="99"/>
              </w:rPr>
              <w:t>Period</w:t>
            </w:r>
          </w:p>
        </w:tc>
      </w:tr>
      <w:tr>
        <w:trPr>
          <w:trHeight w:val="258"/>
        </w:trPr>
        <w:tc>
          <w:tcPr>
            <w:tcW w:w="2020" w:type="dxa"/>
            <w:vAlign w:val="bottom"/>
          </w:tcPr>
          <w:p>
            <w:pPr>
              <w:ind w:left="680"/>
              <w:spacing w:after="0"/>
              <w:rPr>
                <w:sz w:val="20"/>
                <w:szCs w:val="20"/>
                <w:color w:val="auto"/>
              </w:rPr>
            </w:pPr>
            <w:r>
              <w:rPr>
                <w:rFonts w:ascii="Calibri" w:cs="Calibri" w:eastAsia="Calibri" w:hAnsi="Calibri"/>
                <w:sz w:val="20"/>
                <w:szCs w:val="20"/>
                <w:b w:val="1"/>
                <w:bCs w:val="1"/>
                <w:color w:val="auto"/>
              </w:rPr>
              <w:t>Locaton</w:t>
            </w:r>
          </w:p>
        </w:tc>
        <w:tc>
          <w:tcPr>
            <w:tcW w:w="660" w:type="dxa"/>
            <w:vAlign w:val="bottom"/>
          </w:tcPr>
          <w:p>
            <w:pPr>
              <w:jc w:val="right"/>
              <w:ind w:right="122"/>
              <w:spacing w:after="0" w:line="234" w:lineRule="exact"/>
              <w:rPr>
                <w:sz w:val="20"/>
                <w:szCs w:val="20"/>
                <w:color w:val="auto"/>
              </w:rPr>
            </w:pPr>
            <w:r>
              <w:rPr>
                <w:rFonts w:ascii="Calibri" w:cs="Calibri" w:eastAsia="Calibri" w:hAnsi="Calibri"/>
                <w:sz w:val="20"/>
                <w:szCs w:val="20"/>
                <w:b w:val="1"/>
                <w:bCs w:val="1"/>
                <w:color w:val="auto"/>
              </w:rPr>
              <w:t>ID</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s (#)</w:t>
            </w:r>
          </w:p>
        </w:tc>
        <w:tc>
          <w:tcPr>
            <w:tcW w:w="70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w:t>
            </w:r>
          </w:p>
        </w:tc>
        <w:tc>
          <w:tcPr>
            <w:tcW w:w="700" w:type="dxa"/>
            <w:vAlign w:val="bottom"/>
          </w:tcPr>
          <w:p>
            <w:pPr>
              <w:jc w:val="center"/>
              <w:spacing w:after="0"/>
              <w:rPr>
                <w:sz w:val="20"/>
                <w:szCs w:val="20"/>
                <w:color w:val="auto"/>
              </w:rPr>
            </w:pPr>
            <w:r>
              <w:rPr>
                <w:rFonts w:ascii="Calibri" w:cs="Calibri" w:eastAsia="Calibri" w:hAnsi="Calibri"/>
                <w:sz w:val="20"/>
                <w:szCs w:val="20"/>
                <w:b w:val="1"/>
                <w:bCs w:val="1"/>
                <w:color w:val="auto"/>
                <w:w w:val="97"/>
              </w:rPr>
              <w:t>(#)</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9"/>
              </w:rPr>
              <w:t>ons (#)</w:t>
            </w:r>
          </w:p>
        </w:tc>
        <w:tc>
          <w:tcPr>
            <w:tcW w:w="66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7"/>
              </w:rPr>
              <w:t>(#)</w:t>
            </w:r>
          </w:p>
        </w:tc>
        <w:tc>
          <w:tcPr>
            <w:tcW w:w="180" w:type="dxa"/>
            <w:vAlign w:val="bottom"/>
          </w:tcPr>
          <w:p>
            <w:pPr>
              <w:spacing w:after="0"/>
              <w:rPr>
                <w:sz w:val="22"/>
                <w:szCs w:val="22"/>
                <w:color w:val="auto"/>
              </w:rPr>
            </w:pPr>
          </w:p>
        </w:tc>
        <w:tc>
          <w:tcPr>
            <w:tcW w:w="780" w:type="dxa"/>
            <w:vAlign w:val="bottom"/>
          </w:tcPr>
          <w:p>
            <w:pPr>
              <w:jc w:val="center"/>
              <w:ind w:right="101"/>
              <w:spacing w:after="0" w:line="234" w:lineRule="exact"/>
              <w:rPr>
                <w:sz w:val="20"/>
                <w:szCs w:val="20"/>
                <w:color w:val="auto"/>
              </w:rPr>
            </w:pPr>
            <w:r>
              <w:rPr>
                <w:rFonts w:ascii="Calibri" w:cs="Calibri" w:eastAsia="Calibri" w:hAnsi="Calibri"/>
                <w:sz w:val="20"/>
                <w:szCs w:val="20"/>
                <w:b w:val="1"/>
                <w:bCs w:val="1"/>
                <w:color w:val="auto"/>
                <w:w w:val="92"/>
              </w:rPr>
              <w:t>d</w:t>
            </w:r>
          </w:p>
        </w:tc>
        <w:tc>
          <w:tcPr>
            <w:tcW w:w="6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7"/>
              </w:rPr>
              <w:t>(#)</w:t>
            </w:r>
          </w:p>
        </w:tc>
        <w:tc>
          <w:tcPr>
            <w:tcW w:w="1560" w:type="dxa"/>
            <w:vAlign w:val="bottom"/>
            <w:gridSpan w:val="2"/>
          </w:tcPr>
          <w:p>
            <w:pPr>
              <w:jc w:val="center"/>
              <w:spacing w:after="0" w:line="234" w:lineRule="exact"/>
              <w:rPr>
                <w:sz w:val="20"/>
                <w:szCs w:val="20"/>
                <w:color w:val="auto"/>
              </w:rPr>
            </w:pPr>
            <w:r>
              <w:rPr>
                <w:rFonts w:ascii="Calibri" w:cs="Calibri" w:eastAsia="Calibri" w:hAnsi="Calibri"/>
                <w:sz w:val="20"/>
                <w:szCs w:val="20"/>
                <w:b w:val="1"/>
                <w:bCs w:val="1"/>
                <w:color w:val="auto"/>
              </w:rPr>
              <w:t>(yes/no) (yes/no)</w:t>
            </w:r>
          </w:p>
        </w:tc>
        <w:tc>
          <w:tcPr>
            <w:tcW w:w="7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8"/>
              </w:rPr>
              <w:t>(#)*</w:t>
            </w:r>
          </w:p>
        </w:tc>
        <w:tc>
          <w:tcPr>
            <w:tcW w:w="6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w:t>
            </w:r>
          </w:p>
        </w:tc>
        <w:tc>
          <w:tcPr>
            <w:tcW w:w="68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7"/>
              </w:rPr>
              <w:t>(#)</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31016</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Alexander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36</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American Stone</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89</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44029</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Anderson Creek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63</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09010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Appling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83</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31000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Arrowood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59</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1</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454</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Asheboro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66</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01000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Auburn Al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06</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09004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Auburn GA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36</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133</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09000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Augusta GA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65</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Bakers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71</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1</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1</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09009</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Ball Ground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55</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Belgrade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64</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31019</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Benson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79</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38000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Berkeley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72</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31011</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Bessemer City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05</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31019</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Bonds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63</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18000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Boonesboro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24</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Burlington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42</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31018</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Caldwell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69</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40033</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Calhoun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95</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38007</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Calhoun Sand</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Castle Hayne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63</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38000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Cayce</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16</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31000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Central Rock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50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31000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Charlote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57</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40031</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8"/>
        </w:trPr>
        <w:tc>
          <w:tcPr>
            <w:tcW w:w="2020" w:type="dxa"/>
            <w:vAlign w:val="bottom"/>
          </w:tcPr>
          <w:p>
            <w:pPr>
              <w:ind w:left="20"/>
              <w:spacing w:after="0"/>
              <w:rPr>
                <w:sz w:val="20"/>
                <w:szCs w:val="20"/>
                <w:color w:val="auto"/>
              </w:rPr>
            </w:pPr>
            <w:r>
              <w:rPr>
                <w:rFonts w:ascii="Calibri" w:cs="Calibri" w:eastAsia="Calibri" w:hAnsi="Calibri"/>
                <w:sz w:val="20"/>
                <w:szCs w:val="20"/>
                <w:color w:val="auto"/>
              </w:rPr>
              <w:t>Chatanooga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59</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188"/>
        </w:trPr>
        <w:tc>
          <w:tcPr>
            <w:tcW w:w="20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8" w:lineRule="exact"/>
              <w:rPr>
                <w:sz w:val="20"/>
                <w:szCs w:val="20"/>
                <w:color w:val="auto"/>
              </w:rPr>
            </w:pPr>
            <w:r>
              <w:rPr>
                <w:rFonts w:ascii="Calibri" w:cs="Calibri" w:eastAsia="Calibri" w:hAnsi="Calibri"/>
                <w:sz w:val="20"/>
                <w:szCs w:val="20"/>
                <w:color w:val="auto"/>
              </w:rPr>
              <w:t>18000</w:t>
            </w:r>
          </w:p>
        </w:tc>
        <w:tc>
          <w:tcPr>
            <w:tcW w:w="6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67"/>
        </w:trPr>
        <w:tc>
          <w:tcPr>
            <w:tcW w:w="202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Churchville Quarry</w:t>
            </w:r>
          </w:p>
        </w:tc>
        <w:tc>
          <w:tcPr>
            <w:tcW w:w="660" w:type="dxa"/>
            <w:vAlign w:val="bottom"/>
            <w:shd w:val="clear" w:color="auto" w:fill="CFF0FC"/>
          </w:tcPr>
          <w:p>
            <w:pPr>
              <w:jc w:val="right"/>
              <w:spacing w:after="0" w:line="234" w:lineRule="exact"/>
              <w:rPr>
                <w:sz w:val="20"/>
                <w:szCs w:val="20"/>
                <w:color w:val="auto"/>
              </w:rPr>
            </w:pPr>
            <w:r>
              <w:rPr>
                <w:rFonts w:ascii="Calibri" w:cs="Calibri" w:eastAsia="Calibri" w:hAnsi="Calibri"/>
                <w:sz w:val="20"/>
                <w:szCs w:val="20"/>
                <w:color w:val="auto"/>
              </w:rPr>
              <w:t>12</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r>
      <w:tr>
        <w:trPr>
          <w:trHeight w:val="178"/>
        </w:trPr>
        <w:tc>
          <w:tcPr>
            <w:tcW w:w="2020" w:type="dxa"/>
            <w:vAlign w:val="bottom"/>
          </w:tcPr>
          <w:p>
            <w:pPr>
              <w:spacing w:after="0"/>
              <w:rPr>
                <w:sz w:val="15"/>
                <w:szCs w:val="15"/>
                <w:color w:val="auto"/>
              </w:rPr>
            </w:pPr>
          </w:p>
        </w:tc>
        <w:tc>
          <w:tcPr>
            <w:tcW w:w="660" w:type="dxa"/>
            <w:vAlign w:val="bottom"/>
          </w:tcPr>
          <w:p>
            <w:pPr>
              <w:jc w:val="right"/>
              <w:spacing w:after="0" w:line="178" w:lineRule="exact"/>
              <w:rPr>
                <w:sz w:val="20"/>
                <w:szCs w:val="20"/>
                <w:color w:val="auto"/>
              </w:rPr>
            </w:pPr>
            <w:r>
              <w:rPr>
                <w:rFonts w:ascii="Calibri" w:cs="Calibri" w:eastAsia="Calibri" w:hAnsi="Calibri"/>
                <w:sz w:val="19"/>
                <w:szCs w:val="19"/>
                <w:color w:val="auto"/>
              </w:rPr>
              <w:t>31020</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8"/>
        </w:trPr>
        <w:tc>
          <w:tcPr>
            <w:tcW w:w="2020" w:type="dxa"/>
            <w:vAlign w:val="bottom"/>
          </w:tcPr>
          <w:p>
            <w:pPr>
              <w:ind w:left="20"/>
              <w:spacing w:after="0"/>
              <w:rPr>
                <w:sz w:val="20"/>
                <w:szCs w:val="20"/>
                <w:color w:val="auto"/>
              </w:rPr>
            </w:pPr>
            <w:r>
              <w:rPr>
                <w:rFonts w:ascii="Calibri" w:cs="Calibri" w:eastAsia="Calibri" w:hAnsi="Calibri"/>
                <w:sz w:val="20"/>
                <w:szCs w:val="20"/>
                <w:color w:val="auto"/>
              </w:rPr>
              <w:t>Clarks Quarry</w:t>
            </w:r>
          </w:p>
        </w:tc>
        <w:tc>
          <w:tcPr>
            <w:tcW w:w="660" w:type="dxa"/>
            <w:vAlign w:val="bottom"/>
          </w:tcPr>
          <w:p>
            <w:pPr>
              <w:jc w:val="right"/>
              <w:spacing w:after="0" w:line="234" w:lineRule="exact"/>
              <w:rPr>
                <w:sz w:val="20"/>
                <w:szCs w:val="20"/>
                <w:color w:val="auto"/>
              </w:rPr>
            </w:pPr>
            <w:r>
              <w:rPr>
                <w:rFonts w:ascii="Calibri" w:cs="Calibri" w:eastAsia="Calibri" w:hAnsi="Calibri"/>
                <w:sz w:val="20"/>
                <w:szCs w:val="20"/>
                <w:color w:val="auto"/>
              </w:rPr>
              <w:t>09</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0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1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76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800" w:type="dxa"/>
            <w:vAlign w:val="bottom"/>
          </w:tcPr>
          <w:p>
            <w:pPr>
              <w:jc w:val="center"/>
              <w:spacing w:after="0"/>
              <w:rPr>
                <w:sz w:val="20"/>
                <w:szCs w:val="20"/>
                <w:color w:val="auto"/>
              </w:rPr>
            </w:pPr>
            <w:r>
              <w:rPr>
                <w:rFonts w:ascii="Calibri" w:cs="Calibri" w:eastAsia="Calibri" w:hAnsi="Calibri"/>
                <w:sz w:val="20"/>
                <w:szCs w:val="20"/>
                <w:color w:val="auto"/>
                <w:w w:val="94"/>
              </w:rPr>
              <w:t>no</w:t>
            </w:r>
          </w:p>
        </w:tc>
        <w:tc>
          <w:tcPr>
            <w:tcW w:w="7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2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680" w:type="dxa"/>
            <w:vAlign w:val="bottom"/>
          </w:tcPr>
          <w:p>
            <w:pPr>
              <w:jc w:val="center"/>
              <w:spacing w:after="0"/>
              <w:rPr>
                <w:sz w:val="20"/>
                <w:szCs w:val="20"/>
                <w:color w:val="auto"/>
              </w:rPr>
            </w:pPr>
            <w:r>
              <w:rPr>
                <w:rFonts w:ascii="Calibri" w:cs="Calibri" w:eastAsia="Calibri" w:hAnsi="Calibri"/>
                <w:sz w:val="20"/>
                <w:szCs w:val="20"/>
                <w:color w:val="auto"/>
                <w:w w:val="98"/>
              </w:rPr>
              <w:t>0</w:t>
            </w:r>
          </w:p>
        </w:tc>
      </w:tr>
      <w:tr>
        <w:trPr>
          <w:trHeight w:val="755"/>
        </w:trPr>
        <w:tc>
          <w:tcPr>
            <w:tcW w:w="2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 w:right="339" w:bottom="568" w:gutter="0" w:footer="0" w:header="0"/>
        </w:sectPr>
      </w:pPr>
    </w:p>
    <w:bookmarkStart w:id="63" w:name="page64"/>
    <w:bookmarkEnd w:id="6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33"/>
        </w:trPr>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8"/>
        </w:trPr>
        <w:tc>
          <w:tcPr>
            <w:tcW w:w="20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2"/>
              <w:spacing w:after="0" w:line="178" w:lineRule="exact"/>
              <w:rPr>
                <w:sz w:val="20"/>
                <w:szCs w:val="20"/>
                <w:color w:val="auto"/>
              </w:rPr>
            </w:pPr>
            <w:r>
              <w:rPr>
                <w:rFonts w:ascii="Calibri" w:cs="Calibri" w:eastAsia="Calibri" w:hAnsi="Calibri"/>
                <w:sz w:val="19"/>
                <w:szCs w:val="19"/>
                <w:color w:val="auto"/>
              </w:rPr>
              <w:t>31022</w:t>
            </w:r>
          </w:p>
        </w:tc>
        <w:tc>
          <w:tcPr>
            <w:tcW w:w="5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Cumberland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37</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09004</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Cumming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Denver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44000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Doswell Quarry VA</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09000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Douglasville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31020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East Alamance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38007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Edgefeld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38006</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Edmund Sand</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Fountain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31021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Franklin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18000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Frederick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31020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Fuquay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Garner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38005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Georgetown II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31023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Greensboro Portable Plt</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ind w:left="20"/>
              <w:spacing w:after="0" w:line="178" w:lineRule="exact"/>
              <w:rPr>
                <w:sz w:val="20"/>
                <w:szCs w:val="20"/>
                <w:color w:val="auto"/>
              </w:rPr>
            </w:pPr>
            <w:r>
              <w:rPr>
                <w:rFonts w:ascii="Calibri" w:cs="Calibri" w:eastAsia="Calibri" w:hAnsi="Calibri"/>
                <w:sz w:val="19"/>
                <w:szCs w:val="19"/>
                <w:color w:val="auto"/>
              </w:rPr>
              <w:t>Greensboro Portable Plt</w:t>
            </w: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31023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II</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Hickory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43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09009</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Homer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Jamestown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09011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Jeferson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09010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Juncton City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Kannapolis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18007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Kent Sand &amp; Gravel</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45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Kings Mountain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31011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Lemon Springs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Lithonia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23</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38007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Loamy Sand Gravel</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31021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Maiden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31020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Mallard Creek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31020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Mathews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84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01006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Maylene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18000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Medford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44037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Midlothian Quarry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67</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ind w:left="20"/>
              <w:spacing w:after="0" w:line="178" w:lineRule="exact"/>
              <w:rPr>
                <w:sz w:val="20"/>
                <w:szCs w:val="20"/>
                <w:color w:val="auto"/>
              </w:rPr>
            </w:pPr>
            <w:r>
              <w:rPr>
                <w:rFonts w:ascii="Calibri" w:cs="Calibri" w:eastAsia="Calibri" w:hAnsi="Calibri"/>
                <w:sz w:val="19"/>
                <w:szCs w:val="19"/>
                <w:color w:val="auto"/>
              </w:rPr>
              <w:t>Misc Greensboro</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line="234" w:lineRule="exact"/>
              <w:rPr>
                <w:sz w:val="20"/>
                <w:szCs w:val="20"/>
                <w:color w:val="auto"/>
              </w:rPr>
            </w:pPr>
            <w:r>
              <w:rPr>
                <w:rFonts w:ascii="Calibri" w:cs="Calibri" w:eastAsia="Calibri" w:hAnsi="Calibri"/>
                <w:sz w:val="20"/>
                <w:szCs w:val="20"/>
                <w:color w:val="auto"/>
              </w:rPr>
              <w:t>District</w:t>
            </w:r>
          </w:p>
        </w:tc>
        <w:tc>
          <w:tcPr>
            <w:tcW w:w="740" w:type="dxa"/>
            <w:vAlign w:val="bottom"/>
          </w:tcPr>
          <w:p>
            <w:pPr>
              <w:jc w:val="right"/>
              <w:ind w:right="62"/>
              <w:spacing w:after="0"/>
              <w:rPr>
                <w:sz w:val="20"/>
                <w:szCs w:val="20"/>
                <w:color w:val="auto"/>
              </w:rPr>
            </w:pPr>
            <w:r>
              <w:rPr>
                <w:rFonts w:ascii="Calibri" w:cs="Calibri" w:eastAsia="Calibri" w:hAnsi="Calibri"/>
                <w:sz w:val="20"/>
                <w:szCs w:val="20"/>
                <w:color w:val="auto"/>
              </w:rPr>
              <w:t>B8611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09011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Morgan County</w:t>
            </w:r>
          </w:p>
        </w:tc>
        <w:tc>
          <w:tcPr>
            <w:tcW w:w="74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651</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4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Newton Quarry</w:t>
            </w:r>
          </w:p>
        </w:tc>
        <w:tc>
          <w:tcPr>
            <w:tcW w:w="74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435</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44"/>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North Columbia</w:t>
            </w:r>
          </w:p>
        </w:tc>
        <w:tc>
          <w:tcPr>
            <w:tcW w:w="740" w:type="dxa"/>
            <w:vAlign w:val="bottom"/>
            <w:shd w:val="clear" w:color="auto" w:fill="CFF0FC"/>
          </w:tcPr>
          <w:p>
            <w:pPr>
              <w:jc w:val="right"/>
              <w:ind w:right="62"/>
              <w:spacing w:after="0"/>
              <w:rPr>
                <w:sz w:val="20"/>
                <w:szCs w:val="20"/>
                <w:color w:val="auto"/>
              </w:rPr>
            </w:pPr>
            <w:r>
              <w:rPr>
                <w:rFonts w:ascii="Calibri" w:cs="Calibri" w:eastAsia="Calibri" w:hAnsi="Calibri"/>
                <w:sz w:val="20"/>
                <w:szCs w:val="20"/>
                <w:color w:val="auto"/>
              </w:rPr>
              <w:t>38001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399</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2</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58"/>
        </w:trPr>
        <w:tc>
          <w:tcPr>
            <w:tcW w:w="208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r>
    </w:tbl>
    <w:p>
      <w:pPr>
        <w:sectPr>
          <w:pgSz w:w="11900" w:h="16900" w:orient="portrait"/>
          <w:cols w:equalWidth="0" w:num="1">
            <w:col w:w="11240"/>
          </w:cols>
          <w:pgMar w:left="320" w:top="92" w:right="339" w:bottom="0" w:gutter="0" w:footer="0" w:header="0"/>
        </w:sectPr>
      </w:pPr>
    </w:p>
    <w:bookmarkStart w:id="64" w:name="page65"/>
    <w:bookmarkEnd w:id="64"/>
    <w:p>
      <w:pPr>
        <w:ind w:left="1340"/>
        <w:spacing w:after="0"/>
        <w:rPr>
          <w:sz w:val="20"/>
          <w:szCs w:val="20"/>
          <w:color w:val="auto"/>
        </w:rPr>
      </w:pPr>
      <w:r>
        <w:rPr>
          <w:rFonts w:ascii="Calibri" w:cs="Calibri" w:eastAsia="Calibri" w:hAnsi="Calibri"/>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-104775</wp:posOffset>
            </wp:positionV>
            <wp:extent cx="7132320" cy="1289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4"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211"/>
        </w:trPr>
        <w:tc>
          <w:tcPr>
            <w:tcW w:w="2060" w:type="dxa"/>
            <w:vAlign w:val="bottom"/>
          </w:tcPr>
          <w:p>
            <w:pPr>
              <w:spacing w:after="0"/>
              <w:rPr>
                <w:sz w:val="18"/>
                <w:szCs w:val="18"/>
                <w:color w:val="auto"/>
              </w:rPr>
            </w:pPr>
          </w:p>
        </w:tc>
        <w:tc>
          <w:tcPr>
            <w:tcW w:w="760" w:type="dxa"/>
            <w:vAlign w:val="bottom"/>
          </w:tcPr>
          <w:p>
            <w:pPr>
              <w:jc w:val="right"/>
              <w:ind w:right="62"/>
              <w:spacing w:after="0" w:line="211" w:lineRule="exact"/>
              <w:rPr>
                <w:sz w:val="20"/>
                <w:szCs w:val="20"/>
                <w:color w:val="auto"/>
              </w:rPr>
            </w:pPr>
            <w:r>
              <w:rPr>
                <w:rFonts w:ascii="Calibri" w:cs="Calibri" w:eastAsia="Calibri" w:hAnsi="Calibri"/>
                <w:sz w:val="20"/>
                <w:szCs w:val="20"/>
                <w:color w:val="auto"/>
              </w:rPr>
              <w:t>18004</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North East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38007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Old Charleston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01030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O'Neal Plant  Co 19</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31021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Onslow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20</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09011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Paulding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08010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Perry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18000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Pinesburg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Pomona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31019</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Raleigh Durham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44000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Red Hill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Red Oak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Reidsville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38000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Rock Hill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Rocky Point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Ruby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31020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Salem Stone</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09011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Six Mile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St. Marys Sand</w:t>
            </w: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09011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Company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Statesville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18000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Texas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31014</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Thomasville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09003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Tyrone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01030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Vance Quarry  Co 19</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1</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36001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Warfordsburg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09005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Warrenton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80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Woodleaf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ind w:left="20"/>
              <w:spacing w:after="0" w:line="178" w:lineRule="exact"/>
              <w:rPr>
                <w:sz w:val="20"/>
                <w:szCs w:val="20"/>
                <w:color w:val="auto"/>
              </w:rPr>
            </w:pPr>
            <w:r>
              <w:rPr>
                <w:rFonts w:ascii="Calibri" w:cs="Calibri" w:eastAsia="Calibri" w:hAnsi="Calibri"/>
                <w:sz w:val="19"/>
                <w:szCs w:val="19"/>
                <w:color w:val="auto"/>
              </w:rPr>
              <w:t>(45) North Indianapolis</w:t>
            </w: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12000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SURFACE</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13020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Alden Portable Plant #2</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13020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Alden Portable Sand</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13021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Alden Portable Wash</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13002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Alden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Ames Mine</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33016</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Apple Grove S G</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12019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Belmont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ind w:left="20"/>
              <w:spacing w:after="0" w:line="178" w:lineRule="exact"/>
              <w:rPr>
                <w:sz w:val="20"/>
                <w:szCs w:val="20"/>
                <w:color w:val="auto"/>
              </w:rPr>
            </w:pPr>
            <w:r>
              <w:rPr>
                <w:rFonts w:ascii="Calibri" w:cs="Calibri" w:eastAsia="Calibri" w:hAnsi="Calibri"/>
                <w:sz w:val="19"/>
                <w:szCs w:val="19"/>
                <w:color w:val="auto"/>
              </w:rPr>
              <w:t>Bowling Green North</w:t>
            </w: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15000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Bowling Green South</w:t>
            </w: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15000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460" w:type="dxa"/>
            <w:vAlign w:val="bottom"/>
            <w:shd w:val="clear" w:color="auto" w:fill="CFF0FC"/>
          </w:tcPr>
          <w:p>
            <w:pPr>
              <w:jc w:val="right"/>
              <w:ind w:right="101"/>
              <w:spacing w:after="0"/>
              <w:rPr>
                <w:sz w:val="20"/>
                <w:szCs w:val="20"/>
                <w:color w:val="auto"/>
              </w:rPr>
            </w:pPr>
            <w:r>
              <w:rPr>
                <w:rFonts w:ascii="Calibri" w:cs="Calibri" w:eastAsia="Calibri" w:hAnsi="Calibri"/>
                <w:sz w:val="20"/>
                <w:szCs w:val="20"/>
                <w:color w:val="auto"/>
              </w:rPr>
              <w:t>$</w:t>
            </w:r>
          </w:p>
        </w:tc>
        <w:tc>
          <w:tcPr>
            <w:tcW w:w="70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bl>
    <w:p>
      <w:pPr>
        <w:sectPr>
          <w:pgSz w:w="11900" w:h="16838" w:orient="portrait"/>
          <w:cols w:equalWidth="0" w:num="1">
            <w:col w:w="11240"/>
          </w:cols>
          <w:pgMar w:left="320" w:top="92" w:right="339" w:bottom="0"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211"/>
        </w:trPr>
        <w:tc>
          <w:tcPr>
            <w:tcW w:w="2060" w:type="dxa"/>
            <w:vAlign w:val="bottom"/>
          </w:tcPr>
          <w:p>
            <w:pPr>
              <w:spacing w:after="0"/>
              <w:rPr>
                <w:sz w:val="18"/>
                <w:szCs w:val="18"/>
                <w:color w:val="auto"/>
              </w:rPr>
            </w:pPr>
          </w:p>
        </w:tc>
        <w:tc>
          <w:tcPr>
            <w:tcW w:w="740" w:type="dxa"/>
            <w:vAlign w:val="bottom"/>
          </w:tcPr>
          <w:p>
            <w:pPr>
              <w:jc w:val="right"/>
              <w:ind w:right="42"/>
              <w:spacing w:after="0" w:line="211" w:lineRule="exact"/>
              <w:rPr>
                <w:sz w:val="20"/>
                <w:szCs w:val="20"/>
                <w:color w:val="auto"/>
              </w:rPr>
            </w:pPr>
            <w:r>
              <w:rPr>
                <w:rFonts w:ascii="Calibri" w:cs="Calibri" w:eastAsia="Calibri" w:hAnsi="Calibri"/>
                <w:sz w:val="20"/>
                <w:szCs w:val="20"/>
                <w:color w:val="auto"/>
              </w:rPr>
              <w:t>46088</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Burning Springs Mine</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12021</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Carmel Sand</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13001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Cedar Rapids Quarry</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22</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33040</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Cedarville Quarry</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72</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12017</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Cloverdale Quarry</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44</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Cumberland Quarry</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37</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13001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Des Moines Portable</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50</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13009</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Des Moines Portable #2</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25010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Dubois Quarry</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46</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13012</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Durham Mine</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25</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399</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33042</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E Town Sand Gravel</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79</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13021</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Earlham Quarry</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23</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21012</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Elk River Wash Plant</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33013</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Fairfeld Quarry</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96</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13001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Ferguson Quarry</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24</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25013</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Fort Calhoun Quarry</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00</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2</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3,630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1</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13000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Fort Dodge Mine</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32</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539</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Greenwood Quarry</w:t>
            </w: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23001</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New</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41</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15000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Harlan Quarry</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71</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15000</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Hartord Quarry</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95</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13021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Inactve Iowa Grading</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26</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13023</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Iowa Grading</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16</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ind w:left="20"/>
              <w:spacing w:after="0" w:line="178" w:lineRule="exact"/>
              <w:rPr>
                <w:sz w:val="20"/>
                <w:szCs w:val="20"/>
                <w:color w:val="auto"/>
              </w:rPr>
            </w:pPr>
            <w:r>
              <w:rPr>
                <w:rFonts w:ascii="Calibri" w:cs="Calibri" w:eastAsia="Calibri" w:hAnsi="Calibri"/>
                <w:sz w:val="19"/>
                <w:szCs w:val="19"/>
                <w:color w:val="auto"/>
              </w:rPr>
              <w:t>Johnson County Sand &amp;</w:t>
            </w: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12025</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Gravel</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06</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12017</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Kentucky Ave Mine</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62</w:t>
            </w:r>
          </w:p>
        </w:tc>
        <w:tc>
          <w:tcPr>
            <w:tcW w:w="600" w:type="dxa"/>
            <w:vAlign w:val="bottom"/>
            <w:shd w:val="clear" w:color="auto" w:fill="CFF0FC"/>
          </w:tcPr>
          <w:p>
            <w:pPr>
              <w:jc w:val="center"/>
              <w:ind w:right="61"/>
              <w:spacing w:after="0"/>
              <w:rPr>
                <w:sz w:val="20"/>
                <w:szCs w:val="20"/>
                <w:color w:val="auto"/>
              </w:rPr>
            </w:pPr>
            <w:r>
              <w:rPr>
                <w:rFonts w:ascii="Calibri" w:cs="Calibri" w:eastAsia="Calibri" w:hAnsi="Calibri"/>
                <w:sz w:val="20"/>
                <w:szCs w:val="20"/>
                <w:color w:val="auto"/>
                <w:w w:val="98"/>
              </w:rPr>
              <w:t>11</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7,785</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2</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2</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12021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Kokomo Mine</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05</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12022</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Kokomo Sand</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03</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1</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1</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12001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Kokomo Stone</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42</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1</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13022</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Linn County Sand</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08</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13001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Malcom Mine</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13007</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Marshalltown Sand</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18</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229"/>
        </w:trPr>
        <w:tc>
          <w:tcPr>
            <w:tcW w:w="2060" w:type="dxa"/>
            <w:vAlign w:val="bottom"/>
          </w:tcPr>
          <w:p>
            <w:pPr>
              <w:ind w:left="20"/>
              <w:spacing w:after="0" w:line="229" w:lineRule="exact"/>
              <w:rPr>
                <w:sz w:val="20"/>
                <w:szCs w:val="20"/>
                <w:color w:val="auto"/>
              </w:rPr>
            </w:pPr>
            <w:r>
              <w:rPr>
                <w:rFonts w:ascii="Calibri" w:cs="Calibri" w:eastAsia="Calibri" w:hAnsi="Calibri"/>
                <w:sz w:val="20"/>
                <w:szCs w:val="20"/>
                <w:color w:val="auto"/>
              </w:rPr>
              <w:t>Midwest Division OH</w:t>
            </w:r>
          </w:p>
        </w:tc>
        <w:tc>
          <w:tcPr>
            <w:tcW w:w="740" w:type="dxa"/>
            <w:vAlign w:val="bottom"/>
          </w:tcPr>
          <w:p>
            <w:pPr>
              <w:jc w:val="right"/>
              <w:ind w:right="42"/>
              <w:spacing w:after="0" w:line="229" w:lineRule="exact"/>
              <w:rPr>
                <w:sz w:val="20"/>
                <w:szCs w:val="20"/>
                <w:color w:val="auto"/>
              </w:rPr>
            </w:pPr>
            <w:r>
              <w:rPr>
                <w:rFonts w:ascii="Calibri" w:cs="Calibri" w:eastAsia="Calibri" w:hAnsi="Calibri"/>
                <w:sz w:val="20"/>
                <w:szCs w:val="20"/>
                <w:color w:val="auto"/>
              </w:rPr>
              <w:t>A2354</w:t>
            </w:r>
          </w:p>
        </w:tc>
        <w:tc>
          <w:tcPr>
            <w:tcW w:w="600" w:type="dxa"/>
            <w:vAlign w:val="bottom"/>
          </w:tcPr>
          <w:p>
            <w:pPr>
              <w:jc w:val="center"/>
              <w:ind w:right="41"/>
              <w:spacing w:after="0" w:line="229"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line="229"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29"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29"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29" w:lineRule="exact"/>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line="229"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line="229"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line="229" w:lineRule="exact"/>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line="229"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29"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29"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29" w:lineRule="exact"/>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line="229" w:lineRule="exact"/>
              <w:rPr>
                <w:sz w:val="20"/>
                <w:szCs w:val="20"/>
                <w:color w:val="auto"/>
              </w:rPr>
            </w:pPr>
            <w:r>
              <w:rPr>
                <w:rFonts w:ascii="Calibri" w:cs="Calibri" w:eastAsia="Calibri" w:hAnsi="Calibri"/>
                <w:sz w:val="20"/>
                <w:szCs w:val="20"/>
                <w:color w:val="auto"/>
              </w:rPr>
              <w:t>0</w:t>
            </w:r>
          </w:p>
        </w:tc>
      </w:tr>
      <w:tr>
        <w:trPr>
          <w:trHeight w:val="178"/>
        </w:trPr>
        <w:tc>
          <w:tcPr>
            <w:tcW w:w="20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2"/>
              <w:spacing w:after="0" w:line="178" w:lineRule="exact"/>
              <w:rPr>
                <w:sz w:val="20"/>
                <w:szCs w:val="20"/>
                <w:color w:val="auto"/>
              </w:rPr>
            </w:pPr>
            <w:r>
              <w:rPr>
                <w:rFonts w:ascii="Calibri" w:cs="Calibri" w:eastAsia="Calibri" w:hAnsi="Calibri"/>
                <w:sz w:val="19"/>
                <w:szCs w:val="19"/>
                <w:color w:val="auto"/>
              </w:rPr>
              <w:t>21011</w:t>
            </w:r>
          </w:p>
        </w:tc>
        <w:tc>
          <w:tcPr>
            <w:tcW w:w="6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MN Portable # 1</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12</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21015</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MN Portable # 2</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93</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21031</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MN Portable # 3</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47</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21032</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MN Portable # 4</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87</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21011</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MN Portable # 5</w:t>
            </w:r>
          </w:p>
        </w:tc>
        <w:tc>
          <w:tcPr>
            <w:tcW w:w="74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10</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4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21031</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8"/>
        </w:trPr>
        <w:tc>
          <w:tcPr>
            <w:tcW w:w="2060" w:type="dxa"/>
            <w:vAlign w:val="bottom"/>
          </w:tcPr>
          <w:p>
            <w:pPr>
              <w:ind w:left="20"/>
              <w:spacing w:after="0"/>
              <w:rPr>
                <w:sz w:val="20"/>
                <w:szCs w:val="20"/>
                <w:color w:val="auto"/>
              </w:rPr>
            </w:pPr>
            <w:r>
              <w:rPr>
                <w:rFonts w:ascii="Calibri" w:cs="Calibri" w:eastAsia="Calibri" w:hAnsi="Calibri"/>
                <w:sz w:val="20"/>
                <w:szCs w:val="20"/>
                <w:color w:val="auto"/>
              </w:rPr>
              <w:t>MN Portable # 6</w:t>
            </w:r>
          </w:p>
        </w:tc>
        <w:tc>
          <w:tcPr>
            <w:tcW w:w="74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20</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bl>
    <w:p>
      <w:pPr>
        <w:sectPr>
          <w:pgSz w:w="11900" w:h="16838" w:orient="portrait"/>
          <w:cols w:equalWidth="0" w:num="1">
            <w:col w:w="11240"/>
          </w:cols>
          <w:pgMar w:left="320" w:top="92" w:right="339" w:bottom="0"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539115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33"/>
        </w:trPr>
        <w:tc>
          <w:tcPr>
            <w:tcW w:w="2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8"/>
        </w:trPr>
        <w:tc>
          <w:tcPr>
            <w:tcW w:w="20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2"/>
              <w:spacing w:after="0" w:line="178" w:lineRule="exact"/>
              <w:rPr>
                <w:sz w:val="20"/>
                <w:szCs w:val="20"/>
                <w:color w:val="auto"/>
              </w:rPr>
            </w:pPr>
            <w:r>
              <w:rPr>
                <w:rFonts w:ascii="Calibri" w:cs="Calibri" w:eastAsia="Calibri" w:hAnsi="Calibri"/>
                <w:sz w:val="19"/>
                <w:szCs w:val="19"/>
                <w:color w:val="auto"/>
              </w:rPr>
              <w:t>21033</w:t>
            </w:r>
          </w:p>
        </w:tc>
        <w:tc>
          <w:tcPr>
            <w:tcW w:w="5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MN Portable # 7</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21018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MN Portable # 8</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43</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21036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MN Reclamaton</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90</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13021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Moore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88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13017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New Harvey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13025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New Marshall Sand</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12019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Noblesville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12021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Noblesville Stone</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1</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North Indianapolis</w:t>
            </w: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12019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3</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3,001</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1</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1</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25012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North Valley Sand</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14015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Otawa Quarry New</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90</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13021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Pedersen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15168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Petersburg Ky Gravel</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33000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Phillipsburg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13021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Portland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12022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Putnam Quarry Divest</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13023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Raccoon River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23023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Randolph Mine</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4</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13008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Reasnor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13022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Saylorville Sand</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33040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Shamrock SG</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ind w:left="20"/>
              <w:spacing w:after="0" w:line="178" w:lineRule="exact"/>
              <w:rPr>
                <w:sz w:val="20"/>
                <w:szCs w:val="20"/>
                <w:color w:val="auto"/>
              </w:rPr>
            </w:pPr>
            <w:r>
              <w:rPr>
                <w:rFonts w:ascii="Calibri" w:cs="Calibri" w:eastAsia="Calibri" w:hAnsi="Calibri"/>
                <w:sz w:val="19"/>
                <w:szCs w:val="19"/>
                <w:color w:val="auto"/>
              </w:rPr>
              <w:t>Spring Valley Cook Rd</w:t>
            </w: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33045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SG</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21000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St Cloud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23022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Stamper Mine</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5</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13000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Sully Mine</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14015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Sunfower Qy  Co 61</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33016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Troy Gravel</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25013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Walterloo Sand</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12020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Waverly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25009</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Weeping Water Mine</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25012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West Center Sand</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33013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Xenia 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93</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21000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Yellow Medicine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02025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Clarkdale Sand &amp; 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532</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04001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Clayton</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02031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Coolidge Plant 65</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73</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44"/>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Eagle Valley Plant</w:t>
            </w:r>
          </w:p>
        </w:tc>
        <w:tc>
          <w:tcPr>
            <w:tcW w:w="760" w:type="dxa"/>
            <w:vAlign w:val="bottom"/>
            <w:shd w:val="clear" w:color="auto" w:fill="CFF0FC"/>
          </w:tcPr>
          <w:p>
            <w:pPr>
              <w:jc w:val="right"/>
              <w:ind w:right="62"/>
              <w:spacing w:after="0"/>
              <w:rPr>
                <w:sz w:val="20"/>
                <w:szCs w:val="20"/>
                <w:color w:val="auto"/>
              </w:rPr>
            </w:pPr>
            <w:r>
              <w:rPr>
                <w:rFonts w:ascii="Calibri" w:cs="Calibri" w:eastAsia="Calibri" w:hAnsi="Calibri"/>
                <w:sz w:val="20"/>
                <w:szCs w:val="20"/>
                <w:color w:val="auto"/>
              </w:rPr>
              <w:t>04047</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58"/>
        </w:trPr>
        <w:tc>
          <w:tcPr>
            <w:tcW w:w="206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920" w:type="dxa"/>
            <w:vAlign w:val="bottom"/>
            <w:shd w:val="clear" w:color="auto" w:fill="CFF0FC"/>
          </w:tcPr>
          <w:p>
            <w:pPr>
              <w:spacing w:after="0"/>
              <w:rPr>
                <w:sz w:val="5"/>
                <w:szCs w:val="5"/>
                <w:color w:val="auto"/>
              </w:rPr>
            </w:pPr>
          </w:p>
        </w:tc>
      </w:tr>
    </w:tbl>
    <w:p>
      <w:pPr>
        <w:sectPr>
          <w:pgSz w:w="11900" w:h="16900" w:orient="portrait"/>
          <w:cols w:equalWidth="0" w:num="1">
            <w:col w:w="11240"/>
          </w:cols>
          <w:pgMar w:left="320" w:top="92" w:right="339" w:bottom="0" w:gutter="0" w:footer="0" w:header="0"/>
        </w:sectPr>
      </w:pPr>
    </w:p>
    <w:bookmarkStart w:id="70" w:name="page71"/>
    <w:bookmarkEnd w:id="70"/>
    <w:p>
      <w:pPr>
        <w:ind w:left="1340"/>
        <w:spacing w:after="0"/>
        <w:rPr>
          <w:sz w:val="20"/>
          <w:szCs w:val="20"/>
          <w:color w:val="auto"/>
        </w:rPr>
      </w:pPr>
      <w:r>
        <w:rPr>
          <w:rFonts w:ascii="Calibri" w:cs="Calibri" w:eastAsia="Calibri" w:hAnsi="Calibri"/>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-104775</wp:posOffset>
            </wp:positionV>
            <wp:extent cx="7132320" cy="1289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4" w:right="1440" w:bottom="1440" w:gutter="0" w:footer="0" w:header="0"/>
        </w:sectPr>
      </w:pPr>
    </w:p>
    <w:bookmarkStart w:id="71" w:name="page72"/>
    <w:bookmarkEnd w:id="71"/>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211"/>
        </w:trPr>
        <w:tc>
          <w:tcPr>
            <w:tcW w:w="2060" w:type="dxa"/>
            <w:vAlign w:val="bottom"/>
          </w:tcPr>
          <w:p>
            <w:pPr>
              <w:spacing w:after="0"/>
              <w:rPr>
                <w:sz w:val="18"/>
                <w:szCs w:val="18"/>
                <w:color w:val="auto"/>
              </w:rPr>
            </w:pPr>
          </w:p>
        </w:tc>
        <w:tc>
          <w:tcPr>
            <w:tcW w:w="760" w:type="dxa"/>
            <w:vAlign w:val="bottom"/>
          </w:tcPr>
          <w:p>
            <w:pPr>
              <w:jc w:val="right"/>
              <w:ind w:right="62"/>
              <w:spacing w:after="0" w:line="211" w:lineRule="exact"/>
              <w:rPr>
                <w:sz w:val="20"/>
                <w:szCs w:val="20"/>
                <w:color w:val="auto"/>
              </w:rPr>
            </w:pPr>
            <w:r>
              <w:rPr>
                <w:rFonts w:ascii="Calibri" w:cs="Calibri" w:eastAsia="Calibri" w:hAnsi="Calibri"/>
                <w:sz w:val="20"/>
                <w:szCs w:val="20"/>
                <w:color w:val="auto"/>
              </w:rPr>
              <w:t>48000</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Granite Canyon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05043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Greeley 35th Ready Mix</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ind w:left="20"/>
              <w:spacing w:after="0" w:line="178" w:lineRule="exact"/>
              <w:rPr>
                <w:sz w:val="20"/>
                <w:szCs w:val="20"/>
                <w:color w:val="auto"/>
              </w:rPr>
            </w:pPr>
            <w:r>
              <w:rPr>
                <w:rFonts w:ascii="Calibri" w:cs="Calibri" w:eastAsia="Calibri" w:hAnsi="Calibri"/>
                <w:sz w:val="19"/>
                <w:szCs w:val="19"/>
                <w:color w:val="auto"/>
              </w:rPr>
              <w:t>Greeley 35th Sand</w:t>
            </w: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05046</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13</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48000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Guernsey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02026</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Hassayampa</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04017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Hughson AGG &amp; HMA</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04018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Irwindale Plant</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04026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Lakeside Vigilante Plant</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04028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Merced AGG &amp; HMA</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42021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Milford Quarry  Utah</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77</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04029</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Miramar Recycle Plant</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45008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Pacifc Quarry</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44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05046</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Parkdale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05032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Parsons Sand Gravel</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ind w:left="20"/>
              <w:spacing w:after="0" w:line="178" w:lineRule="exact"/>
              <w:rPr>
                <w:sz w:val="20"/>
                <w:szCs w:val="20"/>
                <w:color w:val="auto"/>
              </w:rPr>
            </w:pPr>
            <w:r>
              <w:rPr>
                <w:rFonts w:ascii="Calibri" w:cs="Calibri" w:eastAsia="Calibri" w:hAnsi="Calibri"/>
                <w:sz w:val="19"/>
                <w:szCs w:val="19"/>
                <w:color w:val="auto"/>
              </w:rPr>
              <w:t>Penrose Sand and</w:t>
            </w: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Pier 92 Marine</w:t>
            </w: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04052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05044</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Plate Sand &amp; 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05039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Portable Crushing</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Portable Plant 1</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05045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Portable Plant 21</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20</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Red Canyon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Redding Cement</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Rich Sand &amp; 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86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02026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River Ranch AGG</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46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Riverbend Sand 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41</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614</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04005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San Andreas AGG</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04057</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Sanger AGG</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Santa Margarita</w:t>
            </w: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04016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Aggregates</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04055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Santee Plant</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04019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Sisquoc Aggregates</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05008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Spec Agg Quarry</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04018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Sunol Plant</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59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05045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Taf Sand Gravel</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05047</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Taf Wash Plant</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60" w:type="dxa"/>
            <w:vAlign w:val="bottom"/>
          </w:tcPr>
          <w:p>
            <w:pPr>
              <w:spacing w:after="0"/>
              <w:rPr>
                <w:sz w:val="15"/>
                <w:szCs w:val="15"/>
                <w:color w:val="auto"/>
              </w:rPr>
            </w:pPr>
          </w:p>
        </w:tc>
        <w:tc>
          <w:tcPr>
            <w:tcW w:w="76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04001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60" w:type="dxa"/>
            <w:vAlign w:val="bottom"/>
          </w:tcPr>
          <w:p>
            <w:pPr>
              <w:ind w:left="20"/>
              <w:spacing w:after="0"/>
              <w:rPr>
                <w:sz w:val="20"/>
                <w:szCs w:val="20"/>
                <w:color w:val="auto"/>
              </w:rPr>
            </w:pPr>
            <w:r>
              <w:rPr>
                <w:rFonts w:ascii="Calibri" w:cs="Calibri" w:eastAsia="Calibri" w:hAnsi="Calibri"/>
                <w:sz w:val="20"/>
                <w:szCs w:val="20"/>
                <w:color w:val="auto"/>
              </w:rPr>
              <w:t>Tehachapi Cement</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2,245</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60" w:type="dxa"/>
            <w:vAlign w:val="bottom"/>
            <w:shd w:val="clear" w:color="auto" w:fill="CFF0FC"/>
          </w:tcPr>
          <w:p>
            <w:pPr>
              <w:ind w:left="20"/>
              <w:spacing w:after="0" w:line="188" w:lineRule="exact"/>
              <w:rPr>
                <w:sz w:val="20"/>
                <w:szCs w:val="20"/>
                <w:color w:val="auto"/>
              </w:rPr>
            </w:pPr>
            <w:r>
              <w:rPr>
                <w:rFonts w:ascii="Calibri" w:cs="Calibri" w:eastAsia="Calibri" w:hAnsi="Calibri"/>
                <w:sz w:val="20"/>
                <w:szCs w:val="20"/>
                <w:color w:val="auto"/>
              </w:rPr>
              <w:t>Tidewater Oakland</w:t>
            </w:r>
          </w:p>
        </w:tc>
        <w:tc>
          <w:tcPr>
            <w:tcW w:w="76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04030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6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Marine Agg</w:t>
            </w:r>
          </w:p>
        </w:tc>
        <w:tc>
          <w:tcPr>
            <w:tcW w:w="76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02</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234"/>
        </w:trPr>
        <w:tc>
          <w:tcPr>
            <w:tcW w:w="2060" w:type="dxa"/>
            <w:vAlign w:val="bottom"/>
          </w:tcPr>
          <w:p>
            <w:pPr>
              <w:ind w:left="20"/>
              <w:spacing w:after="0" w:line="234" w:lineRule="exact"/>
              <w:rPr>
                <w:sz w:val="20"/>
                <w:szCs w:val="20"/>
                <w:color w:val="auto"/>
              </w:rPr>
            </w:pPr>
            <w:r>
              <w:rPr>
                <w:rFonts w:ascii="Calibri" w:cs="Calibri" w:eastAsia="Calibri" w:hAnsi="Calibri"/>
                <w:sz w:val="20"/>
                <w:szCs w:val="20"/>
                <w:color w:val="auto"/>
              </w:rPr>
              <w:t>Yavapai AGG</w:t>
            </w:r>
          </w:p>
        </w:tc>
        <w:tc>
          <w:tcPr>
            <w:tcW w:w="76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02012</w:t>
            </w:r>
          </w:p>
        </w:tc>
        <w:tc>
          <w:tcPr>
            <w:tcW w:w="56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line="234" w:lineRule="exact"/>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line="234"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line="234" w:lineRule="exact"/>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line="234" w:lineRule="exact"/>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line="234" w:lineRule="exact"/>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0</w:t>
            </w:r>
          </w:p>
        </w:tc>
      </w:tr>
    </w:tbl>
    <w:p>
      <w:pPr>
        <w:sectPr>
          <w:pgSz w:w="11900" w:h="16842" w:orient="portrait"/>
          <w:cols w:equalWidth="0" w:num="1">
            <w:col w:w="11240"/>
          </w:cols>
          <w:pgMar w:left="320" w:top="92" w:right="339" w:bottom="0" w:gutter="0" w:footer="0" w:header="0"/>
        </w:sectPr>
      </w:pPr>
    </w:p>
    <w:bookmarkStart w:id="72" w:name="page73"/>
    <w:bookmarkEnd w:id="72"/>
    <w:p>
      <w:pPr>
        <w:ind w:left="1340"/>
        <w:spacing w:after="0"/>
        <w:rPr>
          <w:sz w:val="20"/>
          <w:szCs w:val="20"/>
          <w:color w:val="auto"/>
        </w:rPr>
      </w:pPr>
      <w:r>
        <w:rPr>
          <w:rFonts w:ascii="Calibri" w:cs="Calibri" w:eastAsia="Calibri" w:hAnsi="Calibri"/>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4"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44"/>
        </w:trPr>
        <w:tc>
          <w:tcPr>
            <w:tcW w:w="2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33"/>
        </w:trPr>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8"/>
        </w:trPr>
        <w:tc>
          <w:tcPr>
            <w:tcW w:w="20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2"/>
              <w:spacing w:after="0" w:line="178" w:lineRule="exact"/>
              <w:rPr>
                <w:sz w:val="20"/>
                <w:szCs w:val="20"/>
                <w:color w:val="auto"/>
              </w:rPr>
            </w:pPr>
            <w:r>
              <w:rPr>
                <w:rFonts w:ascii="Calibri" w:cs="Calibri" w:eastAsia="Calibri" w:hAnsi="Calibri"/>
                <w:sz w:val="19"/>
                <w:szCs w:val="19"/>
                <w:color w:val="auto"/>
              </w:rPr>
              <w:t>41053</w:t>
            </w:r>
          </w:p>
        </w:tc>
        <w:tc>
          <w:tcPr>
            <w:tcW w:w="5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51 Sand &amp; Gravel</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41013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Beckmann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35</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41032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Bedrock Sand Gravel</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83</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41040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Bells Savoy SG</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19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841</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03000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Black Rock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spacing w:after="0"/>
              <w:rPr>
                <w:sz w:val="23"/>
                <w:szCs w:val="23"/>
                <w:color w:val="auto"/>
              </w:rPr>
            </w:pP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449</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41041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Black Spur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Bridgeport Stone</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07</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1</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34004</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Broken Bow SG</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60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41033</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Chico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60</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2</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1,381</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34012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Davis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99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1</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41039</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Garfeld SG</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3</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41028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Garwood Gravel</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86</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39"/>
        </w:trPr>
        <w:tc>
          <w:tcPr>
            <w:tcW w:w="204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GMS</w:t>
            </w:r>
          </w:p>
        </w:tc>
        <w:tc>
          <w:tcPr>
            <w:tcW w:w="780" w:type="dxa"/>
            <w:vAlign w:val="bottom"/>
            <w:shd w:val="clear" w:color="auto" w:fill="CFF0FC"/>
          </w:tcPr>
          <w:p>
            <w:pPr>
              <w:jc w:val="right"/>
              <w:ind w:right="62"/>
              <w:spacing w:after="0" w:line="240" w:lineRule="exact"/>
              <w:rPr>
                <w:sz w:val="20"/>
                <w:szCs w:val="20"/>
                <w:color w:val="auto"/>
              </w:rPr>
            </w:pPr>
            <w:r>
              <w:rPr>
                <w:rFonts w:ascii="Calibri" w:cs="Calibri" w:eastAsia="Calibri" w:hAnsi="Calibri"/>
                <w:sz w:val="20"/>
                <w:szCs w:val="20"/>
                <w:color w:val="auto"/>
              </w:rPr>
              <w:t>C335</w:t>
            </w:r>
          </w:p>
        </w:tc>
        <w:tc>
          <w:tcPr>
            <w:tcW w:w="560" w:type="dxa"/>
            <w:vAlign w:val="bottom"/>
            <w:shd w:val="clear" w:color="auto" w:fill="CFF0FC"/>
          </w:tcPr>
          <w:p>
            <w:pPr>
              <w:jc w:val="right"/>
              <w:ind w:right="201"/>
              <w:spacing w:after="0" w:line="240"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line="240"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40"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40" w:lineRule="exact"/>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line="240" w:lineRule="exact"/>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line="240" w:lineRule="exact"/>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line="240" w:lineRule="exact"/>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line="240" w:lineRule="exact"/>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line="240" w:lineRule="exact"/>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line="240" w:lineRule="exact"/>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line="240" w:lineRule="exact"/>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line="240" w:lineRule="exact"/>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41042</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Gulf Coast Port #2</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03016</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Haton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41031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Helotes</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41038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Highway 211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29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41047</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Hondo</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34000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Hugo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41028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Hunter Cement</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20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948</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41052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Hunter Stone</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30</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34005</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Idabel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07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03015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Jones Mill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86</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41050</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Koontz McCombs Pit</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48</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41052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Liberty Ranch Sand</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68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133</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1</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41051</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Medina Rock Rail</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70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41000</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Midlothian Cement</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71</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34018</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Mill Creek Limestone</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59</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spacing w:after="0"/>
              <w:rPr>
                <w:sz w:val="22"/>
                <w:szCs w:val="22"/>
                <w:color w:val="auto"/>
              </w:rPr>
            </w:pP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266</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34012</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Mill Creek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85</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41043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North Austn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80</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16014</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Perryville Aggregates</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17</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41013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Poteet Sand</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42</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41035</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Rio Medina</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94</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41013</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San Pedro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37</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1</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273</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34018</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Sawyer East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09</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40" w:type="dxa"/>
            <w:vAlign w:val="bottom"/>
          </w:tcPr>
          <w:p>
            <w:pPr>
              <w:spacing w:after="0"/>
              <w:rPr>
                <w:sz w:val="15"/>
                <w:szCs w:val="15"/>
                <w:color w:val="auto"/>
              </w:rPr>
            </w:pPr>
          </w:p>
        </w:tc>
        <w:tc>
          <w:tcPr>
            <w:tcW w:w="780" w:type="dxa"/>
            <w:vAlign w:val="bottom"/>
          </w:tcPr>
          <w:p>
            <w:pPr>
              <w:jc w:val="right"/>
              <w:ind w:right="62"/>
              <w:spacing w:after="0" w:line="178" w:lineRule="exact"/>
              <w:rPr>
                <w:sz w:val="20"/>
                <w:szCs w:val="20"/>
                <w:color w:val="auto"/>
              </w:rPr>
            </w:pPr>
            <w:r>
              <w:rPr>
                <w:rFonts w:ascii="Calibri" w:cs="Calibri" w:eastAsia="Calibri" w:hAnsi="Calibri"/>
                <w:sz w:val="19"/>
                <w:szCs w:val="19"/>
                <w:color w:val="auto"/>
              </w:rPr>
              <w:t>34016</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40" w:type="dxa"/>
            <w:vAlign w:val="bottom"/>
          </w:tcPr>
          <w:p>
            <w:pPr>
              <w:ind w:left="20"/>
              <w:spacing w:after="0"/>
              <w:rPr>
                <w:sz w:val="20"/>
                <w:szCs w:val="20"/>
                <w:color w:val="auto"/>
              </w:rPr>
            </w:pPr>
            <w:r>
              <w:rPr>
                <w:rFonts w:ascii="Calibri" w:cs="Calibri" w:eastAsia="Calibri" w:hAnsi="Calibri"/>
                <w:sz w:val="20"/>
                <w:szCs w:val="20"/>
                <w:color w:val="auto"/>
              </w:rPr>
              <w:t>Sawyer Quarry</w:t>
            </w:r>
          </w:p>
        </w:tc>
        <w:tc>
          <w:tcPr>
            <w:tcW w:w="780" w:type="dxa"/>
            <w:vAlign w:val="bottom"/>
          </w:tcPr>
          <w:p>
            <w:pPr>
              <w:jc w:val="right"/>
              <w:ind w:right="62"/>
              <w:spacing w:after="0" w:line="234" w:lineRule="exact"/>
              <w:rPr>
                <w:sz w:val="20"/>
                <w:szCs w:val="20"/>
                <w:color w:val="auto"/>
              </w:rPr>
            </w:pPr>
            <w:r>
              <w:rPr>
                <w:rFonts w:ascii="Calibri" w:cs="Calibri" w:eastAsia="Calibri" w:hAnsi="Calibri"/>
                <w:sz w:val="20"/>
                <w:szCs w:val="20"/>
                <w:color w:val="auto"/>
              </w:rPr>
              <w:t>34</w:t>
            </w:r>
          </w:p>
        </w:tc>
        <w:tc>
          <w:tcPr>
            <w:tcW w:w="5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62"/>
              <w:spacing w:after="0" w:line="188" w:lineRule="exact"/>
              <w:rPr>
                <w:sz w:val="20"/>
                <w:szCs w:val="20"/>
                <w:color w:val="auto"/>
              </w:rPr>
            </w:pPr>
            <w:r>
              <w:rPr>
                <w:rFonts w:ascii="Calibri" w:cs="Calibri" w:eastAsia="Calibri" w:hAnsi="Calibri"/>
                <w:sz w:val="20"/>
                <w:szCs w:val="20"/>
                <w:color w:val="auto"/>
              </w:rPr>
              <w:t>41041</w:t>
            </w:r>
          </w:p>
        </w:tc>
        <w:tc>
          <w:tcPr>
            <w:tcW w:w="5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4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Smithson Valley Quarry</w:t>
            </w:r>
          </w:p>
        </w:tc>
        <w:tc>
          <w:tcPr>
            <w:tcW w:w="780" w:type="dxa"/>
            <w:vAlign w:val="bottom"/>
            <w:shd w:val="clear" w:color="auto" w:fill="CFF0FC"/>
          </w:tcPr>
          <w:p>
            <w:pPr>
              <w:jc w:val="right"/>
              <w:ind w:right="62"/>
              <w:spacing w:after="0" w:line="234" w:lineRule="exact"/>
              <w:rPr>
                <w:sz w:val="20"/>
                <w:szCs w:val="20"/>
                <w:color w:val="auto"/>
              </w:rPr>
            </w:pPr>
            <w:r>
              <w:rPr>
                <w:rFonts w:ascii="Calibri" w:cs="Calibri" w:eastAsia="Calibri" w:hAnsi="Calibri"/>
                <w:sz w:val="20"/>
                <w:szCs w:val="20"/>
                <w:color w:val="auto"/>
              </w:rPr>
              <w:t>08</w:t>
            </w:r>
          </w:p>
        </w:tc>
        <w:tc>
          <w:tcPr>
            <w:tcW w:w="5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80" w:type="dxa"/>
            <w:vAlign w:val="bottom"/>
            <w:shd w:val="clear" w:color="auto" w:fill="CFF0FC"/>
          </w:tcPr>
          <w:p>
            <w:pPr>
              <w:jc w:val="right"/>
              <w:ind w:right="21"/>
              <w:spacing w:after="0"/>
              <w:rPr>
                <w:sz w:val="20"/>
                <w:szCs w:val="20"/>
                <w:color w:val="auto"/>
              </w:rPr>
            </w:pPr>
            <w:r>
              <w:rPr>
                <w:rFonts w:ascii="Calibri" w:cs="Calibri" w:eastAsia="Calibri" w:hAnsi="Calibri"/>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8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0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40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bl>
    <w:p>
      <w:pPr>
        <w:sectPr>
          <w:pgSz w:w="11900" w:h="16838" w:orient="portrait"/>
          <w:cols w:equalWidth="0" w:num="1">
            <w:col w:w="11240"/>
          </w:cols>
          <w:pgMar w:left="320" w:top="92" w:right="339" w:bottom="0"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539115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44"/>
        </w:trPr>
        <w:tc>
          <w:tcPr>
            <w:tcW w:w="2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color w:val="auto"/>
                <w:w w:val="98"/>
              </w:rPr>
              <w:t>Appendix 1</w:t>
            </w:r>
          </w:p>
        </w:tc>
      </w:tr>
      <w:tr>
        <w:trPr>
          <w:trHeight w:val="211"/>
        </w:trPr>
        <w:tc>
          <w:tcPr>
            <w:tcW w:w="2080" w:type="dxa"/>
            <w:vAlign w:val="bottom"/>
          </w:tcPr>
          <w:p>
            <w:pPr>
              <w:spacing w:after="0"/>
              <w:rPr>
                <w:sz w:val="18"/>
                <w:szCs w:val="18"/>
                <w:color w:val="auto"/>
              </w:rPr>
            </w:pPr>
          </w:p>
        </w:tc>
        <w:tc>
          <w:tcPr>
            <w:tcW w:w="720" w:type="dxa"/>
            <w:vAlign w:val="bottom"/>
          </w:tcPr>
          <w:p>
            <w:pPr>
              <w:jc w:val="right"/>
              <w:ind w:right="42"/>
              <w:spacing w:after="0" w:line="211" w:lineRule="exact"/>
              <w:rPr>
                <w:sz w:val="20"/>
                <w:szCs w:val="20"/>
                <w:color w:val="auto"/>
              </w:rPr>
            </w:pPr>
            <w:r>
              <w:rPr>
                <w:rFonts w:ascii="Calibri" w:cs="Calibri" w:eastAsia="Calibri" w:hAnsi="Calibri"/>
                <w:sz w:val="20"/>
                <w:szCs w:val="20"/>
                <w:color w:val="auto"/>
              </w:rPr>
              <w:t>34016</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Snyder Quarry</w:t>
            </w:r>
          </w:p>
        </w:tc>
        <w:tc>
          <w:tcPr>
            <w:tcW w:w="72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51</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6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41028</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Tin Top SG</w:t>
            </w:r>
          </w:p>
        </w:tc>
        <w:tc>
          <w:tcPr>
            <w:tcW w:w="72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52</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1</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1</w:t>
            </w:r>
          </w:p>
        </w:tc>
        <w:tc>
          <w:tcPr>
            <w:tcW w:w="34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82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2,557</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6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3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2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34020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Washita Quarry</w:t>
            </w:r>
          </w:p>
        </w:tc>
        <w:tc>
          <w:tcPr>
            <w:tcW w:w="72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49</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6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188"/>
        </w:trPr>
        <w:tc>
          <w:tcPr>
            <w:tcW w:w="20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2"/>
              <w:spacing w:after="0" w:line="188" w:lineRule="exact"/>
              <w:rPr>
                <w:sz w:val="20"/>
                <w:szCs w:val="20"/>
                <w:color w:val="auto"/>
              </w:rPr>
            </w:pPr>
            <w:r>
              <w:rPr>
                <w:rFonts w:ascii="Calibri" w:cs="Calibri" w:eastAsia="Calibri" w:hAnsi="Calibri"/>
                <w:sz w:val="20"/>
                <w:szCs w:val="20"/>
                <w:color w:val="auto"/>
              </w:rPr>
              <w:t>41043</w:t>
            </w:r>
          </w:p>
        </w:tc>
        <w:tc>
          <w:tcPr>
            <w:tcW w:w="6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Webberville</w:t>
            </w:r>
          </w:p>
        </w:tc>
        <w:tc>
          <w:tcPr>
            <w:tcW w:w="72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63</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1</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4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82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6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3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178"/>
        </w:trPr>
        <w:tc>
          <w:tcPr>
            <w:tcW w:w="2080" w:type="dxa"/>
            <w:vAlign w:val="bottom"/>
          </w:tcPr>
          <w:p>
            <w:pPr>
              <w:spacing w:after="0"/>
              <w:rPr>
                <w:sz w:val="15"/>
                <w:szCs w:val="15"/>
                <w:color w:val="auto"/>
              </w:rPr>
            </w:pPr>
          </w:p>
        </w:tc>
        <w:tc>
          <w:tcPr>
            <w:tcW w:w="720" w:type="dxa"/>
            <w:vAlign w:val="bottom"/>
          </w:tcPr>
          <w:p>
            <w:pPr>
              <w:jc w:val="right"/>
              <w:ind w:right="42"/>
              <w:spacing w:after="0" w:line="178" w:lineRule="exact"/>
              <w:rPr>
                <w:sz w:val="20"/>
                <w:szCs w:val="20"/>
                <w:color w:val="auto"/>
              </w:rPr>
            </w:pPr>
            <w:r>
              <w:rPr>
                <w:rFonts w:ascii="Calibri" w:cs="Calibri" w:eastAsia="Calibri" w:hAnsi="Calibri"/>
                <w:sz w:val="19"/>
                <w:szCs w:val="19"/>
                <w:color w:val="auto"/>
              </w:rPr>
              <w:t>16010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8"/>
        </w:trPr>
        <w:tc>
          <w:tcPr>
            <w:tcW w:w="2080" w:type="dxa"/>
            <w:vAlign w:val="bottom"/>
          </w:tcPr>
          <w:p>
            <w:pPr>
              <w:ind w:left="20"/>
              <w:spacing w:after="0"/>
              <w:rPr>
                <w:sz w:val="20"/>
                <w:szCs w:val="20"/>
                <w:color w:val="auto"/>
              </w:rPr>
            </w:pPr>
            <w:r>
              <w:rPr>
                <w:rFonts w:ascii="Calibri" w:cs="Calibri" w:eastAsia="Calibri" w:hAnsi="Calibri"/>
                <w:sz w:val="20"/>
                <w:szCs w:val="20"/>
                <w:color w:val="auto"/>
              </w:rPr>
              <w:t>Woodworth Aggregates</w:t>
            </w:r>
          </w:p>
        </w:tc>
        <w:tc>
          <w:tcPr>
            <w:tcW w:w="720" w:type="dxa"/>
            <w:vAlign w:val="bottom"/>
          </w:tcPr>
          <w:p>
            <w:pPr>
              <w:jc w:val="right"/>
              <w:ind w:right="42"/>
              <w:spacing w:after="0" w:line="234" w:lineRule="exact"/>
              <w:rPr>
                <w:sz w:val="20"/>
                <w:szCs w:val="20"/>
                <w:color w:val="auto"/>
              </w:rPr>
            </w:pPr>
            <w:r>
              <w:rPr>
                <w:rFonts w:ascii="Calibri" w:cs="Calibri" w:eastAsia="Calibri" w:hAnsi="Calibri"/>
                <w:sz w:val="20"/>
                <w:szCs w:val="20"/>
                <w:color w:val="auto"/>
              </w:rPr>
              <w:t>70</w:t>
            </w:r>
          </w:p>
        </w:tc>
        <w:tc>
          <w:tcPr>
            <w:tcW w:w="600" w:type="dxa"/>
            <w:vAlign w:val="bottom"/>
          </w:tcPr>
          <w:p>
            <w:pPr>
              <w:jc w:val="center"/>
              <w:ind w:right="41"/>
              <w:spacing w:after="0"/>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ind w:right="81"/>
              <w:spacing w:after="0"/>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rPr>
                <w:sz w:val="20"/>
                <w:szCs w:val="20"/>
                <w:color w:val="auto"/>
              </w:rPr>
            </w:pPr>
            <w:r>
              <w:rPr>
                <w:rFonts w:ascii="Calibri" w:cs="Calibri" w:eastAsia="Calibri" w:hAnsi="Calibri"/>
                <w:sz w:val="20"/>
                <w:szCs w:val="20"/>
                <w:color w:val="auto"/>
              </w:rPr>
              <w:t>no</w:t>
            </w:r>
          </w:p>
        </w:tc>
        <w:tc>
          <w:tcPr>
            <w:tcW w:w="760" w:type="dxa"/>
            <w:vAlign w:val="bottom"/>
          </w:tcPr>
          <w:p>
            <w:pPr>
              <w:ind w:left="280"/>
              <w:spacing w:after="0"/>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rPr>
                <w:sz w:val="20"/>
                <w:szCs w:val="20"/>
                <w:color w:val="auto"/>
              </w:rPr>
            </w:pPr>
            <w:r>
              <w:rPr>
                <w:rFonts w:ascii="Calibri" w:cs="Calibri" w:eastAsia="Calibri" w:hAnsi="Calibri"/>
                <w:sz w:val="20"/>
                <w:szCs w:val="20"/>
                <w:color w:val="auto"/>
                <w:w w:val="98"/>
              </w:rPr>
              <w:t>0</w:t>
            </w:r>
          </w:p>
        </w:tc>
        <w:tc>
          <w:tcPr>
            <w:tcW w:w="380" w:type="dxa"/>
            <w:vAlign w:val="bottom"/>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rPr>
                <w:sz w:val="20"/>
                <w:szCs w:val="20"/>
                <w:color w:val="auto"/>
              </w:rPr>
            </w:pPr>
            <w:r>
              <w:rPr>
                <w:rFonts w:ascii="Calibri" w:cs="Calibri" w:eastAsia="Calibri" w:hAnsi="Calibri"/>
                <w:sz w:val="20"/>
                <w:szCs w:val="20"/>
                <w:color w:val="auto"/>
              </w:rPr>
              <w:t>0</w:t>
            </w:r>
          </w:p>
        </w:tc>
      </w:tr>
      <w:tr>
        <w:trPr>
          <w:trHeight w:val="239"/>
        </w:trPr>
        <w:tc>
          <w:tcPr>
            <w:tcW w:w="2080" w:type="dxa"/>
            <w:vAlign w:val="bottom"/>
            <w:shd w:val="clear" w:color="auto" w:fill="CFF0FC"/>
          </w:tcPr>
          <w:p>
            <w:pPr>
              <w:ind w:left="20"/>
              <w:spacing w:after="0" w:line="240" w:lineRule="exact"/>
              <w:rPr>
                <w:sz w:val="20"/>
                <w:szCs w:val="20"/>
                <w:color w:val="auto"/>
              </w:rPr>
            </w:pPr>
            <w:r>
              <w:rPr>
                <w:rFonts w:ascii="Calibri" w:cs="Calibri" w:eastAsia="Calibri" w:hAnsi="Calibri"/>
                <w:sz w:val="20"/>
                <w:szCs w:val="20"/>
                <w:color w:val="auto"/>
              </w:rPr>
              <w:t>Geology and Exploraton</w:t>
            </w:r>
          </w:p>
        </w:tc>
        <w:tc>
          <w:tcPr>
            <w:tcW w:w="720" w:type="dxa"/>
            <w:vAlign w:val="bottom"/>
            <w:shd w:val="clear" w:color="auto" w:fill="CFF0FC"/>
          </w:tcPr>
          <w:p>
            <w:pPr>
              <w:jc w:val="right"/>
              <w:ind w:right="42"/>
              <w:spacing w:after="0" w:line="240" w:lineRule="exact"/>
              <w:rPr>
                <w:sz w:val="20"/>
                <w:szCs w:val="20"/>
                <w:color w:val="auto"/>
              </w:rPr>
            </w:pPr>
            <w:r>
              <w:rPr>
                <w:rFonts w:ascii="Calibri" w:cs="Calibri" w:eastAsia="Calibri" w:hAnsi="Calibri"/>
                <w:sz w:val="20"/>
                <w:szCs w:val="20"/>
                <w:color w:val="auto"/>
              </w:rPr>
              <w:t>B7137</w:t>
            </w:r>
          </w:p>
        </w:tc>
        <w:tc>
          <w:tcPr>
            <w:tcW w:w="600" w:type="dxa"/>
            <w:vAlign w:val="bottom"/>
            <w:shd w:val="clear" w:color="auto" w:fill="CFF0FC"/>
          </w:tcPr>
          <w:p>
            <w:pPr>
              <w:jc w:val="center"/>
              <w:ind w:right="41"/>
              <w:spacing w:after="0" w:line="240" w:lineRule="exact"/>
              <w:rPr>
                <w:sz w:val="20"/>
                <w:szCs w:val="20"/>
                <w:color w:val="auto"/>
              </w:rPr>
            </w:pPr>
            <w:r>
              <w:rPr>
                <w:rFonts w:ascii="Calibri" w:cs="Calibri" w:eastAsia="Calibri" w:hAnsi="Calibri"/>
                <w:sz w:val="20"/>
                <w:szCs w:val="20"/>
                <w:color w:val="auto"/>
                <w:w w:val="98"/>
              </w:rPr>
              <w:t>0</w:t>
            </w:r>
          </w:p>
        </w:tc>
        <w:tc>
          <w:tcPr>
            <w:tcW w:w="660" w:type="dxa"/>
            <w:vAlign w:val="bottom"/>
            <w:shd w:val="clear" w:color="auto" w:fill="CFF0FC"/>
          </w:tcPr>
          <w:p>
            <w:pPr>
              <w:jc w:val="right"/>
              <w:ind w:right="201"/>
              <w:spacing w:after="0" w:line="240"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40" w:lineRule="exact"/>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line="240" w:lineRule="exact"/>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line="240" w:lineRule="exact"/>
              <w:rPr>
                <w:sz w:val="20"/>
                <w:szCs w:val="20"/>
                <w:color w:val="auto"/>
              </w:rPr>
            </w:pPr>
            <w:r>
              <w:rPr>
                <w:rFonts w:ascii="Calibri" w:cs="Calibri" w:eastAsia="Calibri" w:hAnsi="Calibri"/>
                <w:sz w:val="20"/>
                <w:szCs w:val="20"/>
                <w:color w:val="auto"/>
              </w:rPr>
              <w:t>0</w:t>
            </w:r>
          </w:p>
        </w:tc>
        <w:tc>
          <w:tcPr>
            <w:tcW w:w="34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w:t>
            </w:r>
          </w:p>
        </w:tc>
        <w:tc>
          <w:tcPr>
            <w:tcW w:w="820" w:type="dxa"/>
            <w:vAlign w:val="bottom"/>
            <w:shd w:val="clear" w:color="auto" w:fill="CFF0FC"/>
          </w:tcPr>
          <w:p>
            <w:pPr>
              <w:jc w:val="right"/>
              <w:ind w:right="81"/>
              <w:spacing w:after="0" w:line="240" w:lineRule="exact"/>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161"/>
              <w:spacing w:after="0" w:line="240" w:lineRule="exact"/>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line="240" w:lineRule="exact"/>
              <w:rPr>
                <w:sz w:val="20"/>
                <w:szCs w:val="20"/>
                <w:color w:val="auto"/>
              </w:rPr>
            </w:pPr>
            <w:r>
              <w:rPr>
                <w:rFonts w:ascii="Calibri" w:cs="Calibri" w:eastAsia="Calibri" w:hAnsi="Calibri"/>
                <w:sz w:val="20"/>
                <w:szCs w:val="20"/>
                <w:color w:val="auto"/>
              </w:rPr>
              <w:t>no</w:t>
            </w:r>
          </w:p>
        </w:tc>
        <w:tc>
          <w:tcPr>
            <w:tcW w:w="760" w:type="dxa"/>
            <w:vAlign w:val="bottom"/>
            <w:shd w:val="clear" w:color="auto" w:fill="CFF0FC"/>
          </w:tcPr>
          <w:p>
            <w:pPr>
              <w:ind w:left="280"/>
              <w:spacing w:after="0" w:line="240" w:lineRule="exact"/>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line="240" w:lineRule="exact"/>
              <w:rPr>
                <w:sz w:val="20"/>
                <w:szCs w:val="20"/>
                <w:color w:val="auto"/>
              </w:rPr>
            </w:pPr>
            <w:r>
              <w:rPr>
                <w:rFonts w:ascii="Calibri" w:cs="Calibri" w:eastAsia="Calibri" w:hAnsi="Calibri"/>
                <w:sz w:val="20"/>
                <w:szCs w:val="20"/>
                <w:color w:val="auto"/>
                <w:w w:val="98"/>
              </w:rPr>
              <w:t>0</w:t>
            </w:r>
          </w:p>
        </w:tc>
        <w:tc>
          <w:tcPr>
            <w:tcW w:w="380" w:type="dxa"/>
            <w:vAlign w:val="bottom"/>
            <w:shd w:val="clear" w:color="auto" w:fill="CFF0FC"/>
          </w:tcPr>
          <w:p>
            <w:pPr>
              <w:jc w:val="right"/>
              <w:spacing w:after="0" w:line="240" w:lineRule="exact"/>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line="240" w:lineRule="exact"/>
              <w:rPr>
                <w:sz w:val="20"/>
                <w:szCs w:val="20"/>
                <w:color w:val="auto"/>
              </w:rPr>
            </w:pPr>
            <w:r>
              <w:rPr>
                <w:rFonts w:ascii="Calibri" w:cs="Calibri" w:eastAsia="Calibri" w:hAnsi="Calibri"/>
                <w:sz w:val="20"/>
                <w:szCs w:val="20"/>
                <w:color w:val="auto"/>
              </w:rPr>
              <w:t>0</w:t>
            </w:r>
          </w:p>
        </w:tc>
      </w:tr>
      <w:tr>
        <w:trPr>
          <w:trHeight w:val="229"/>
        </w:trPr>
        <w:tc>
          <w:tcPr>
            <w:tcW w:w="2080" w:type="dxa"/>
            <w:vAlign w:val="bottom"/>
          </w:tcPr>
          <w:p>
            <w:pPr>
              <w:ind w:left="20"/>
              <w:spacing w:after="0" w:line="229" w:lineRule="exact"/>
              <w:rPr>
                <w:sz w:val="20"/>
                <w:szCs w:val="20"/>
                <w:color w:val="auto"/>
              </w:rPr>
            </w:pPr>
            <w:r>
              <w:rPr>
                <w:rFonts w:ascii="Calibri" w:cs="Calibri" w:eastAsia="Calibri" w:hAnsi="Calibri"/>
                <w:sz w:val="20"/>
                <w:szCs w:val="20"/>
                <w:color w:val="auto"/>
              </w:rPr>
              <w:t>Salisbury Shop</w:t>
            </w:r>
          </w:p>
        </w:tc>
        <w:tc>
          <w:tcPr>
            <w:tcW w:w="720" w:type="dxa"/>
            <w:vAlign w:val="bottom"/>
          </w:tcPr>
          <w:p>
            <w:pPr>
              <w:jc w:val="right"/>
              <w:ind w:right="42"/>
              <w:spacing w:after="0" w:line="229" w:lineRule="exact"/>
              <w:rPr>
                <w:sz w:val="20"/>
                <w:szCs w:val="20"/>
                <w:color w:val="auto"/>
              </w:rPr>
            </w:pPr>
            <w:r>
              <w:rPr>
                <w:rFonts w:ascii="Calibri" w:cs="Calibri" w:eastAsia="Calibri" w:hAnsi="Calibri"/>
                <w:sz w:val="20"/>
                <w:szCs w:val="20"/>
                <w:color w:val="auto"/>
              </w:rPr>
              <w:t>B9338</w:t>
            </w:r>
          </w:p>
        </w:tc>
        <w:tc>
          <w:tcPr>
            <w:tcW w:w="600" w:type="dxa"/>
            <w:vAlign w:val="bottom"/>
          </w:tcPr>
          <w:p>
            <w:pPr>
              <w:jc w:val="center"/>
              <w:ind w:right="41"/>
              <w:spacing w:after="0" w:line="229" w:lineRule="exact"/>
              <w:rPr>
                <w:sz w:val="20"/>
                <w:szCs w:val="20"/>
                <w:color w:val="auto"/>
              </w:rPr>
            </w:pPr>
            <w:r>
              <w:rPr>
                <w:rFonts w:ascii="Calibri" w:cs="Calibri" w:eastAsia="Calibri" w:hAnsi="Calibri"/>
                <w:sz w:val="20"/>
                <w:szCs w:val="20"/>
                <w:color w:val="auto"/>
                <w:w w:val="98"/>
              </w:rPr>
              <w:t>0</w:t>
            </w:r>
          </w:p>
        </w:tc>
        <w:tc>
          <w:tcPr>
            <w:tcW w:w="660" w:type="dxa"/>
            <w:vAlign w:val="bottom"/>
          </w:tcPr>
          <w:p>
            <w:pPr>
              <w:jc w:val="right"/>
              <w:ind w:right="201"/>
              <w:spacing w:after="0" w:line="229"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29" w:lineRule="exact"/>
              <w:rPr>
                <w:sz w:val="20"/>
                <w:szCs w:val="20"/>
                <w:color w:val="auto"/>
              </w:rPr>
            </w:pPr>
            <w:r>
              <w:rPr>
                <w:rFonts w:ascii="Calibri" w:cs="Calibri" w:eastAsia="Calibri" w:hAnsi="Calibri"/>
                <w:sz w:val="20"/>
                <w:szCs w:val="20"/>
                <w:color w:val="auto"/>
              </w:rPr>
              <w:t>0</w:t>
            </w:r>
          </w:p>
        </w:tc>
        <w:tc>
          <w:tcPr>
            <w:tcW w:w="680" w:type="dxa"/>
            <w:vAlign w:val="bottom"/>
          </w:tcPr>
          <w:p>
            <w:pPr>
              <w:jc w:val="right"/>
              <w:ind w:right="181"/>
              <w:spacing w:after="0" w:line="229"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61"/>
              <w:spacing w:after="0" w:line="229" w:lineRule="exact"/>
              <w:rPr>
                <w:sz w:val="20"/>
                <w:szCs w:val="20"/>
                <w:color w:val="auto"/>
              </w:rPr>
            </w:pPr>
            <w:r>
              <w:rPr>
                <w:rFonts w:ascii="Calibri" w:cs="Calibri" w:eastAsia="Calibri" w:hAnsi="Calibri"/>
                <w:sz w:val="20"/>
                <w:szCs w:val="20"/>
                <w:color w:val="auto"/>
              </w:rPr>
              <w:t>0</w:t>
            </w:r>
          </w:p>
        </w:tc>
        <w:tc>
          <w:tcPr>
            <w:tcW w:w="340" w:type="dxa"/>
            <w:vAlign w:val="bottom"/>
          </w:tcPr>
          <w:p>
            <w:pPr>
              <w:jc w:val="right"/>
              <w:spacing w:after="0" w:line="229" w:lineRule="exact"/>
              <w:rPr>
                <w:sz w:val="20"/>
                <w:szCs w:val="20"/>
                <w:color w:val="auto"/>
              </w:rPr>
            </w:pPr>
            <w:r>
              <w:rPr>
                <w:rFonts w:ascii="Calibri" w:cs="Calibri" w:eastAsia="Calibri" w:hAnsi="Calibri"/>
                <w:sz w:val="20"/>
                <w:szCs w:val="20"/>
                <w:color w:val="auto"/>
              </w:rPr>
              <w:t>$</w:t>
            </w:r>
          </w:p>
        </w:tc>
        <w:tc>
          <w:tcPr>
            <w:tcW w:w="820" w:type="dxa"/>
            <w:vAlign w:val="bottom"/>
          </w:tcPr>
          <w:p>
            <w:pPr>
              <w:jc w:val="right"/>
              <w:ind w:right="81"/>
              <w:spacing w:after="0" w:line="229" w:lineRule="exact"/>
              <w:rPr>
                <w:sz w:val="20"/>
                <w:szCs w:val="20"/>
                <w:color w:val="auto"/>
              </w:rPr>
            </w:pPr>
            <w:r>
              <w:rPr>
                <w:rFonts w:ascii="Calibri" w:cs="Calibri" w:eastAsia="Calibri" w:hAnsi="Calibri"/>
                <w:sz w:val="20"/>
                <w:szCs w:val="20"/>
                <w:color w:val="auto"/>
              </w:rPr>
              <w:t>0</w:t>
            </w:r>
          </w:p>
        </w:tc>
        <w:tc>
          <w:tcPr>
            <w:tcW w:w="560" w:type="dxa"/>
            <w:vAlign w:val="bottom"/>
          </w:tcPr>
          <w:p>
            <w:pPr>
              <w:jc w:val="right"/>
              <w:ind w:right="161"/>
              <w:spacing w:after="0" w:line="229" w:lineRule="exact"/>
              <w:rPr>
                <w:sz w:val="20"/>
                <w:szCs w:val="20"/>
                <w:color w:val="auto"/>
              </w:rPr>
            </w:pPr>
            <w:r>
              <w:rPr>
                <w:rFonts w:ascii="Calibri" w:cs="Calibri" w:eastAsia="Calibri" w:hAnsi="Calibri"/>
                <w:sz w:val="20"/>
                <w:szCs w:val="20"/>
                <w:color w:val="auto"/>
              </w:rPr>
              <w:t>0</w:t>
            </w:r>
          </w:p>
        </w:tc>
        <w:tc>
          <w:tcPr>
            <w:tcW w:w="740" w:type="dxa"/>
            <w:vAlign w:val="bottom"/>
          </w:tcPr>
          <w:p>
            <w:pPr>
              <w:ind w:left="260"/>
              <w:spacing w:after="0" w:line="229" w:lineRule="exact"/>
              <w:rPr>
                <w:sz w:val="20"/>
                <w:szCs w:val="20"/>
                <w:color w:val="auto"/>
              </w:rPr>
            </w:pPr>
            <w:r>
              <w:rPr>
                <w:rFonts w:ascii="Calibri" w:cs="Calibri" w:eastAsia="Calibri" w:hAnsi="Calibri"/>
                <w:sz w:val="20"/>
                <w:szCs w:val="20"/>
                <w:color w:val="auto"/>
              </w:rPr>
              <w:t>no</w:t>
            </w:r>
          </w:p>
        </w:tc>
        <w:tc>
          <w:tcPr>
            <w:tcW w:w="760" w:type="dxa"/>
            <w:vAlign w:val="bottom"/>
          </w:tcPr>
          <w:p>
            <w:pPr>
              <w:ind w:left="280"/>
              <w:spacing w:after="0" w:line="229" w:lineRule="exact"/>
              <w:rPr>
                <w:sz w:val="20"/>
                <w:szCs w:val="20"/>
                <w:color w:val="auto"/>
              </w:rPr>
            </w:pPr>
            <w:r>
              <w:rPr>
                <w:rFonts w:ascii="Calibri" w:cs="Calibri" w:eastAsia="Calibri" w:hAnsi="Calibri"/>
                <w:sz w:val="20"/>
                <w:szCs w:val="20"/>
                <w:color w:val="auto"/>
              </w:rPr>
              <w:t>no</w:t>
            </w:r>
          </w:p>
        </w:tc>
        <w:tc>
          <w:tcPr>
            <w:tcW w:w="740" w:type="dxa"/>
            <w:vAlign w:val="bottom"/>
          </w:tcPr>
          <w:p>
            <w:pPr>
              <w:jc w:val="center"/>
              <w:spacing w:after="0" w:line="229" w:lineRule="exact"/>
              <w:rPr>
                <w:sz w:val="20"/>
                <w:szCs w:val="20"/>
                <w:color w:val="auto"/>
              </w:rPr>
            </w:pPr>
            <w:r>
              <w:rPr>
                <w:rFonts w:ascii="Calibri" w:cs="Calibri" w:eastAsia="Calibri" w:hAnsi="Calibri"/>
                <w:sz w:val="20"/>
                <w:szCs w:val="20"/>
                <w:color w:val="auto"/>
                <w:w w:val="98"/>
              </w:rPr>
              <w:t>0</w:t>
            </w:r>
          </w:p>
        </w:tc>
        <w:tc>
          <w:tcPr>
            <w:tcW w:w="380" w:type="dxa"/>
            <w:vAlign w:val="bottom"/>
          </w:tcPr>
          <w:p>
            <w:pPr>
              <w:jc w:val="right"/>
              <w:spacing w:after="0" w:line="229" w:lineRule="exact"/>
              <w:rPr>
                <w:sz w:val="20"/>
                <w:szCs w:val="20"/>
                <w:color w:val="auto"/>
              </w:rPr>
            </w:pPr>
            <w:r>
              <w:rPr>
                <w:rFonts w:ascii="Calibri" w:cs="Calibri" w:eastAsia="Calibri" w:hAnsi="Calibri"/>
                <w:sz w:val="20"/>
                <w:szCs w:val="20"/>
                <w:color w:val="auto"/>
              </w:rPr>
              <w:t>0</w:t>
            </w:r>
          </w:p>
        </w:tc>
        <w:tc>
          <w:tcPr>
            <w:tcW w:w="920" w:type="dxa"/>
            <w:vAlign w:val="bottom"/>
          </w:tcPr>
          <w:p>
            <w:pPr>
              <w:jc w:val="right"/>
              <w:ind w:right="181"/>
              <w:spacing w:after="0" w:line="229" w:lineRule="exact"/>
              <w:rPr>
                <w:sz w:val="20"/>
                <w:szCs w:val="20"/>
                <w:color w:val="auto"/>
              </w:rPr>
            </w:pPr>
            <w:r>
              <w:rPr>
                <w:rFonts w:ascii="Calibri" w:cs="Calibri" w:eastAsia="Calibri" w:hAnsi="Calibri"/>
                <w:sz w:val="20"/>
                <w:szCs w:val="20"/>
                <w:color w:val="auto"/>
              </w:rPr>
              <w:t>0</w:t>
            </w:r>
          </w:p>
        </w:tc>
      </w:tr>
      <w:tr>
        <w:trPr>
          <w:trHeight w:val="178"/>
        </w:trPr>
        <w:tc>
          <w:tcPr>
            <w:tcW w:w="20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2"/>
              <w:spacing w:after="0" w:line="178" w:lineRule="exact"/>
              <w:rPr>
                <w:sz w:val="20"/>
                <w:szCs w:val="20"/>
                <w:color w:val="auto"/>
              </w:rPr>
            </w:pPr>
            <w:r>
              <w:rPr>
                <w:rFonts w:ascii="Calibri" w:cs="Calibri" w:eastAsia="Calibri" w:hAnsi="Calibri"/>
                <w:sz w:val="19"/>
                <w:szCs w:val="19"/>
                <w:color w:val="auto"/>
              </w:rPr>
              <w:t>33001</w:t>
            </w:r>
          </w:p>
        </w:tc>
        <w:tc>
          <w:tcPr>
            <w:tcW w:w="6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267"/>
        </w:trPr>
        <w:tc>
          <w:tcPr>
            <w:tcW w:w="2080" w:type="dxa"/>
            <w:vAlign w:val="bottom"/>
            <w:shd w:val="clear" w:color="auto" w:fill="CFF0FC"/>
          </w:tcPr>
          <w:p>
            <w:pPr>
              <w:ind w:left="20"/>
              <w:spacing w:after="0"/>
              <w:rPr>
                <w:sz w:val="20"/>
                <w:szCs w:val="20"/>
                <w:color w:val="auto"/>
              </w:rPr>
            </w:pPr>
            <w:r>
              <w:rPr>
                <w:rFonts w:ascii="Calibri" w:cs="Calibri" w:eastAsia="Calibri" w:hAnsi="Calibri"/>
                <w:sz w:val="20"/>
                <w:szCs w:val="20"/>
                <w:color w:val="auto"/>
              </w:rPr>
              <w:t>Woodville Stone</w:t>
            </w:r>
          </w:p>
        </w:tc>
        <w:tc>
          <w:tcPr>
            <w:tcW w:w="720" w:type="dxa"/>
            <w:vAlign w:val="bottom"/>
            <w:shd w:val="clear" w:color="auto" w:fill="CFF0FC"/>
          </w:tcPr>
          <w:p>
            <w:pPr>
              <w:jc w:val="right"/>
              <w:ind w:right="42"/>
              <w:spacing w:after="0" w:line="234" w:lineRule="exact"/>
              <w:rPr>
                <w:sz w:val="20"/>
                <w:szCs w:val="20"/>
                <w:color w:val="auto"/>
              </w:rPr>
            </w:pPr>
            <w:r>
              <w:rPr>
                <w:rFonts w:ascii="Calibri" w:cs="Calibri" w:eastAsia="Calibri" w:hAnsi="Calibri"/>
                <w:sz w:val="20"/>
                <w:szCs w:val="20"/>
                <w:color w:val="auto"/>
              </w:rPr>
              <w:t>56</w:t>
            </w:r>
          </w:p>
        </w:tc>
        <w:tc>
          <w:tcPr>
            <w:tcW w:w="600" w:type="dxa"/>
            <w:vAlign w:val="bottom"/>
            <w:shd w:val="clear" w:color="auto" w:fill="CFF0FC"/>
          </w:tcPr>
          <w:p>
            <w:pPr>
              <w:jc w:val="center"/>
              <w:ind w:right="41"/>
              <w:spacing w:after="0"/>
              <w:rPr>
                <w:sz w:val="20"/>
                <w:szCs w:val="20"/>
                <w:color w:val="auto"/>
              </w:rPr>
            </w:pPr>
            <w:r>
              <w:rPr>
                <w:rFonts w:ascii="Calibri" w:cs="Calibri" w:eastAsia="Calibri" w:hAnsi="Calibri"/>
                <w:sz w:val="20"/>
                <w:szCs w:val="20"/>
                <w:color w:val="auto"/>
                <w:w w:val="98"/>
              </w:rPr>
              <w:t>2</w:t>
            </w:r>
          </w:p>
        </w:tc>
        <w:tc>
          <w:tcPr>
            <w:tcW w:w="660" w:type="dxa"/>
            <w:vAlign w:val="bottom"/>
            <w:shd w:val="clear" w:color="auto" w:fill="CFF0FC"/>
          </w:tcPr>
          <w:p>
            <w:pPr>
              <w:jc w:val="right"/>
              <w:ind w:right="20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Calibri" w:cs="Calibri" w:eastAsia="Calibri" w:hAnsi="Calibri"/>
                <w:sz w:val="20"/>
                <w:szCs w:val="20"/>
                <w:color w:val="auto"/>
              </w:rPr>
              <w:t>0</w:t>
            </w:r>
          </w:p>
        </w:tc>
        <w:tc>
          <w:tcPr>
            <w:tcW w:w="34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w:t>
            </w:r>
          </w:p>
        </w:tc>
        <w:tc>
          <w:tcPr>
            <w:tcW w:w="820" w:type="dxa"/>
            <w:vAlign w:val="bottom"/>
            <w:shd w:val="clear" w:color="auto" w:fill="CFF0FC"/>
          </w:tcPr>
          <w:p>
            <w:pPr>
              <w:jc w:val="right"/>
              <w:ind w:right="81"/>
              <w:spacing w:after="0"/>
              <w:rPr>
                <w:sz w:val="20"/>
                <w:szCs w:val="20"/>
                <w:color w:val="auto"/>
              </w:rPr>
            </w:pPr>
            <w:r>
              <w:rPr>
                <w:rFonts w:ascii="Calibri" w:cs="Calibri" w:eastAsia="Calibri" w:hAnsi="Calibri"/>
                <w:sz w:val="20"/>
                <w:szCs w:val="20"/>
                <w:color w:val="auto"/>
              </w:rPr>
              <w:t>6,332</w:t>
            </w:r>
          </w:p>
        </w:tc>
        <w:tc>
          <w:tcPr>
            <w:tcW w:w="560" w:type="dxa"/>
            <w:vAlign w:val="bottom"/>
            <w:shd w:val="clear" w:color="auto" w:fill="CFF0FC"/>
          </w:tcPr>
          <w:p>
            <w:pPr>
              <w:jc w:val="right"/>
              <w:ind w:right="161"/>
              <w:spacing w:after="0"/>
              <w:rPr>
                <w:sz w:val="20"/>
                <w:szCs w:val="20"/>
                <w:color w:val="auto"/>
              </w:rPr>
            </w:pPr>
            <w:r>
              <w:rPr>
                <w:rFonts w:ascii="Calibri" w:cs="Calibri" w:eastAsia="Calibri" w:hAnsi="Calibri"/>
                <w:sz w:val="20"/>
                <w:szCs w:val="20"/>
                <w:color w:val="auto"/>
              </w:rPr>
              <w:t>0</w:t>
            </w:r>
          </w:p>
        </w:tc>
        <w:tc>
          <w:tcPr>
            <w:tcW w:w="740" w:type="dxa"/>
            <w:vAlign w:val="bottom"/>
            <w:shd w:val="clear" w:color="auto" w:fill="CFF0FC"/>
          </w:tcPr>
          <w:p>
            <w:pPr>
              <w:ind w:left="260"/>
              <w:spacing w:after="0"/>
              <w:rPr>
                <w:sz w:val="20"/>
                <w:szCs w:val="20"/>
                <w:color w:val="auto"/>
              </w:rPr>
            </w:pPr>
            <w:r>
              <w:rPr>
                <w:rFonts w:ascii="Calibri" w:cs="Calibri" w:eastAsia="Calibri" w:hAnsi="Calibri"/>
                <w:sz w:val="20"/>
                <w:szCs w:val="20"/>
                <w:color w:val="auto"/>
              </w:rPr>
              <w:t>no</w:t>
            </w:r>
          </w:p>
        </w:tc>
        <w:tc>
          <w:tcPr>
            <w:tcW w:w="760" w:type="dxa"/>
            <w:vAlign w:val="bottom"/>
            <w:shd w:val="clear" w:color="auto" w:fill="CFF0FC"/>
          </w:tcPr>
          <w:p>
            <w:pPr>
              <w:ind w:left="280"/>
              <w:spacing w:after="0"/>
              <w:rPr>
                <w:sz w:val="20"/>
                <w:szCs w:val="20"/>
                <w:color w:val="auto"/>
              </w:rPr>
            </w:pPr>
            <w:r>
              <w:rPr>
                <w:rFonts w:ascii="Calibri" w:cs="Calibri" w:eastAsia="Calibri" w:hAnsi="Calibri"/>
                <w:sz w:val="20"/>
                <w:szCs w:val="20"/>
                <w:color w:val="auto"/>
              </w:rPr>
              <w:t>no</w:t>
            </w:r>
          </w:p>
        </w:tc>
        <w:tc>
          <w:tcPr>
            <w:tcW w:w="740" w:type="dxa"/>
            <w:vAlign w:val="bottom"/>
            <w:shd w:val="clear" w:color="auto" w:fill="CFF0FC"/>
          </w:tcPr>
          <w:p>
            <w:pPr>
              <w:jc w:val="center"/>
              <w:spacing w:after="0"/>
              <w:rPr>
                <w:sz w:val="20"/>
                <w:szCs w:val="20"/>
                <w:color w:val="auto"/>
              </w:rPr>
            </w:pPr>
            <w:r>
              <w:rPr>
                <w:rFonts w:ascii="Calibri" w:cs="Calibri" w:eastAsia="Calibri" w:hAnsi="Calibri"/>
                <w:sz w:val="20"/>
                <w:szCs w:val="20"/>
                <w:color w:val="auto"/>
                <w:w w:val="98"/>
              </w:rPr>
              <w:t>0</w:t>
            </w:r>
          </w:p>
        </w:tc>
        <w:tc>
          <w:tcPr>
            <w:tcW w:w="380" w:type="dxa"/>
            <w:vAlign w:val="bottom"/>
            <w:shd w:val="clear" w:color="auto" w:fill="CFF0FC"/>
          </w:tcPr>
          <w:p>
            <w:pPr>
              <w:jc w:val="right"/>
              <w:spacing w:after="0"/>
              <w:rPr>
                <w:sz w:val="20"/>
                <w:szCs w:val="20"/>
                <w:color w:val="auto"/>
              </w:rPr>
            </w:pPr>
            <w:r>
              <w:rPr>
                <w:rFonts w:ascii="Calibri" w:cs="Calibri" w:eastAsia="Calibri" w:hAnsi="Calibri"/>
                <w:sz w:val="20"/>
                <w:szCs w:val="20"/>
                <w:color w:val="auto"/>
              </w:rPr>
              <w:t>0</w:t>
            </w:r>
          </w:p>
        </w:tc>
        <w:tc>
          <w:tcPr>
            <w:tcW w:w="920" w:type="dxa"/>
            <w:vAlign w:val="bottom"/>
            <w:shd w:val="clear" w:color="auto" w:fill="CFF0FC"/>
          </w:tcPr>
          <w:p>
            <w:pPr>
              <w:jc w:val="right"/>
              <w:ind w:right="181"/>
              <w:spacing w:after="0"/>
              <w:rPr>
                <w:sz w:val="20"/>
                <w:szCs w:val="20"/>
                <w:color w:val="auto"/>
              </w:rPr>
            </w:pPr>
            <w:r>
              <w:rPr>
                <w:rFonts w:ascii="Calibri" w:cs="Calibri" w:eastAsia="Calibri" w:hAnsi="Calibri"/>
                <w:sz w:val="20"/>
                <w:szCs w:val="20"/>
                <w:color w:val="auto"/>
              </w:rPr>
              <w:t>0</w:t>
            </w:r>
          </w:p>
        </w:tc>
      </w:tr>
      <w:tr>
        <w:trPr>
          <w:trHeight w:val="234"/>
        </w:trPr>
        <w:tc>
          <w:tcPr>
            <w:tcW w:w="20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TOTAL</w:t>
            </w:r>
          </w:p>
        </w:tc>
        <w:tc>
          <w:tcPr>
            <w:tcW w:w="720" w:type="dxa"/>
            <w:vAlign w:val="bottom"/>
          </w:tcPr>
          <w:p>
            <w:pPr>
              <w:spacing w:after="0"/>
              <w:rPr>
                <w:sz w:val="20"/>
                <w:szCs w:val="20"/>
                <w:color w:val="auto"/>
              </w:rPr>
            </w:pPr>
          </w:p>
        </w:tc>
        <w:tc>
          <w:tcPr>
            <w:tcW w:w="600" w:type="dxa"/>
            <w:vAlign w:val="bottom"/>
          </w:tcPr>
          <w:p>
            <w:pPr>
              <w:jc w:val="center"/>
              <w:ind w:right="61"/>
              <w:spacing w:after="0" w:line="234" w:lineRule="exact"/>
              <w:rPr>
                <w:sz w:val="20"/>
                <w:szCs w:val="20"/>
                <w:color w:val="auto"/>
              </w:rPr>
            </w:pPr>
            <w:r>
              <w:rPr>
                <w:rFonts w:ascii="Calibri" w:cs="Calibri" w:eastAsia="Calibri" w:hAnsi="Calibri"/>
                <w:sz w:val="20"/>
                <w:szCs w:val="20"/>
                <w:b w:val="1"/>
                <w:bCs w:val="1"/>
                <w:color w:val="auto"/>
                <w:w w:val="98"/>
              </w:rPr>
              <w:t>39</w:t>
            </w:r>
          </w:p>
        </w:tc>
        <w:tc>
          <w:tcPr>
            <w:tcW w:w="660" w:type="dxa"/>
            <w:vAlign w:val="bottom"/>
          </w:tcPr>
          <w:p>
            <w:pPr>
              <w:jc w:val="right"/>
              <w:ind w:right="20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0</w:t>
            </w:r>
          </w:p>
        </w:tc>
        <w:tc>
          <w:tcPr>
            <w:tcW w:w="68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0</w:t>
            </w:r>
          </w:p>
        </w:tc>
        <w:tc>
          <w:tcPr>
            <w:tcW w:w="560" w:type="dxa"/>
            <w:vAlign w:val="bottom"/>
          </w:tcPr>
          <w:p>
            <w:pPr>
              <w:jc w:val="right"/>
              <w:ind w:right="61"/>
              <w:spacing w:after="0" w:line="234" w:lineRule="exact"/>
              <w:rPr>
                <w:sz w:val="20"/>
                <w:szCs w:val="20"/>
                <w:color w:val="auto"/>
              </w:rPr>
            </w:pPr>
            <w:r>
              <w:rPr>
                <w:rFonts w:ascii="Calibri" w:cs="Calibri" w:eastAsia="Calibri" w:hAnsi="Calibri"/>
                <w:sz w:val="20"/>
                <w:szCs w:val="20"/>
                <w:b w:val="1"/>
                <w:bCs w:val="1"/>
                <w:color w:val="auto"/>
              </w:rPr>
              <w:t>1</w:t>
            </w:r>
          </w:p>
        </w:tc>
        <w:tc>
          <w:tcPr>
            <w:tcW w:w="34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w:t>
            </w:r>
          </w:p>
        </w:tc>
        <w:tc>
          <w:tcPr>
            <w:tcW w:w="820" w:type="dxa"/>
            <w:vAlign w:val="bottom"/>
          </w:tcPr>
          <w:p>
            <w:pPr>
              <w:jc w:val="right"/>
              <w:ind w:right="81"/>
              <w:spacing w:after="0" w:line="234" w:lineRule="exact"/>
              <w:rPr>
                <w:sz w:val="20"/>
                <w:szCs w:val="20"/>
                <w:color w:val="auto"/>
              </w:rPr>
            </w:pPr>
            <w:r>
              <w:rPr>
                <w:rFonts w:ascii="Calibri" w:cs="Calibri" w:eastAsia="Calibri" w:hAnsi="Calibri"/>
                <w:sz w:val="20"/>
                <w:szCs w:val="20"/>
                <w:b w:val="1"/>
                <w:bCs w:val="1"/>
                <w:color w:val="auto"/>
              </w:rPr>
              <w:t>36,657</w:t>
            </w:r>
          </w:p>
        </w:tc>
        <w:tc>
          <w:tcPr>
            <w:tcW w:w="560" w:type="dxa"/>
            <w:vAlign w:val="bottom"/>
          </w:tcPr>
          <w:p>
            <w:pPr>
              <w:jc w:val="right"/>
              <w:ind w:right="161"/>
              <w:spacing w:after="0" w:line="234" w:lineRule="exact"/>
              <w:rPr>
                <w:sz w:val="20"/>
                <w:szCs w:val="20"/>
                <w:color w:val="auto"/>
              </w:rPr>
            </w:pPr>
            <w:r>
              <w:rPr>
                <w:rFonts w:ascii="Calibri" w:cs="Calibri" w:eastAsia="Calibri" w:hAnsi="Calibri"/>
                <w:sz w:val="20"/>
                <w:szCs w:val="20"/>
                <w:b w:val="1"/>
                <w:bCs w:val="1"/>
                <w:color w:val="auto"/>
              </w:rPr>
              <w:t>0</w:t>
            </w: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w w:val="98"/>
              </w:rPr>
              <w:t>15</w:t>
            </w:r>
          </w:p>
        </w:tc>
        <w:tc>
          <w:tcPr>
            <w:tcW w:w="38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7</w:t>
            </w:r>
          </w:p>
        </w:tc>
        <w:tc>
          <w:tcPr>
            <w:tcW w:w="920" w:type="dxa"/>
            <w:vAlign w:val="bottom"/>
          </w:tcPr>
          <w:p>
            <w:pPr>
              <w:jc w:val="right"/>
              <w:ind w:right="181"/>
              <w:spacing w:after="0" w:line="234" w:lineRule="exact"/>
              <w:rPr>
                <w:sz w:val="20"/>
                <w:szCs w:val="20"/>
                <w:color w:val="auto"/>
              </w:rPr>
            </w:pPr>
            <w:r>
              <w:rPr>
                <w:rFonts w:ascii="Calibri" w:cs="Calibri" w:eastAsia="Calibri" w:hAnsi="Calibri"/>
                <w:sz w:val="20"/>
                <w:szCs w:val="20"/>
                <w:b w:val="1"/>
                <w:bCs w:val="1"/>
                <w:color w:val="auto"/>
              </w:rPr>
              <w:t>4</w:t>
            </w:r>
          </w:p>
        </w:tc>
      </w:tr>
    </w:tbl>
    <w:p>
      <w:pPr>
        <w:spacing w:after="0" w:line="200" w:lineRule="exact"/>
        <w:rPr>
          <w:sz w:val="20"/>
          <w:szCs w:val="20"/>
          <w:color w:val="auto"/>
        </w:rPr>
      </w:pPr>
    </w:p>
    <w:p>
      <w:pPr>
        <w:jc w:val="both"/>
        <w:ind w:firstLine="8"/>
        <w:spacing w:after="0" w:line="223" w:lineRule="auto"/>
        <w:tabs>
          <w:tab w:leader="none" w:pos="155" w:val="left"/>
        </w:tabs>
        <w:numPr>
          <w:ilvl w:val="0"/>
          <w:numId w:val="26"/>
        </w:numPr>
        <w:rPr>
          <w:rFonts w:ascii="Calibri" w:cs="Calibri" w:eastAsia="Calibri" w:hAnsi="Calibri"/>
          <w:sz w:val="20"/>
          <w:szCs w:val="20"/>
          <w:color w:val="auto"/>
        </w:rPr>
      </w:pPr>
      <w:r>
        <w:rPr>
          <w:rFonts w:ascii="Calibri" w:cs="Calibri" w:eastAsia="Calibri" w:hAnsi="Calibri"/>
          <w:sz w:val="20"/>
          <w:szCs w:val="20"/>
          <w:color w:val="auto"/>
        </w:rPr>
        <w:t>Of the 15 legal actons pending on September 30, 2022, eleven were contests of citatons or orders referenced in Subpart B of CFR Part 2700, which includes contests of citatons and orders issued under Secton 104 of the Mine Act and contests of imminent danger orders under Secton 107 of the Mine Act, and four were contests of proposed penaltes referenced in Subpart C of 29 CFR Part 2700, which are administratve proceedings before the Commission challenging a civil penalty that MSHA has proposed for the violaton contained in a citaton or order, and two were a contest of an order issued under secton 103 (K) of the Mine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2"/>
    </w:lvl>
  </w:abstractNum>
  <w:abstractNum w:abstractNumId="10">
    <w:nsid w:val="3F2DBA31"/>
    <w:multiLevelType w:val="hybridMultilevel"/>
    <w:lvl w:ilvl="0">
      <w:lvlJc w:val="left"/>
      <w:lvlText w:val="%1."/>
      <w:numFmt w:val="decimal"/>
      <w:start w:val="14"/>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95"/>
    </w:lvl>
  </w:abstractNum>
  <w:abstractNum w:abstractNumId="16">
    <w:nsid w:val="333AB105"/>
    <w:multiLevelType w:val="hybridMultilevel"/>
    <w:lvl w:ilvl="0">
      <w:lvlJc w:val="left"/>
      <w:lvlText w:val="%1"/>
      <w:numFmt w:val="decimal"/>
      <w:start w:val="104"/>
    </w:lvl>
  </w:abstractNum>
  <w:abstractNum w:abstractNumId="17">
    <w:nsid w:val="721DA317"/>
    <w:multiLevelType w:val="hybridMultilevel"/>
    <w:lvl w:ilvl="0">
      <w:lvlJc w:val="left"/>
      <w:lvlText w:val="%1."/>
      <w:numFmt w:val="decimal"/>
      <w:start w:val="1"/>
    </w:lvl>
    <w:lvl w:ilvl="1">
      <w:lvlJc w:val="left"/>
      <w:lvlText w:val="%2."/>
      <w:numFmt w:val="lowerLetter"/>
      <w:start w:val="1"/>
    </w:lvl>
  </w:abstractNum>
  <w:abstractNum w:abstractNumId="18">
    <w:nsid w:val="2443A858"/>
    <w:multiLevelType w:val="hybridMultilevel"/>
    <w:lvl w:ilvl="0">
      <w:lvlJc w:val="left"/>
      <w:lvlText w:val="%1."/>
      <w:numFmt w:val="decimal"/>
      <w:start w:val="5"/>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5"/>
    </w:lvl>
    <w:lvl w:ilvl="1">
      <w:lvlJc w:val="left"/>
      <w:lvlText w:val="%2."/>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2022-11-02T13:59:24Z</dcterms:created>
  <dcterms:modified xsi:type="dcterms:W3CDTF">2022-11-02T13:59:24Z</dcterms:modified>
</cp:coreProperties>
</file>