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1-12744</w:t>
      </w:r>
    </w:p>
    <w:p>
      <w:pPr>
        <w:spacing w:after="0" w:line="9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41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4"/>
              </w:rPr>
              <w:t>North Carolina</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89"/>
              </w:rPr>
              <w:t>56-1848578</w:t>
            </w:r>
          </w:p>
        </w:tc>
        <w:tc>
          <w:tcPr>
            <w:tcW w:w="960" w:type="dxa"/>
            <w:vAlign w:val="bottom"/>
          </w:tcPr>
          <w:p>
            <w:pPr>
              <w:spacing w:after="0"/>
              <w:rPr>
                <w:sz w:val="18"/>
                <w:szCs w:val="18"/>
                <w:color w:val="auto"/>
              </w:rPr>
            </w:pPr>
          </w:p>
        </w:tc>
      </w:tr>
      <w:tr>
        <w:trPr>
          <w:trHeight w:val="234"/>
        </w:trPr>
        <w:tc>
          <w:tcPr>
            <w:tcW w:w="620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4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346"/>
        </w:trPr>
        <w:tc>
          <w:tcPr>
            <w:tcW w:w="41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2"/>
              </w:rPr>
              <w:t>2710 Wycliff Road, Raleigh, NC</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89"/>
              </w:rPr>
              <w:t>27607-3033</w:t>
            </w:r>
          </w:p>
        </w:tc>
        <w:tc>
          <w:tcPr>
            <w:tcW w:w="960" w:type="dxa"/>
            <w:vAlign w:val="bottom"/>
          </w:tcPr>
          <w:p>
            <w:pPr>
              <w:spacing w:after="0"/>
              <w:rPr>
                <w:sz w:val="24"/>
                <w:szCs w:val="24"/>
                <w:color w:val="auto"/>
              </w:rPr>
            </w:pPr>
          </w:p>
        </w:tc>
      </w:tr>
      <w:tr>
        <w:trPr>
          <w:trHeight w:val="216"/>
        </w:trPr>
        <w:tc>
          <w:tcPr>
            <w:tcW w:w="41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2080" w:type="dxa"/>
            <w:vAlign w:val="bottom"/>
          </w:tcPr>
          <w:p>
            <w:pPr>
              <w:spacing w:after="0"/>
              <w:rPr>
                <w:sz w:val="20"/>
                <w:szCs w:val="20"/>
                <w:color w:val="auto"/>
              </w:rPr>
            </w:pPr>
          </w:p>
        </w:tc>
        <w:tc>
          <w:tcPr>
            <w:tcW w:w="7520" w:type="dxa"/>
            <w:vAlign w:val="bottom"/>
            <w:gridSpan w:val="10"/>
          </w:tcPr>
          <w:p>
            <w:pPr>
              <w:jc w:val="center"/>
              <w:ind w:right="1300"/>
              <w:spacing w:after="0"/>
              <w:rPr>
                <w:sz w:val="20"/>
                <w:szCs w:val="20"/>
                <w:color w:val="auto"/>
              </w:rPr>
            </w:pPr>
            <w:r>
              <w:rPr>
                <w:rFonts w:ascii="Arial" w:cs="Arial" w:eastAsia="Arial" w:hAnsi="Arial"/>
                <w:sz w:val="18"/>
                <w:szCs w:val="18"/>
                <w:b w:val="1"/>
                <w:bCs w:val="1"/>
                <w:color w:val="auto"/>
                <w:w w:val="89"/>
              </w:rPr>
              <w:t>Registrant’s telephone number, including area code: 919-781-4550</w:t>
            </w:r>
          </w:p>
        </w:tc>
      </w:tr>
      <w:tr>
        <w:trPr>
          <w:trHeight w:val="270"/>
        </w:trPr>
        <w:tc>
          <w:tcPr>
            <w:tcW w:w="9600" w:type="dxa"/>
            <w:vAlign w:val="bottom"/>
            <w:gridSpan w:val="11"/>
          </w:tcPr>
          <w:p>
            <w:pPr>
              <w:jc w:val="center"/>
              <w:ind w:left="670"/>
              <w:spacing w:after="0"/>
              <w:rPr>
                <w:sz w:val="20"/>
                <w:szCs w:val="20"/>
                <w:color w:val="auto"/>
              </w:rPr>
            </w:pPr>
            <w:r>
              <w:rPr>
                <w:rFonts w:ascii="Arial" w:cs="Arial" w:eastAsia="Arial" w:hAnsi="Arial"/>
                <w:sz w:val="18"/>
                <w:szCs w:val="18"/>
                <w:b w:val="1"/>
                <w:bCs w:val="1"/>
                <w:color w:val="auto"/>
                <w:w w:val="89"/>
              </w:rPr>
              <w:t>Former name, former address and former fiscal year, if changes since last report: None</w:t>
            </w:r>
          </w:p>
        </w:tc>
      </w:tr>
      <w:tr>
        <w:trPr>
          <w:trHeight w:val="306"/>
        </w:trPr>
        <w:tc>
          <w:tcPr>
            <w:tcW w:w="2080" w:type="dxa"/>
            <w:vAlign w:val="bottom"/>
          </w:tcPr>
          <w:p>
            <w:pPr>
              <w:spacing w:after="0"/>
              <w:rPr>
                <w:sz w:val="24"/>
                <w:szCs w:val="24"/>
                <w:color w:val="auto"/>
              </w:rPr>
            </w:pPr>
          </w:p>
        </w:tc>
        <w:tc>
          <w:tcPr>
            <w:tcW w:w="7520" w:type="dxa"/>
            <w:vAlign w:val="bottom"/>
            <w:gridSpan w:val="10"/>
          </w:tcPr>
          <w:p>
            <w:pPr>
              <w:jc w:val="center"/>
              <w:ind w:right="13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2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tcBorders>
              <w:bottom w:val="single" w:sz="8" w:color="auto"/>
            </w:tcBorders>
            <w:gridSpan w:val="3"/>
          </w:tcPr>
          <w:p>
            <w:pPr>
              <w:jc w:val="center"/>
              <w:ind w:right="40"/>
              <w:spacing w:after="0" w:line="194" w:lineRule="exact"/>
              <w:rPr>
                <w:sz w:val="20"/>
                <w:szCs w:val="20"/>
                <w:color w:val="auto"/>
              </w:rPr>
            </w:pPr>
            <w:r>
              <w:rPr>
                <w:rFonts w:ascii="Arial" w:cs="Arial" w:eastAsia="Arial" w:hAnsi="Arial"/>
                <w:sz w:val="18"/>
                <w:szCs w:val="18"/>
                <w:b w:val="1"/>
                <w:bCs w:val="1"/>
                <w:color w:val="auto"/>
                <w:w w:val="87"/>
              </w:rPr>
              <w:t>Name of each exchange on</w:t>
            </w:r>
          </w:p>
        </w:tc>
        <w:tc>
          <w:tcPr>
            <w:tcW w:w="960" w:type="dxa"/>
            <w:vAlign w:val="bottom"/>
          </w:tcPr>
          <w:p>
            <w:pPr>
              <w:spacing w:after="0"/>
              <w:rPr>
                <w:sz w:val="16"/>
                <w:szCs w:val="16"/>
                <w:color w:val="auto"/>
              </w:rPr>
            </w:pPr>
          </w:p>
        </w:tc>
      </w:tr>
      <w:tr>
        <w:trPr>
          <w:trHeight w:val="196"/>
        </w:trPr>
        <w:tc>
          <w:tcPr>
            <w:tcW w:w="2080" w:type="dxa"/>
            <w:vAlign w:val="bottom"/>
          </w:tcPr>
          <w:p>
            <w:pPr>
              <w:spacing w:after="0"/>
              <w:rPr>
                <w:sz w:val="17"/>
                <w:szCs w:val="17"/>
                <w:color w:val="auto"/>
              </w:rPr>
            </w:pPr>
          </w:p>
        </w:tc>
        <w:tc>
          <w:tcPr>
            <w:tcW w:w="2080" w:type="dxa"/>
            <w:vAlign w:val="bottom"/>
            <w:gridSpan w:val="2"/>
          </w:tcPr>
          <w:p>
            <w:pPr>
              <w:jc w:val="center"/>
              <w:ind w:right="640"/>
              <w:spacing w:after="0" w:line="196" w:lineRule="exact"/>
              <w:rPr>
                <w:sz w:val="20"/>
                <w:szCs w:val="20"/>
                <w:color w:val="auto"/>
              </w:rPr>
            </w:pPr>
            <w:r>
              <w:rPr>
                <w:rFonts w:ascii="Arial" w:cs="Arial" w:eastAsia="Arial" w:hAnsi="Arial"/>
                <w:sz w:val="18"/>
                <w:szCs w:val="18"/>
                <w:b w:val="1"/>
                <w:bCs w:val="1"/>
                <w:color w:val="auto"/>
                <w:w w:val="89"/>
              </w:rPr>
              <w:t>Title of Each Class</w:t>
            </w:r>
          </w:p>
        </w:tc>
        <w:tc>
          <w:tcPr>
            <w:tcW w:w="2040" w:type="dxa"/>
            <w:vAlign w:val="bottom"/>
            <w:gridSpan w:val="3"/>
          </w:tcPr>
          <w:p>
            <w:pPr>
              <w:jc w:val="center"/>
              <w:ind w:left="30"/>
              <w:spacing w:after="0" w:line="196" w:lineRule="exact"/>
              <w:rPr>
                <w:sz w:val="20"/>
                <w:szCs w:val="20"/>
                <w:color w:val="auto"/>
              </w:rPr>
            </w:pPr>
            <w:r>
              <w:rPr>
                <w:rFonts w:ascii="Arial" w:cs="Arial" w:eastAsia="Arial" w:hAnsi="Arial"/>
                <w:sz w:val="18"/>
                <w:szCs w:val="18"/>
                <w:b w:val="1"/>
                <w:bCs w:val="1"/>
                <w:color w:val="auto"/>
                <w:w w:val="91"/>
              </w:rPr>
              <w:t>Trading Symbol(s)</w:t>
            </w:r>
          </w:p>
        </w:tc>
        <w:tc>
          <w:tcPr>
            <w:tcW w:w="360" w:type="dxa"/>
            <w:vAlign w:val="bottom"/>
          </w:tcPr>
          <w:p>
            <w:pPr>
              <w:spacing w:after="0"/>
              <w:rPr>
                <w:sz w:val="17"/>
                <w:szCs w:val="17"/>
                <w:color w:val="auto"/>
              </w:rPr>
            </w:pPr>
          </w:p>
        </w:tc>
        <w:tc>
          <w:tcPr>
            <w:tcW w:w="3040" w:type="dxa"/>
            <w:vAlign w:val="bottom"/>
            <w:gridSpan w:val="4"/>
          </w:tcPr>
          <w:p>
            <w:pPr>
              <w:jc w:val="center"/>
              <w:ind w:right="960"/>
              <w:spacing w:after="0" w:line="196" w:lineRule="exact"/>
              <w:rPr>
                <w:sz w:val="20"/>
                <w:szCs w:val="20"/>
                <w:color w:val="auto"/>
              </w:rPr>
            </w:pPr>
            <w:r>
              <w:rPr>
                <w:rFonts w:ascii="Arial" w:cs="Arial" w:eastAsia="Arial" w:hAnsi="Arial"/>
                <w:sz w:val="18"/>
                <w:szCs w:val="18"/>
                <w:b w:val="1"/>
                <w:bCs w:val="1"/>
                <w:color w:val="auto"/>
                <w:w w:val="89"/>
              </w:rPr>
              <w:t>which registered</w:t>
            </w:r>
          </w:p>
        </w:tc>
      </w:tr>
      <w:tr>
        <w:trPr>
          <w:trHeight w:val="20"/>
        </w:trPr>
        <w:tc>
          <w:tcPr>
            <w:tcW w:w="2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2"/>
        </w:trPr>
        <w:tc>
          <w:tcPr>
            <w:tcW w:w="4160" w:type="dxa"/>
            <w:vAlign w:val="bottom"/>
            <w:gridSpan w:val="3"/>
          </w:tcPr>
          <w:p>
            <w:pPr>
              <w:jc w:val="center"/>
              <w:ind w:left="1370"/>
              <w:spacing w:after="0"/>
              <w:rPr>
                <w:sz w:val="20"/>
                <w:szCs w:val="20"/>
                <w:color w:val="auto"/>
              </w:rPr>
            </w:pPr>
            <w:r>
              <w:rPr>
                <w:rFonts w:ascii="Arial" w:cs="Arial" w:eastAsia="Arial" w:hAnsi="Arial"/>
                <w:sz w:val="18"/>
                <w:szCs w:val="18"/>
                <w:color w:val="auto"/>
                <w:w w:val="91"/>
              </w:rPr>
              <w:t>Common Stock (Par Value</w:t>
            </w:r>
          </w:p>
        </w:tc>
        <w:tc>
          <w:tcPr>
            <w:tcW w:w="3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rPr>
              <w:t>MLM</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40" w:type="dxa"/>
            <w:vAlign w:val="bottom"/>
            <w:gridSpan w:val="3"/>
          </w:tcPr>
          <w:p>
            <w:pPr>
              <w:jc w:val="center"/>
              <w:ind w:right="1360"/>
              <w:spacing w:after="0"/>
              <w:rPr>
                <w:sz w:val="20"/>
                <w:szCs w:val="20"/>
                <w:color w:val="auto"/>
              </w:rPr>
            </w:pPr>
            <w:r>
              <w:rPr>
                <w:rFonts w:ascii="Arial" w:cs="Arial" w:eastAsia="Arial" w:hAnsi="Arial"/>
                <w:sz w:val="18"/>
                <w:szCs w:val="18"/>
                <w:color w:val="auto"/>
                <w:w w:val="97"/>
              </w:rPr>
              <w:t>NYSE</w:t>
            </w:r>
          </w:p>
        </w:tc>
      </w:tr>
      <w:tr>
        <w:trPr>
          <w:trHeight w:val="230"/>
        </w:trPr>
        <w:tc>
          <w:tcPr>
            <w:tcW w:w="3520" w:type="dxa"/>
            <w:vAlign w:val="bottom"/>
            <w:gridSpan w:val="2"/>
          </w:tcPr>
          <w:p>
            <w:pPr>
              <w:jc w:val="center"/>
              <w:ind w:left="2010"/>
              <w:spacing w:after="0"/>
              <w:rPr>
                <w:sz w:val="20"/>
                <w:szCs w:val="20"/>
                <w:color w:val="auto"/>
              </w:rPr>
            </w:pPr>
            <w:r>
              <w:rPr>
                <w:rFonts w:ascii="Arial" w:cs="Arial" w:eastAsia="Arial" w:hAnsi="Arial"/>
                <w:sz w:val="18"/>
                <w:szCs w:val="18"/>
                <w:color w:val="auto"/>
                <w:w w:val="90"/>
              </w:rPr>
              <w:t>$0.01)</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9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74"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ind w:left="50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620" w:type="dxa"/>
            <w:vAlign w:val="bottom"/>
            <w:gridSpan w:val="2"/>
          </w:tcPr>
          <w:p>
            <w:pPr>
              <w:jc w:val="right"/>
              <w:ind w:right="493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1240" w:type="dxa"/>
            <w:vAlign w:val="bottom"/>
            <w:gridSpan w:val="4"/>
          </w:tcPr>
          <w:p>
            <w:pPr>
              <w:jc w:val="right"/>
              <w:ind w:right="225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r>
      <w:tr>
        <w:trPr>
          <w:trHeight w:val="351"/>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Pr>
          <w:p>
            <w:pPr>
              <w:spacing w:after="0"/>
              <w:rPr>
                <w:sz w:val="24"/>
                <w:szCs w:val="24"/>
                <w:color w:val="auto"/>
              </w:rPr>
            </w:pPr>
          </w:p>
        </w:tc>
        <w:tc>
          <w:tcPr>
            <w:tcW w:w="5500" w:type="dxa"/>
            <w:vAlign w:val="bottom"/>
          </w:tcPr>
          <w:p>
            <w:pPr>
              <w:jc w:val="right"/>
              <w:ind w:right="1310"/>
              <w:spacing w:after="0"/>
              <w:rPr>
                <w:sz w:val="20"/>
                <w:szCs w:val="20"/>
                <w:color w:val="auto"/>
              </w:rPr>
            </w:pPr>
            <w:r>
              <w:rPr>
                <w:rFonts w:ascii="Arial" w:cs="Arial" w:eastAsia="Arial" w:hAnsi="Arial"/>
                <w:sz w:val="18"/>
                <w:szCs w:val="18"/>
                <w:b w:val="1"/>
                <w:bCs w:val="1"/>
                <w:color w:val="auto"/>
              </w:rPr>
              <w:t>Outstanding as of October 26, 2020</w:t>
            </w:r>
          </w:p>
        </w:tc>
      </w:tr>
      <w:tr>
        <w:trPr>
          <w:trHeight w:val="22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62,274,202</w:t>
            </w:r>
          </w:p>
        </w:tc>
      </w:tr>
      <w:tr>
        <w:trPr>
          <w:trHeight w:val="161"/>
        </w:trPr>
        <w:tc>
          <w:tcPr>
            <w:tcW w:w="5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797"/>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680" w:type="dxa"/>
            <w:vAlign w:val="bottom"/>
            <w:gridSpan w:val="6"/>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Page</w:t>
            </w:r>
          </w:p>
        </w:tc>
        <w:tc>
          <w:tcPr>
            <w:tcW w:w="0" w:type="dxa"/>
            <w:vAlign w:val="bottom"/>
          </w:tcPr>
          <w:p>
            <w:pPr>
              <w:spacing w:after="0"/>
              <w:rPr>
                <w:sz w:val="1"/>
                <w:szCs w:val="1"/>
                <w:color w:val="auto"/>
              </w:rPr>
            </w:pPr>
          </w:p>
        </w:tc>
      </w:tr>
      <w:tr>
        <w:trPr>
          <w:trHeight w:val="227"/>
        </w:trPr>
        <w:tc>
          <w:tcPr>
            <w:tcW w:w="10680" w:type="dxa"/>
            <w:vAlign w:val="bottom"/>
            <w:gridSpan w:val="6"/>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10680" w:type="dxa"/>
            <w:vAlign w:val="bottom"/>
            <w:gridSpan w:val="6"/>
          </w:tcPr>
          <w:p>
            <w:pPr>
              <w:ind w:left="22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0" w:type="dxa"/>
            <w:vAlign w:val="bottom"/>
          </w:tcPr>
          <w:p>
            <w:pPr>
              <w:spacing w:after="0"/>
              <w:rPr>
                <w:sz w:val="24"/>
                <w:szCs w:val="24"/>
                <w:color w:val="auto"/>
              </w:rPr>
            </w:pPr>
          </w:p>
        </w:tc>
        <w:tc>
          <w:tcPr>
            <w:tcW w:w="10240" w:type="dxa"/>
            <w:vAlign w:val="bottom"/>
            <w:gridSpan w:val="5"/>
          </w:tcPr>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Consolidated Balance Sheets – September 30, 2020 and December 31,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20"/>
        </w:trPr>
        <w:tc>
          <w:tcPr>
            <w:tcW w:w="440" w:type="dxa"/>
            <w:vAlign w:val="bottom"/>
          </w:tcPr>
          <w:p>
            <w:pPr>
              <w:spacing w:after="0"/>
              <w:rPr>
                <w:sz w:val="24"/>
                <w:szCs w:val="24"/>
                <w:color w:val="auto"/>
              </w:rPr>
            </w:pPr>
          </w:p>
        </w:tc>
        <w:tc>
          <w:tcPr>
            <w:tcW w:w="10240" w:type="dxa"/>
            <w:vAlign w:val="bottom"/>
            <w:gridSpan w:val="5"/>
          </w:tcPr>
          <w:p>
            <w:pPr>
              <w:spacing w:after="0"/>
              <w:rPr>
                <w:rFonts w:ascii="Arial" w:cs="Arial" w:eastAsia="Arial" w:hAnsi="Arial"/>
                <w:sz w:val="20"/>
                <w:szCs w:val="20"/>
                <w:color w:val="0000EE"/>
                <w:w w:val="91"/>
              </w:rPr>
            </w:pPr>
            <w:hyperlink w:anchor="page4">
              <w:r>
                <w:rPr>
                  <w:rFonts w:ascii="Arial" w:cs="Arial" w:eastAsia="Arial" w:hAnsi="Arial"/>
                  <w:sz w:val="20"/>
                  <w:szCs w:val="20"/>
                  <w:color w:val="0000EE"/>
                  <w:w w:val="91"/>
                </w:rPr>
                <w:t>Consolidated Statements of Earnings and Comprehensive Earnings – Three and Nine Months Ended September 30, 2020 and</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20" w:type="dxa"/>
            <w:vAlign w:val="bottom"/>
            <w:tcBorders>
              <w:top w:val="single" w:sz="8" w:color="0000EE"/>
            </w:tcBorders>
            <w:gridSpan w:val="3"/>
          </w:tcPr>
          <w:p>
            <w:pPr>
              <w:ind w:left="220"/>
              <w:spacing w:after="0" w:line="209" w:lineRule="exact"/>
              <w:rPr>
                <w:rFonts w:ascii="Arial" w:cs="Arial" w:eastAsia="Arial" w:hAnsi="Arial"/>
                <w:sz w:val="20"/>
                <w:szCs w:val="20"/>
                <w:color w:val="0000EE"/>
                <w:w w:val="85"/>
              </w:rPr>
            </w:pPr>
            <w:hyperlink w:anchor="page4">
              <w:r>
                <w:rPr>
                  <w:rFonts w:ascii="Arial" w:cs="Arial" w:eastAsia="Arial" w:hAnsi="Arial"/>
                  <w:sz w:val="20"/>
                  <w:szCs w:val="20"/>
                  <w:color w:val="0000EE"/>
                  <w:w w:val="85"/>
                </w:rPr>
                <w:t>2019</w:t>
              </w:r>
            </w:hyperlink>
          </w:p>
        </w:tc>
        <w:tc>
          <w:tcPr>
            <w:tcW w:w="93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40" w:type="dxa"/>
            <w:vAlign w:val="bottom"/>
          </w:tcPr>
          <w:p>
            <w:pPr>
              <w:spacing w:after="0"/>
              <w:rPr>
                <w:sz w:val="24"/>
                <w:szCs w:val="24"/>
                <w:color w:val="auto"/>
              </w:rPr>
            </w:pPr>
          </w:p>
        </w:tc>
        <w:tc>
          <w:tcPr>
            <w:tcW w:w="10240" w:type="dxa"/>
            <w:vAlign w:val="bottom"/>
            <w:gridSpan w:val="5"/>
          </w:tcPr>
          <w:p>
            <w:pPr>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Statements of Cash Flows – Nine Months Ended September 30, 2020 and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51"/>
        </w:trPr>
        <w:tc>
          <w:tcPr>
            <w:tcW w:w="440" w:type="dxa"/>
            <w:vAlign w:val="bottom"/>
          </w:tcPr>
          <w:p>
            <w:pPr>
              <w:spacing w:after="0"/>
              <w:rPr>
                <w:sz w:val="24"/>
                <w:szCs w:val="24"/>
                <w:color w:val="auto"/>
              </w:rPr>
            </w:pPr>
          </w:p>
        </w:tc>
        <w:tc>
          <w:tcPr>
            <w:tcW w:w="10240" w:type="dxa"/>
            <w:vAlign w:val="bottom"/>
            <w:gridSpan w:val="5"/>
          </w:tcPr>
          <w:p>
            <w:pPr>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Consolidated Statement of Total Equity – Three and Nine Months Ended September 30, 2020 and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51"/>
        </w:trPr>
        <w:tc>
          <w:tcPr>
            <w:tcW w:w="440" w:type="dxa"/>
            <w:vAlign w:val="bottom"/>
          </w:tcPr>
          <w:p>
            <w:pPr>
              <w:spacing w:after="0"/>
              <w:rPr>
                <w:sz w:val="24"/>
                <w:szCs w:val="24"/>
                <w:color w:val="auto"/>
              </w:rPr>
            </w:pPr>
          </w:p>
        </w:tc>
        <w:tc>
          <w:tcPr>
            <w:tcW w:w="10240" w:type="dxa"/>
            <w:vAlign w:val="bottom"/>
            <w:gridSpan w:val="5"/>
          </w:tcPr>
          <w:p>
            <w:pPr>
              <w:spacing w:after="0"/>
              <w:rPr>
                <w:rFonts w:ascii="Arial" w:cs="Arial" w:eastAsia="Arial" w:hAnsi="Arial"/>
                <w:sz w:val="20"/>
                <w:szCs w:val="20"/>
                <w:u w:val="single" w:color="auto"/>
                <w:color w:val="0000EE"/>
              </w:rPr>
            </w:pPr>
            <w:hyperlink w:anchor="page8">
              <w:r>
                <w:rPr>
                  <w:rFonts w:ascii="Arial" w:cs="Arial" w:eastAsia="Arial" w:hAnsi="Arial"/>
                  <w:sz w:val="20"/>
                  <w:szCs w:val="20"/>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351"/>
        </w:trPr>
        <w:tc>
          <w:tcPr>
            <w:tcW w:w="10680" w:type="dxa"/>
            <w:vAlign w:val="bottom"/>
            <w:gridSpan w:val="6"/>
          </w:tcPr>
          <w:p>
            <w:pPr>
              <w:ind w:left="220"/>
              <w:spacing w:after="0"/>
              <w:rPr>
                <w:rFonts w:ascii="Arial" w:cs="Arial" w:eastAsia="Arial" w:hAnsi="Arial"/>
                <w:sz w:val="20"/>
                <w:szCs w:val="20"/>
                <w:u w:val="single" w:color="auto"/>
                <w:color w:val="0000EE"/>
              </w:rPr>
            </w:pPr>
            <w:hyperlink w:anchor="page24">
              <w:r>
                <w:rPr>
                  <w:rFonts w:ascii="Arial" w:cs="Arial" w:eastAsia="Arial" w:hAnsi="Arial"/>
                  <w:sz w:val="20"/>
                  <w:szCs w:val="20"/>
                  <w:u w:val="single" w:color="auto"/>
                  <w:color w:val="0000EE"/>
                </w:rPr>
                <w:t>Item 2.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351"/>
        </w:trPr>
        <w:tc>
          <w:tcPr>
            <w:tcW w:w="10680" w:type="dxa"/>
            <w:vAlign w:val="bottom"/>
            <w:gridSpan w:val="6"/>
          </w:tcPr>
          <w:p>
            <w:pPr>
              <w:ind w:left="220"/>
              <w:spacing w:after="0"/>
              <w:rPr>
                <w:rFonts w:ascii="Arial" w:cs="Arial" w:eastAsia="Arial" w:hAnsi="Arial"/>
                <w:sz w:val="20"/>
                <w:szCs w:val="20"/>
                <w:u w:val="single" w:color="auto"/>
                <w:color w:val="0000EE"/>
              </w:rPr>
            </w:pPr>
            <w:hyperlink w:anchor="page48">
              <w:r>
                <w:rPr>
                  <w:rFonts w:ascii="Arial" w:cs="Arial" w:eastAsia="Arial" w:hAnsi="Arial"/>
                  <w:sz w:val="20"/>
                  <w:szCs w:val="20"/>
                  <w:u w:val="single" w:color="auto"/>
                  <w:color w:val="0000EE"/>
                </w:rPr>
                <w:t>Item 3. 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351"/>
        </w:trPr>
        <w:tc>
          <w:tcPr>
            <w:tcW w:w="10680" w:type="dxa"/>
            <w:vAlign w:val="bottom"/>
            <w:gridSpan w:val="6"/>
          </w:tcPr>
          <w:p>
            <w:pPr>
              <w:ind w:left="220"/>
              <w:spacing w:after="0"/>
              <w:rPr>
                <w:rFonts w:ascii="Arial" w:cs="Arial" w:eastAsia="Arial" w:hAnsi="Arial"/>
                <w:sz w:val="20"/>
                <w:szCs w:val="20"/>
                <w:u w:val="single" w:color="auto"/>
                <w:color w:val="0000EE"/>
              </w:rPr>
            </w:pPr>
            <w:hyperlink w:anchor="page49">
              <w:r>
                <w:rPr>
                  <w:rFonts w:ascii="Arial" w:cs="Arial" w:eastAsia="Arial" w:hAnsi="Arial"/>
                  <w:sz w:val="20"/>
                  <w:szCs w:val="20"/>
                  <w:u w:val="single" w:color="auto"/>
                  <w:color w:val="0000EE"/>
                </w:rPr>
                <w:t>Item 4. Controls and Procedures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51"/>
        </w:trPr>
        <w:tc>
          <w:tcPr>
            <w:tcW w:w="10680" w:type="dxa"/>
            <w:vAlign w:val="bottom"/>
            <w:gridSpan w:val="6"/>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3"/>
          </w:tcPr>
          <w:p>
            <w:pPr>
              <w:ind w:left="220"/>
              <w:spacing w:after="0"/>
              <w:rPr>
                <w:rFonts w:ascii="Arial" w:cs="Arial" w:eastAsia="Arial" w:hAnsi="Arial"/>
                <w:sz w:val="20"/>
                <w:szCs w:val="20"/>
                <w:u w:val="single" w:color="auto"/>
                <w:color w:val="0000EE"/>
                <w:w w:val="91"/>
              </w:rPr>
            </w:pPr>
            <w:hyperlink w:anchor="page50">
              <w:r>
                <w:rPr>
                  <w:rFonts w:ascii="Arial" w:cs="Arial" w:eastAsia="Arial" w:hAnsi="Arial"/>
                  <w:sz w:val="20"/>
                  <w:szCs w:val="20"/>
                  <w:u w:val="single" w:color="auto"/>
                  <w:color w:val="0000EE"/>
                  <w:w w:val="91"/>
                </w:rPr>
                <w:t>Item 1.</w:t>
              </w:r>
            </w:hyperlink>
          </w:p>
        </w:tc>
        <w:tc>
          <w:tcPr>
            <w:tcW w:w="9880" w:type="dxa"/>
            <w:vAlign w:val="bottom"/>
            <w:gridSpan w:val="3"/>
          </w:tcPr>
          <w:p>
            <w:pPr>
              <w:ind w:left="40"/>
              <w:spacing w:after="0"/>
              <w:rPr>
                <w:rFonts w:ascii="Arial" w:cs="Arial" w:eastAsia="Arial" w:hAnsi="Arial"/>
                <w:sz w:val="20"/>
                <w:szCs w:val="20"/>
                <w:u w:val="single" w:color="auto"/>
                <w:color w:val="0000EE"/>
              </w:rPr>
            </w:pPr>
            <w:hyperlink w:anchor="page50">
              <w:r>
                <w:rPr>
                  <w:rFonts w:ascii="Arial" w:cs="Arial" w:eastAsia="Arial" w:hAnsi="Arial"/>
                  <w:sz w:val="20"/>
                  <w:szCs w:val="20"/>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51"/>
        </w:trPr>
        <w:tc>
          <w:tcPr>
            <w:tcW w:w="10680" w:type="dxa"/>
            <w:vAlign w:val="bottom"/>
            <w:gridSpan w:val="6"/>
          </w:tcPr>
          <w:p>
            <w:pPr>
              <w:ind w:left="220"/>
              <w:spacing w:after="0"/>
              <w:rPr>
                <w:rFonts w:ascii="Arial" w:cs="Arial" w:eastAsia="Arial" w:hAnsi="Arial"/>
                <w:sz w:val="20"/>
                <w:szCs w:val="20"/>
                <w:u w:val="single" w:color="auto"/>
                <w:color w:val="0000EE"/>
              </w:rPr>
            </w:pPr>
            <w:hyperlink w:anchor="page50">
              <w:r>
                <w:rPr>
                  <w:rFonts w:ascii="Arial" w:cs="Arial" w:eastAsia="Arial" w:hAnsi="Arial"/>
                  <w:sz w:val="20"/>
                  <w:szCs w:val="20"/>
                  <w:u w:val="single" w:color="auto"/>
                  <w:color w:val="0000EE"/>
                </w:rPr>
                <w:t>Item 1A. Risk Factors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51"/>
        </w:trPr>
        <w:tc>
          <w:tcPr>
            <w:tcW w:w="800" w:type="dxa"/>
            <w:vAlign w:val="bottom"/>
            <w:gridSpan w:val="3"/>
          </w:tcPr>
          <w:p>
            <w:pPr>
              <w:ind w:left="220"/>
              <w:spacing w:after="0"/>
              <w:rPr>
                <w:rFonts w:ascii="Arial" w:cs="Arial" w:eastAsia="Arial" w:hAnsi="Arial"/>
                <w:sz w:val="20"/>
                <w:szCs w:val="20"/>
                <w:u w:val="single" w:color="auto"/>
                <w:color w:val="0000EE"/>
                <w:w w:val="91"/>
              </w:rPr>
            </w:pPr>
            <w:hyperlink w:anchor="page51">
              <w:r>
                <w:rPr>
                  <w:rFonts w:ascii="Arial" w:cs="Arial" w:eastAsia="Arial" w:hAnsi="Arial"/>
                  <w:sz w:val="20"/>
                  <w:szCs w:val="20"/>
                  <w:u w:val="single" w:color="auto"/>
                  <w:color w:val="0000EE"/>
                  <w:w w:val="91"/>
                </w:rPr>
                <w:t>Item 2.</w:t>
              </w:r>
            </w:hyperlink>
          </w:p>
        </w:tc>
        <w:tc>
          <w:tcPr>
            <w:tcW w:w="9880" w:type="dxa"/>
            <w:vAlign w:val="bottom"/>
            <w:gridSpan w:val="3"/>
          </w:tcPr>
          <w:p>
            <w:pPr>
              <w:ind w:left="40"/>
              <w:spacing w:after="0"/>
              <w:rPr>
                <w:rFonts w:ascii="Arial" w:cs="Arial" w:eastAsia="Arial" w:hAnsi="Arial"/>
                <w:sz w:val="20"/>
                <w:szCs w:val="20"/>
                <w:u w:val="single" w:color="auto"/>
                <w:color w:val="0000EE"/>
              </w:rPr>
            </w:pPr>
            <w:hyperlink w:anchor="page51">
              <w:r>
                <w:rPr>
                  <w:rFonts w:ascii="Arial" w:cs="Arial" w:eastAsia="Arial" w:hAnsi="Arial"/>
                  <w:sz w:val="20"/>
                  <w:szCs w:val="20"/>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351"/>
        </w:trPr>
        <w:tc>
          <w:tcPr>
            <w:tcW w:w="800" w:type="dxa"/>
            <w:vAlign w:val="bottom"/>
            <w:gridSpan w:val="3"/>
          </w:tcPr>
          <w:p>
            <w:pPr>
              <w:ind w:left="220"/>
              <w:spacing w:after="0"/>
              <w:rPr>
                <w:rFonts w:ascii="Arial" w:cs="Arial" w:eastAsia="Arial" w:hAnsi="Arial"/>
                <w:sz w:val="20"/>
                <w:szCs w:val="20"/>
                <w:u w:val="single" w:color="auto"/>
                <w:color w:val="0000EE"/>
                <w:w w:val="91"/>
              </w:rPr>
            </w:pPr>
            <w:hyperlink w:anchor="page51">
              <w:r>
                <w:rPr>
                  <w:rFonts w:ascii="Arial" w:cs="Arial" w:eastAsia="Arial" w:hAnsi="Arial"/>
                  <w:sz w:val="20"/>
                  <w:szCs w:val="20"/>
                  <w:u w:val="single" w:color="auto"/>
                  <w:color w:val="0000EE"/>
                  <w:w w:val="91"/>
                </w:rPr>
                <w:t>Item 4.</w:t>
              </w:r>
            </w:hyperlink>
          </w:p>
        </w:tc>
        <w:tc>
          <w:tcPr>
            <w:tcW w:w="9880" w:type="dxa"/>
            <w:vAlign w:val="bottom"/>
            <w:gridSpan w:val="3"/>
          </w:tcPr>
          <w:p>
            <w:pPr>
              <w:ind w:left="40"/>
              <w:spacing w:after="0"/>
              <w:rPr>
                <w:rFonts w:ascii="Arial" w:cs="Arial" w:eastAsia="Arial" w:hAnsi="Arial"/>
                <w:sz w:val="20"/>
                <w:szCs w:val="20"/>
                <w:u w:val="single" w:color="auto"/>
                <w:color w:val="0000EE"/>
              </w:rPr>
            </w:pPr>
            <w:hyperlink w:anchor="page51">
              <w:r>
                <w:rPr>
                  <w:rFonts w:ascii="Arial" w:cs="Arial" w:eastAsia="Arial" w:hAnsi="Arial"/>
                  <w:sz w:val="20"/>
                  <w:szCs w:val="20"/>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351"/>
        </w:trPr>
        <w:tc>
          <w:tcPr>
            <w:tcW w:w="800" w:type="dxa"/>
            <w:vAlign w:val="bottom"/>
            <w:gridSpan w:val="3"/>
          </w:tcPr>
          <w:p>
            <w:pPr>
              <w:ind w:left="220"/>
              <w:spacing w:after="0"/>
              <w:rPr>
                <w:rFonts w:ascii="Arial" w:cs="Arial" w:eastAsia="Arial" w:hAnsi="Arial"/>
                <w:sz w:val="20"/>
                <w:szCs w:val="20"/>
                <w:u w:val="single" w:color="auto"/>
                <w:color w:val="0000EE"/>
                <w:w w:val="91"/>
              </w:rPr>
            </w:pPr>
            <w:hyperlink w:anchor="page52">
              <w:r>
                <w:rPr>
                  <w:rFonts w:ascii="Arial" w:cs="Arial" w:eastAsia="Arial" w:hAnsi="Arial"/>
                  <w:sz w:val="20"/>
                  <w:szCs w:val="20"/>
                  <w:u w:val="single" w:color="auto"/>
                  <w:color w:val="0000EE"/>
                  <w:w w:val="91"/>
                </w:rPr>
                <w:t>Item 6.</w:t>
              </w:r>
            </w:hyperlink>
          </w:p>
        </w:tc>
        <w:tc>
          <w:tcPr>
            <w:tcW w:w="9880" w:type="dxa"/>
            <w:vAlign w:val="bottom"/>
            <w:gridSpan w:val="3"/>
          </w:tcPr>
          <w:p>
            <w:pPr>
              <w:ind w:left="40"/>
              <w:spacing w:after="0"/>
              <w:rPr>
                <w:rFonts w:ascii="Arial" w:cs="Arial" w:eastAsia="Arial" w:hAnsi="Arial"/>
                <w:sz w:val="20"/>
                <w:szCs w:val="20"/>
                <w:u w:val="single" w:color="auto"/>
                <w:color w:val="0000EE"/>
              </w:rPr>
            </w:pPr>
            <w:hyperlink w:anchor="page52">
              <w:r>
                <w:rPr>
                  <w:rFonts w:ascii="Arial" w:cs="Arial" w:eastAsia="Arial" w:hAnsi="Arial"/>
                  <w:sz w:val="20"/>
                  <w:szCs w:val="20"/>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51"/>
        </w:trPr>
        <w:tc>
          <w:tcPr>
            <w:tcW w:w="10680" w:type="dxa"/>
            <w:vAlign w:val="bottom"/>
            <w:gridSpan w:val="6"/>
          </w:tcPr>
          <w:p>
            <w:pPr>
              <w:spacing w:after="0"/>
              <w:rPr>
                <w:rFonts w:ascii="Arial" w:cs="Arial" w:eastAsia="Arial" w:hAnsi="Arial"/>
                <w:sz w:val="20"/>
                <w:szCs w:val="20"/>
                <w:u w:val="single" w:color="auto"/>
                <w:color w:val="0000EE"/>
              </w:rPr>
            </w:pPr>
            <w:hyperlink w:anchor="page53">
              <w:r>
                <w:rPr>
                  <w:rFonts w:ascii="Arial" w:cs="Arial" w:eastAsia="Arial" w:hAnsi="Arial"/>
                  <w:sz w:val="20"/>
                  <w:szCs w:val="20"/>
                  <w:u w:val="single" w:color="auto"/>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September 30,</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December 31,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5100" w:type="dxa"/>
            <w:vAlign w:val="bottom"/>
          </w:tcPr>
          <w:p>
            <w:pPr>
              <w:spacing w:after="0"/>
              <w:rPr>
                <w:sz w:val="18"/>
                <w:szCs w:val="18"/>
                <w:color w:val="auto"/>
              </w:rPr>
            </w:pPr>
          </w:p>
        </w:tc>
        <w:tc>
          <w:tcPr>
            <w:tcW w:w="2840" w:type="dxa"/>
            <w:vAlign w:val="bottom"/>
            <w:gridSpan w:val="2"/>
          </w:tcPr>
          <w:p>
            <w:pPr>
              <w:jc w:val="right"/>
              <w:ind w:right="240"/>
              <w:spacing w:after="0"/>
              <w:rPr>
                <w:sz w:val="20"/>
                <w:szCs w:val="20"/>
                <w:color w:val="auto"/>
              </w:rPr>
            </w:pPr>
            <w:r>
              <w:rPr>
                <w:rFonts w:ascii="Arial" w:cs="Arial" w:eastAsia="Arial" w:hAnsi="Arial"/>
                <w:sz w:val="17"/>
                <w:szCs w:val="17"/>
                <w:color w:val="auto"/>
              </w:rPr>
              <w:t>2020</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262"/>
              <w:spacing w:after="0"/>
              <w:rPr>
                <w:sz w:val="20"/>
                <w:szCs w:val="20"/>
                <w:color w:val="auto"/>
              </w:rPr>
            </w:pPr>
            <w:r>
              <w:rPr>
                <w:rFonts w:ascii="Arial" w:cs="Arial" w:eastAsia="Arial" w:hAnsi="Arial"/>
                <w:sz w:val="17"/>
                <w:szCs w:val="17"/>
                <w:color w:val="auto"/>
              </w:rPr>
              <w:t>2019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60" w:type="dxa"/>
            <w:vAlign w:val="bottom"/>
            <w:tcBorders>
              <w:top w:val="single" w:sz="8" w:color="auto"/>
            </w:tcBorders>
            <w:gridSpan w:val="4"/>
          </w:tcPr>
          <w:p>
            <w:pPr>
              <w:jc w:val="right"/>
              <w:ind w:right="162"/>
              <w:spacing w:after="0"/>
              <w:rPr>
                <w:sz w:val="20"/>
                <w:szCs w:val="20"/>
                <w:color w:val="auto"/>
              </w:rPr>
            </w:pPr>
            <w:r>
              <w:rPr>
                <w:rFonts w:ascii="Arial" w:cs="Arial" w:eastAsia="Arial" w:hAnsi="Arial"/>
                <w:sz w:val="17"/>
                <w:szCs w:val="17"/>
                <w:i w:val="1"/>
                <w:iCs w:val="1"/>
                <w:color w:val="auto"/>
              </w:rPr>
              <w:t>(Dollars in Millions, Except Par Value Data)</w:t>
            </w: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Current Assets:</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840" w:type="dxa"/>
            <w:vAlign w:val="bottom"/>
            <w:gridSpan w:val="2"/>
            <w:shd w:val="clear" w:color="auto" w:fill="CFF0FC"/>
          </w:tcPr>
          <w:p>
            <w:pPr>
              <w:jc w:val="right"/>
              <w:ind w:right="14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44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Restricted cash</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77.1</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 net</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686.3</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573.7</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Inventories, net</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714.5</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690.8</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Other current assets</w:t>
            </w:r>
          </w:p>
        </w:tc>
        <w:tc>
          <w:tcPr>
            <w:tcW w:w="124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58.3</w:t>
            </w:r>
          </w:p>
        </w:tc>
        <w:tc>
          <w:tcPr>
            <w:tcW w:w="34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141.2</w:t>
            </w:r>
          </w:p>
        </w:tc>
        <w:tc>
          <w:tcPr>
            <w:tcW w:w="120" w:type="dxa"/>
            <w:vAlign w:val="bottom"/>
            <w:shd w:val="clear" w:color="auto" w:fill="CFF0FC"/>
          </w:tcPr>
          <w:p>
            <w:pPr>
              <w:spacing w:after="0"/>
              <w:rPr>
                <w:sz w:val="18"/>
                <w:szCs w:val="18"/>
                <w:color w:val="auto"/>
              </w:rPr>
            </w:pPr>
          </w:p>
        </w:tc>
      </w:tr>
      <w:tr>
        <w:trPr>
          <w:trHeight w:val="209"/>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Current Assets</w:t>
            </w:r>
          </w:p>
        </w:tc>
        <w:tc>
          <w:tcPr>
            <w:tcW w:w="12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1,652.8</w:t>
            </w:r>
          </w:p>
        </w:tc>
        <w:tc>
          <w:tcPr>
            <w:tcW w:w="3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1,426.7</w:t>
            </w:r>
          </w:p>
        </w:tc>
        <w:tc>
          <w:tcPr>
            <w:tcW w:w="120" w:type="dxa"/>
            <w:vAlign w:val="bottom"/>
            <w:tcBorders>
              <w:bottom w:val="single" w:sz="8" w:color="CFF0FC"/>
            </w:tcBorders>
          </w:tcPr>
          <w:p>
            <w:pPr>
              <w:spacing w:after="0"/>
              <w:rPr>
                <w:sz w:val="18"/>
                <w:szCs w:val="18"/>
                <w:color w:val="auto"/>
              </w:rPr>
            </w:pPr>
          </w:p>
        </w:tc>
      </w:tr>
      <w:tr>
        <w:trPr>
          <w:trHeight w:val="209"/>
        </w:trPr>
        <w:tc>
          <w:tcPr>
            <w:tcW w:w="5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8,835.5</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8,633.5</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Allowances for depreciation, depletion and amortization</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w w:val="96"/>
              </w:rPr>
              <w:t>(3,655.0)</w:t>
            </w:r>
          </w:p>
        </w:tc>
        <w:tc>
          <w:tcPr>
            <w:tcW w:w="16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96"/>
              </w:rPr>
              <w:t>(3,427.5)</w:t>
            </w:r>
          </w:p>
        </w:tc>
      </w:tr>
      <w:tr>
        <w:trPr>
          <w:trHeight w:val="209"/>
        </w:trPr>
        <w:tc>
          <w:tcPr>
            <w:tcW w:w="5100" w:type="dxa"/>
            <w:vAlign w:val="bottom"/>
          </w:tcPr>
          <w:p>
            <w:pPr>
              <w:spacing w:after="0"/>
              <w:rPr>
                <w:sz w:val="20"/>
                <w:szCs w:val="20"/>
                <w:color w:val="auto"/>
              </w:rPr>
            </w:pPr>
            <w:r>
              <w:rPr>
                <w:rFonts w:ascii="Arial" w:cs="Arial" w:eastAsia="Arial" w:hAnsi="Arial"/>
                <w:sz w:val="17"/>
                <w:szCs w:val="17"/>
                <w:color w:val="auto"/>
              </w:rPr>
              <w:t>Net property, plant and equipment</w:t>
            </w:r>
          </w:p>
        </w:tc>
        <w:tc>
          <w:tcPr>
            <w:tcW w:w="1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5,180.5</w:t>
            </w:r>
          </w:p>
        </w:tc>
        <w:tc>
          <w:tcPr>
            <w:tcW w:w="3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5,206.0</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2,414.5</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2,396.8</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Other intangibles, net</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504.3</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486.8</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 net</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469.2</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481.9</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assets</w:t>
            </w:r>
          </w:p>
        </w:tc>
        <w:tc>
          <w:tcPr>
            <w:tcW w:w="12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214.1</w:t>
            </w:r>
          </w:p>
        </w:tc>
        <w:tc>
          <w:tcPr>
            <w:tcW w:w="3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133.4</w:t>
            </w:r>
          </w:p>
        </w:tc>
        <w:tc>
          <w:tcPr>
            <w:tcW w:w="120" w:type="dxa"/>
            <w:vAlign w:val="bottom"/>
            <w:tcBorders>
              <w:bottom w:val="single" w:sz="8" w:color="CFF0FC"/>
            </w:tcBorders>
          </w:tcPr>
          <w:p>
            <w:pPr>
              <w:spacing w:after="0"/>
              <w:rPr>
                <w:sz w:val="18"/>
                <w:szCs w:val="18"/>
                <w:color w:val="auto"/>
              </w:rPr>
            </w:pPr>
          </w:p>
        </w:tc>
      </w:tr>
      <w:tr>
        <w:trPr>
          <w:trHeight w:val="209"/>
        </w:trPr>
        <w:tc>
          <w:tcPr>
            <w:tcW w:w="5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Assets</w:t>
            </w:r>
          </w:p>
        </w:tc>
        <w:tc>
          <w:tcPr>
            <w:tcW w:w="1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4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10,435.4</w:t>
            </w:r>
          </w:p>
        </w:tc>
        <w:tc>
          <w:tcPr>
            <w:tcW w:w="3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44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10,131.6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EQUITY</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Current Liabilities:</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w:t>
            </w:r>
          </w:p>
        </w:tc>
        <w:tc>
          <w:tcPr>
            <w:tcW w:w="2840" w:type="dxa"/>
            <w:vAlign w:val="bottom"/>
            <w:gridSpan w:val="2"/>
            <w:shd w:val="clear" w:color="auto" w:fill="CFF0FC"/>
          </w:tcPr>
          <w:p>
            <w:pPr>
              <w:jc w:val="right"/>
              <w:ind w:right="14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210.7</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44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229.6</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Accrued salaries, benefits and payroll taxes</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52.2</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56.7</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Accrued insurance and other taxes</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65.3</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63.1</w:t>
            </w:r>
          </w:p>
        </w:tc>
        <w:tc>
          <w:tcPr>
            <w:tcW w:w="120" w:type="dxa"/>
            <w:vAlign w:val="bottom"/>
            <w:shd w:val="clear" w:color="auto" w:fill="CFF0FC"/>
          </w:tcPr>
          <w:p>
            <w:pPr>
              <w:spacing w:after="0"/>
              <w:rPr>
                <w:sz w:val="18"/>
                <w:szCs w:val="18"/>
                <w:color w:val="auto"/>
              </w:rPr>
            </w:pPr>
          </w:p>
        </w:tc>
      </w:tr>
      <w:tr>
        <w:trPr>
          <w:trHeight w:val="198"/>
        </w:trPr>
        <w:tc>
          <w:tcPr>
            <w:tcW w:w="5100" w:type="dxa"/>
            <w:vAlign w:val="bottom"/>
          </w:tcPr>
          <w:p>
            <w:pPr>
              <w:spacing w:after="0"/>
              <w:rPr>
                <w:sz w:val="20"/>
                <w:szCs w:val="20"/>
                <w:color w:val="auto"/>
              </w:rPr>
            </w:pPr>
            <w:r>
              <w:rPr>
                <w:rFonts w:ascii="Arial" w:cs="Arial" w:eastAsia="Arial" w:hAnsi="Arial"/>
                <w:sz w:val="17"/>
                <w:szCs w:val="17"/>
                <w:color w:val="auto"/>
              </w:rPr>
              <w:t>Current maturities of long-term debt and short-term</w:t>
            </w: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5100" w:type="dxa"/>
            <w:vAlign w:val="bottom"/>
          </w:tcPr>
          <w:p>
            <w:pPr>
              <w:ind w:left="140"/>
              <w:spacing w:after="0"/>
              <w:rPr>
                <w:sz w:val="20"/>
                <w:szCs w:val="20"/>
                <w:color w:val="auto"/>
              </w:rPr>
            </w:pPr>
            <w:r>
              <w:rPr>
                <w:rFonts w:ascii="Arial" w:cs="Arial" w:eastAsia="Arial" w:hAnsi="Arial"/>
                <w:sz w:val="17"/>
                <w:szCs w:val="17"/>
                <w:color w:val="auto"/>
              </w:rPr>
              <w:t>facilities</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340.0</w:t>
            </w:r>
          </w:p>
        </w:tc>
        <w:tc>
          <w:tcPr>
            <w:tcW w:w="120" w:type="dxa"/>
            <w:vAlign w:val="bottom"/>
          </w:tcPr>
          <w:p>
            <w:pPr>
              <w:spacing w:after="0"/>
              <w:rPr>
                <w:sz w:val="18"/>
                <w:szCs w:val="18"/>
                <w:color w:val="auto"/>
              </w:rPr>
            </w:pPr>
          </w:p>
        </w:tc>
      </w:tr>
      <w:tr>
        <w:trPr>
          <w:trHeight w:val="218"/>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51.9</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current liabilities</w:t>
            </w:r>
          </w:p>
        </w:tc>
        <w:tc>
          <w:tcPr>
            <w:tcW w:w="12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w:t>
            </w:r>
          </w:p>
        </w:tc>
        <w:tc>
          <w:tcPr>
            <w:tcW w:w="3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w:t>
            </w:r>
          </w:p>
        </w:tc>
        <w:tc>
          <w:tcPr>
            <w:tcW w:w="120" w:type="dxa"/>
            <w:vAlign w:val="bottom"/>
            <w:tcBorders>
              <w:bottom w:val="single" w:sz="8" w:color="CFF0FC"/>
            </w:tcBorders>
          </w:tcPr>
          <w:p>
            <w:pPr>
              <w:spacing w:after="0"/>
              <w:rPr>
                <w:sz w:val="18"/>
                <w:szCs w:val="18"/>
                <w:color w:val="auto"/>
              </w:rPr>
            </w:pPr>
          </w:p>
        </w:tc>
      </w:tr>
      <w:tr>
        <w:trPr>
          <w:trHeight w:val="210"/>
        </w:trPr>
        <w:tc>
          <w:tcPr>
            <w:tcW w:w="51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Current Liabilities</w:t>
            </w:r>
          </w:p>
        </w:tc>
        <w:tc>
          <w:tcPr>
            <w:tcW w:w="124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506.2</w:t>
            </w:r>
          </w:p>
        </w:tc>
        <w:tc>
          <w:tcPr>
            <w:tcW w:w="34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838.5</w:t>
            </w:r>
          </w:p>
        </w:tc>
        <w:tc>
          <w:tcPr>
            <w:tcW w:w="120" w:type="dxa"/>
            <w:vAlign w:val="bottom"/>
            <w:shd w:val="clear" w:color="auto" w:fill="CFF0FC"/>
          </w:tcPr>
          <w:p>
            <w:pPr>
              <w:spacing w:after="0"/>
              <w:rPr>
                <w:sz w:val="18"/>
                <w:szCs w:val="18"/>
                <w:color w:val="auto"/>
              </w:rPr>
            </w:pPr>
          </w:p>
        </w:tc>
      </w:tr>
      <w:tr>
        <w:trPr>
          <w:trHeight w:val="209"/>
        </w:trPr>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2,625.2</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2,433.6</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Deferred income taxes, net</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760.4</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733.0</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Noncurrent operating lease liabilities</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422.3</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433.9</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liabilities</w:t>
            </w:r>
          </w:p>
        </w:tc>
        <w:tc>
          <w:tcPr>
            <w:tcW w:w="12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362.4</w:t>
            </w:r>
          </w:p>
        </w:tc>
        <w:tc>
          <w:tcPr>
            <w:tcW w:w="3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339.3</w:t>
            </w:r>
          </w:p>
        </w:tc>
        <w:tc>
          <w:tcPr>
            <w:tcW w:w="120" w:type="dxa"/>
            <w:vAlign w:val="bottom"/>
            <w:tcBorders>
              <w:bottom w:val="single" w:sz="8" w:color="CFF0FC"/>
            </w:tcBorders>
          </w:tcPr>
          <w:p>
            <w:pPr>
              <w:spacing w:after="0"/>
              <w:rPr>
                <w:sz w:val="18"/>
                <w:szCs w:val="18"/>
                <w:color w:val="auto"/>
              </w:rPr>
            </w:pPr>
          </w:p>
        </w:tc>
      </w:tr>
      <w:tr>
        <w:trPr>
          <w:trHeight w:val="210"/>
        </w:trPr>
        <w:tc>
          <w:tcPr>
            <w:tcW w:w="51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Liabilities</w:t>
            </w:r>
          </w:p>
        </w:tc>
        <w:tc>
          <w:tcPr>
            <w:tcW w:w="124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4,676.5</w:t>
            </w:r>
          </w:p>
        </w:tc>
        <w:tc>
          <w:tcPr>
            <w:tcW w:w="34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4,778.3</w:t>
            </w:r>
          </w:p>
        </w:tc>
        <w:tc>
          <w:tcPr>
            <w:tcW w:w="120" w:type="dxa"/>
            <w:vAlign w:val="bottom"/>
            <w:shd w:val="clear" w:color="auto" w:fill="CFF0FC"/>
          </w:tcPr>
          <w:p>
            <w:pPr>
              <w:spacing w:after="0"/>
              <w:rPr>
                <w:sz w:val="18"/>
                <w:szCs w:val="18"/>
                <w:color w:val="auto"/>
              </w:rPr>
            </w:pPr>
          </w:p>
        </w:tc>
      </w:tr>
      <w:tr>
        <w:trPr>
          <w:trHeight w:val="209"/>
        </w:trPr>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Equity:</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Common stock, par value $0.01 per share</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0.6</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par value $0.01 per share</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3,433.9</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3,418.8</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Accumulated other comprehensive loss</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(138.6)</w:t>
            </w:r>
          </w:p>
        </w:tc>
        <w:tc>
          <w:tcPr>
            <w:tcW w:w="16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(145.8)</w:t>
            </w:r>
          </w:p>
        </w:tc>
      </w:tr>
      <w:tr>
        <w:trPr>
          <w:trHeight w:val="216"/>
        </w:trPr>
        <w:tc>
          <w:tcPr>
            <w:tcW w:w="5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Retained earnings</w:t>
            </w:r>
          </w:p>
        </w:tc>
        <w:tc>
          <w:tcPr>
            <w:tcW w:w="12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2,460.5</w:t>
            </w:r>
          </w:p>
        </w:tc>
        <w:tc>
          <w:tcPr>
            <w:tcW w:w="3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2,077.2</w:t>
            </w:r>
          </w:p>
        </w:tc>
        <w:tc>
          <w:tcPr>
            <w:tcW w:w="120" w:type="dxa"/>
            <w:vAlign w:val="bottom"/>
            <w:tcBorders>
              <w:bottom w:val="single" w:sz="8" w:color="CFF0FC"/>
            </w:tcBorders>
          </w:tcPr>
          <w:p>
            <w:pPr>
              <w:spacing w:after="0"/>
              <w:rPr>
                <w:sz w:val="18"/>
                <w:szCs w:val="18"/>
                <w:color w:val="auto"/>
              </w:rPr>
            </w:pPr>
          </w:p>
        </w:tc>
      </w:tr>
      <w:tr>
        <w:trPr>
          <w:trHeight w:val="209"/>
        </w:trPr>
        <w:tc>
          <w:tcPr>
            <w:tcW w:w="51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Shareholders' Equity</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5,756.4</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5,350.8</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Noncontrolling interests</w:t>
            </w:r>
          </w:p>
        </w:tc>
        <w:tc>
          <w:tcPr>
            <w:tcW w:w="12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34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FF0FC"/>
            </w:tcBorders>
          </w:tcPr>
          <w:p>
            <w:pPr>
              <w:spacing w:after="0"/>
              <w:rPr>
                <w:sz w:val="18"/>
                <w:szCs w:val="18"/>
                <w:color w:val="auto"/>
              </w:rPr>
            </w:pPr>
          </w:p>
        </w:tc>
      </w:tr>
      <w:tr>
        <w:trPr>
          <w:trHeight w:val="209"/>
        </w:trPr>
        <w:tc>
          <w:tcPr>
            <w:tcW w:w="51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Equity</w:t>
            </w:r>
          </w:p>
        </w:tc>
        <w:tc>
          <w:tcPr>
            <w:tcW w:w="124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5,758.9</w:t>
            </w:r>
          </w:p>
        </w:tc>
        <w:tc>
          <w:tcPr>
            <w:tcW w:w="34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5,353.3</w:t>
            </w:r>
          </w:p>
        </w:tc>
        <w:tc>
          <w:tcPr>
            <w:tcW w:w="120" w:type="dxa"/>
            <w:vAlign w:val="bottom"/>
            <w:shd w:val="clear" w:color="auto" w:fill="CFF0FC"/>
          </w:tcPr>
          <w:p>
            <w:pPr>
              <w:spacing w:after="0"/>
              <w:rPr>
                <w:sz w:val="18"/>
                <w:szCs w:val="18"/>
                <w:color w:val="auto"/>
              </w:rPr>
            </w:pPr>
          </w:p>
        </w:tc>
      </w:tr>
      <w:tr>
        <w:trPr>
          <w:trHeight w:val="209"/>
        </w:trPr>
        <w:tc>
          <w:tcPr>
            <w:tcW w:w="5100" w:type="dxa"/>
            <w:vAlign w:val="bottom"/>
          </w:tcPr>
          <w:p>
            <w:pPr>
              <w:ind w:left="260"/>
              <w:spacing w:after="0"/>
              <w:rPr>
                <w:sz w:val="20"/>
                <w:szCs w:val="20"/>
                <w:color w:val="auto"/>
              </w:rPr>
            </w:pPr>
            <w:r>
              <w:rPr>
                <w:rFonts w:ascii="Arial" w:cs="Arial" w:eastAsia="Arial" w:hAnsi="Arial"/>
                <w:sz w:val="17"/>
                <w:szCs w:val="17"/>
                <w:color w:val="auto"/>
              </w:rPr>
              <w:t>Total Liabilities and Equity</w:t>
            </w:r>
          </w:p>
        </w:tc>
        <w:tc>
          <w:tcPr>
            <w:tcW w:w="1240" w:type="dxa"/>
            <w:vAlign w:val="bottom"/>
          </w:tcPr>
          <w:p>
            <w:pPr>
              <w:spacing w:after="0"/>
              <w:rPr>
                <w:sz w:val="18"/>
                <w:szCs w:val="18"/>
                <w:color w:val="auto"/>
              </w:rPr>
            </w:pPr>
          </w:p>
        </w:tc>
        <w:tc>
          <w:tcPr>
            <w:tcW w:w="1600" w:type="dxa"/>
            <w:vAlign w:val="bottom"/>
            <w:tcBorders>
              <w:bottom w:val="single" w:sz="8" w:color="auto"/>
            </w:tcBorders>
          </w:tcPr>
          <w:p>
            <w:pPr>
              <w:jc w:val="right"/>
              <w:ind w:right="14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10,435.4</w:t>
            </w:r>
          </w:p>
        </w:tc>
        <w:tc>
          <w:tcPr>
            <w:tcW w:w="340" w:type="dxa"/>
            <w:vAlign w:val="bottom"/>
          </w:tcPr>
          <w:p>
            <w:pPr>
              <w:spacing w:after="0"/>
              <w:rPr>
                <w:sz w:val="18"/>
                <w:szCs w:val="18"/>
                <w:color w:val="auto"/>
              </w:rPr>
            </w:pPr>
          </w:p>
        </w:tc>
        <w:tc>
          <w:tcPr>
            <w:tcW w:w="1600" w:type="dxa"/>
            <w:vAlign w:val="bottom"/>
            <w:tcBorders>
              <w:bottom w:val="single" w:sz="8" w:color="auto"/>
            </w:tcBorders>
          </w:tcPr>
          <w:p>
            <w:pPr>
              <w:jc w:val="right"/>
              <w:ind w:right="144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10,131.6</w:t>
            </w:r>
          </w:p>
        </w:tc>
        <w:tc>
          <w:tcPr>
            <w:tcW w:w="12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7"/>
          </w:tcPr>
          <w:p>
            <w:pPr>
              <w:jc w:val="right"/>
              <w:ind w:right="180"/>
              <w:spacing w:after="0"/>
              <w:rPr>
                <w:sz w:val="20"/>
                <w:szCs w:val="20"/>
                <w:color w:val="auto"/>
              </w:rPr>
            </w:pPr>
            <w:r>
              <w:rPr>
                <w:rFonts w:ascii="Arial" w:cs="Arial" w:eastAsia="Arial" w:hAnsi="Arial"/>
                <w:sz w:val="18"/>
                <w:szCs w:val="18"/>
                <w:i w:val="1"/>
                <w:iCs w:val="1"/>
                <w:color w:val="auto"/>
                <w:w w:val="93"/>
              </w:rPr>
              <w:t>(In Millions, Except Per Share Data)</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1,240.7</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1,323.2</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3,321.2</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and expenses,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Arial" w:cs="Arial" w:eastAsia="Arial" w:hAnsi="Arial"/>
                <w:sz w:val="18"/>
                <w:szCs w:val="18"/>
                <w:color w:val="auto"/>
              </w:rPr>
              <w:t>Earnings before income tax expense</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attributable to noncontrolling</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Consolidated Comprehensive Earnings: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attributable to Martin Marietta Materials, Inc.</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Earnings attributable to noncontrolling interests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 Common Share: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500"/>
              <w:spacing w:after="0"/>
              <w:rPr>
                <w:sz w:val="20"/>
                <w:szCs w:val="20"/>
                <w:color w:val="auto"/>
              </w:rPr>
            </w:pPr>
            <w:r>
              <w:rPr>
                <w:rFonts w:ascii="Arial" w:cs="Arial" w:eastAsia="Arial" w:hAnsi="Arial"/>
                <w:sz w:val="18"/>
                <w:szCs w:val="18"/>
                <w:color w:val="auto"/>
              </w:rPr>
              <w:t>Basic attributable to common shareholders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3"/>
                <w:szCs w:val="23"/>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23"/>
                <w:szCs w:val="23"/>
                <w:color w:val="auto"/>
              </w:rPr>
            </w:pPr>
          </w:p>
        </w:tc>
        <w:tc>
          <w:tcPr>
            <w:tcW w:w="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 attributable to common shareholders</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Nine Months Ended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8"/>
              </w:rPr>
              <w:t>(Dollars in Millions)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earnings</w:t>
            </w:r>
          </w:p>
        </w:tc>
        <w:tc>
          <w:tcPr>
            <w:tcW w:w="1020" w:type="dxa"/>
            <w:vAlign w:val="bottom"/>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4950"/>
              <w:spacing w:after="0"/>
              <w:rPr>
                <w:sz w:val="20"/>
                <w:szCs w:val="20"/>
                <w:color w:val="auto"/>
              </w:rPr>
            </w:pPr>
            <w:r>
              <w:rPr>
                <w:rFonts w:ascii="Arial" w:cs="Arial" w:eastAsia="Arial" w:hAnsi="Arial"/>
                <w:sz w:val="18"/>
                <w:szCs w:val="18"/>
                <w:color w:val="auto"/>
                <w:w w:val="97"/>
              </w:rPr>
              <w:t>provided by operating activities: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depletion and amortization</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divestitures and sales of assets</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(71.2)</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of</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4950"/>
              <w:spacing w:after="0"/>
              <w:rPr>
                <w:sz w:val="20"/>
                <w:szCs w:val="20"/>
                <w:color w:val="auto"/>
              </w:rPr>
            </w:pPr>
            <w:r>
              <w:rPr>
                <w:rFonts w:ascii="Arial" w:cs="Arial" w:eastAsia="Arial" w:hAnsi="Arial"/>
                <w:sz w:val="18"/>
                <w:szCs w:val="18"/>
                <w:color w:val="auto"/>
              </w:rPr>
              <w:t>acquisitions and divestitures: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(104.5)</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29"/>
        </w:trPr>
        <w:tc>
          <w:tcPr>
            <w:tcW w:w="752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500"/>
              <w:spacing w:after="0"/>
              <w:rPr>
                <w:sz w:val="20"/>
                <w:szCs w:val="20"/>
                <w:color w:val="auto"/>
              </w:rPr>
            </w:pPr>
            <w:r>
              <w:rPr>
                <w:rFonts w:ascii="Arial" w:cs="Arial" w:eastAsia="Arial" w:hAnsi="Arial"/>
                <w:sz w:val="18"/>
                <w:szCs w:val="18"/>
                <w:color w:val="auto"/>
              </w:rPr>
              <w:t>Other assets and liabilities, net</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684.0</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(250.8)</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net</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(64.0)</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Proceeds from divestitures and sales of assets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life insurance contracts, net</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(12.7)</w:t>
            </w: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Other investing activities, net</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(191.7)</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Borrowings of debt</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628.1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Repayments of debt</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(777.0)</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Payments on financing leases</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Distributions to owners of noncontrolling interest</w:t>
            </w:r>
          </w:p>
        </w:tc>
        <w:tc>
          <w:tcPr>
            <w:tcW w:w="10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Shares withheld for employees' income tax obligations</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for Financing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(319.6)</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20" w:type="dxa"/>
            <w:vAlign w:val="bottom"/>
            <w:tcBorders>
              <w:bottom w:val="single" w:sz="8" w:color="auto"/>
            </w:tcBorders>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color w:val="auto"/>
                <w:w w:val="98"/>
              </w:rPr>
              <w:t>Additional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Common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Paid-</w:t>
            </w: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Comprehensive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Retained</w:t>
            </w: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Shareholders'</w:t>
            </w: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Stock</w:t>
            </w:r>
          </w:p>
        </w:tc>
        <w:tc>
          <w:tcPr>
            <w:tcW w:w="200" w:type="dxa"/>
            <w:vAlign w:val="bottom"/>
          </w:tcPr>
          <w:p>
            <w:pPr>
              <w:spacing w:after="0"/>
              <w:rPr>
                <w:sz w:val="20"/>
                <w:szCs w:val="20"/>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in Capital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Earnings</w:t>
            </w: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Equity</w:t>
            </w: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$ 2,201.7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Consolidated net earnings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9"/>
                <w:szCs w:val="19"/>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Dividends declared ($0.57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per share)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195"/>
        </w:trPr>
        <w:tc>
          <w:tcPr>
            <w:tcW w:w="238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rPr>
              <w:t>Balance at September 30,</w:t>
            </w: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3,433.9</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(138.6)</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$ 2,460.5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5,756.4</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5,758.9</w:t>
            </w:r>
          </w:p>
        </w:tc>
        <w:tc>
          <w:tcPr>
            <w:tcW w:w="100" w:type="dxa"/>
            <w:vAlign w:val="bottom"/>
            <w:shd w:val="clear" w:color="auto" w:fill="CFF0FC"/>
          </w:tcPr>
          <w:p>
            <w:pPr>
              <w:spacing w:after="0"/>
              <w:rPr>
                <w:sz w:val="20"/>
                <w:szCs w:val="20"/>
                <w:color w:val="auto"/>
              </w:rPr>
            </w:pPr>
          </w:p>
        </w:tc>
      </w:tr>
      <w:tr>
        <w:trPr>
          <w:trHeight w:val="20"/>
        </w:trPr>
        <w:tc>
          <w:tcPr>
            <w:tcW w:w="2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3,418.8</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(145.8)</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$ 2,077.2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5,350.8</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5,353.3</w:t>
            </w:r>
          </w:p>
        </w:tc>
        <w:tc>
          <w:tcPr>
            <w:tcW w:w="100" w:type="dxa"/>
            <w:vAlign w:val="bottom"/>
            <w:shd w:val="clear" w:color="auto" w:fill="CFF0FC"/>
          </w:tcPr>
          <w:p>
            <w:pPr>
              <w:spacing w:after="0"/>
              <w:rPr>
                <w:sz w:val="20"/>
                <w:szCs w:val="20"/>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Consolidated net earnings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19"/>
                <w:szCs w:val="19"/>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Dividends declared ($1.67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per share)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(104.7)</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income tax obligations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Repurchases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w:t>
            </w: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r>
      <w:tr>
        <w:trPr>
          <w:trHeight w:val="195"/>
        </w:trPr>
        <w:tc>
          <w:tcPr>
            <w:tcW w:w="238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rPr>
              <w:t>Balance at September 30,</w:t>
            </w: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3,433.9</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(138.6)</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$ 2,460.5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5,756.4</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5,758.9</w:t>
            </w:r>
          </w:p>
        </w:tc>
        <w:tc>
          <w:tcPr>
            <w:tcW w:w="100" w:type="dxa"/>
            <w:vAlign w:val="bottom"/>
            <w:shd w:val="clear" w:color="auto" w:fill="CFF0FC"/>
          </w:tcPr>
          <w:p>
            <w:pPr>
              <w:spacing w:after="0"/>
              <w:rPr>
                <w:sz w:val="20"/>
                <w:szCs w:val="20"/>
                <w:color w:val="auto"/>
              </w:rPr>
            </w:pPr>
          </w:p>
        </w:tc>
      </w:tr>
      <w:tr>
        <w:trPr>
          <w:trHeight w:val="20"/>
        </w:trPr>
        <w:tc>
          <w:tcPr>
            <w:tcW w:w="2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both"/>
        <w:ind w:left="2480" w:right="2460" w:firstLine="11"/>
        <w:spacing w:after="0" w:line="308" w:lineRule="auto"/>
        <w:rPr>
          <w:sz w:val="20"/>
          <w:szCs w:val="20"/>
          <w:color w:val="auto"/>
        </w:rPr>
      </w:pPr>
      <w:r>
        <w:rPr>
          <w:rFonts w:ascii="Arial" w:cs="Arial" w:eastAsia="Arial" w:hAnsi="Arial"/>
          <w:sz w:val="17"/>
          <w:szCs w:val="17"/>
          <w:color w:val="auto"/>
        </w:rPr>
        <w:t>MARTIN MARIETTA MATERIALS, INC. AND CONSOLIDATED SUBSIDIARIES (UNAUDITED) CONSOLIDATED STATEMENTS OF TOTAL EQUITY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5"/>
              </w:rPr>
              <w:t>Common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Paid-</w:t>
            </w:r>
          </w:p>
        </w:tc>
        <w:tc>
          <w:tcPr>
            <w:tcW w:w="8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Accumulated Other</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Retained</w:t>
            </w:r>
          </w:p>
        </w:tc>
        <w:tc>
          <w:tcPr>
            <w:tcW w:w="1240" w:type="dxa"/>
            <w:vAlign w:val="bottom"/>
            <w:gridSpan w:val="4"/>
          </w:tcPr>
          <w:p>
            <w:pPr>
              <w:ind w:left="60"/>
              <w:spacing w:after="0"/>
              <w:rPr>
                <w:sz w:val="20"/>
                <w:szCs w:val="20"/>
                <w:color w:val="auto"/>
              </w:rPr>
            </w:pPr>
            <w:r>
              <w:rPr>
                <w:rFonts w:ascii="Arial" w:cs="Arial" w:eastAsia="Arial" w:hAnsi="Arial"/>
                <w:sz w:val="18"/>
                <w:szCs w:val="18"/>
                <w:color w:val="auto"/>
              </w:rPr>
              <w:t>Shareholders'</w:t>
            </w:r>
          </w:p>
        </w:tc>
        <w:tc>
          <w:tcPr>
            <w:tcW w:w="152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Total</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Stock</w:t>
            </w:r>
          </w:p>
        </w:tc>
        <w:tc>
          <w:tcPr>
            <w:tcW w:w="180" w:type="dxa"/>
            <w:vAlign w:val="bottom"/>
          </w:tcPr>
          <w:p>
            <w:pPr>
              <w:spacing w:after="0"/>
              <w:rPr>
                <w:sz w:val="20"/>
                <w:szCs w:val="20"/>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in Capital</w:t>
            </w:r>
          </w:p>
        </w:tc>
        <w:tc>
          <w:tcPr>
            <w:tcW w:w="1780" w:type="dxa"/>
            <w:vAlign w:val="bottom"/>
            <w:gridSpan w:val="4"/>
          </w:tcPr>
          <w:p>
            <w:pPr>
              <w:jc w:val="right"/>
              <w:ind w:right="200"/>
              <w:spacing w:after="0"/>
              <w:rPr>
                <w:sz w:val="20"/>
                <w:szCs w:val="20"/>
                <w:color w:val="auto"/>
              </w:rPr>
            </w:pPr>
            <w:r>
              <w:rPr>
                <w:rFonts w:ascii="Arial" w:cs="Arial" w:eastAsia="Arial" w:hAnsi="Arial"/>
                <w:sz w:val="18"/>
                <w:szCs w:val="18"/>
                <w:color w:val="auto"/>
                <w:w w:val="92"/>
              </w:rPr>
              <w:t>Comprehensive Loss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Earnings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0"/>
                <w:szCs w:val="2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Interests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Equity</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Balance at June 30, 2019</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ind w:right="39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$ 1,815.0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5,094.9</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5,097.3</w:t>
            </w:r>
          </w:p>
        </w:tc>
        <w:tc>
          <w:tcPr>
            <w:tcW w:w="80" w:type="dxa"/>
            <w:vAlign w:val="bottom"/>
          </w:tcPr>
          <w:p>
            <w:pPr>
              <w:spacing w:after="0"/>
              <w:rPr>
                <w:sz w:val="19"/>
                <w:szCs w:val="19"/>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Consolidated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248.6</w:t>
            </w:r>
          </w:p>
        </w:tc>
        <w:tc>
          <w:tcPr>
            <w:tcW w:w="80" w:type="dxa"/>
            <w:vAlign w:val="bottom"/>
          </w:tcPr>
          <w:p>
            <w:pPr>
              <w:spacing w:after="0"/>
              <w:rPr>
                <w:sz w:val="20"/>
                <w:szCs w:val="20"/>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20"/>
                <w:szCs w:val="20"/>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Dividends declared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($0.55 per share)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20"/>
                <w:szCs w:val="20"/>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ind w:left="380"/>
              <w:spacing w:after="0"/>
              <w:rPr>
                <w:sz w:val="20"/>
                <w:szCs w:val="20"/>
                <w:color w:val="auto"/>
              </w:rPr>
            </w:pPr>
            <w:r>
              <w:rPr>
                <w:rFonts w:ascii="Arial" w:cs="Arial" w:eastAsia="Arial" w:hAnsi="Arial"/>
                <w:sz w:val="18"/>
                <w:szCs w:val="18"/>
                <w:color w:val="auto"/>
              </w:rPr>
              <w:t>income tax</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obligations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Repurchases of</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Stock-based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compensation expense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r>
      <w:tr>
        <w:trPr>
          <w:trHeight w:val="195"/>
        </w:trPr>
        <w:tc>
          <w:tcPr>
            <w:tcW w:w="216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rPr>
              <w:t>Balance at September 30,</w:t>
            </w: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30"/>
        </w:trPr>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3,414.5</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39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(134.8)</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$ 2,021.7</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5,302.0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5,304.4</w:t>
            </w:r>
          </w:p>
        </w:tc>
        <w:tc>
          <w:tcPr>
            <w:tcW w:w="80" w:type="dxa"/>
            <w:vAlign w:val="bottom"/>
            <w:shd w:val="clear" w:color="auto" w:fill="CFF0FC"/>
          </w:tcPr>
          <w:p>
            <w:pPr>
              <w:spacing w:after="0"/>
              <w:rPr>
                <w:sz w:val="20"/>
                <w:szCs w:val="20"/>
                <w:color w:val="auto"/>
              </w:rPr>
            </w:pPr>
          </w:p>
        </w:tc>
      </w:tr>
      <w:tr>
        <w:trPr>
          <w:trHeight w:val="20"/>
        </w:trPr>
        <w:tc>
          <w:tcPr>
            <w:tcW w:w="1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210"/>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3,396.1</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39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(143.6)</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$ 1,693.3</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4,946.4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4,949.4</w:t>
            </w:r>
          </w:p>
        </w:tc>
        <w:tc>
          <w:tcPr>
            <w:tcW w:w="80" w:type="dxa"/>
            <w:vAlign w:val="bottom"/>
            <w:shd w:val="clear" w:color="auto" w:fill="CFF0FC"/>
          </w:tcPr>
          <w:p>
            <w:pPr>
              <w:spacing w:after="0"/>
              <w:rPr>
                <w:sz w:val="20"/>
                <w:szCs w:val="20"/>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Consolidated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480.9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480.9</w:t>
            </w:r>
          </w:p>
        </w:tc>
        <w:tc>
          <w:tcPr>
            <w:tcW w:w="80" w:type="dxa"/>
            <w:vAlign w:val="bottom"/>
          </w:tcPr>
          <w:p>
            <w:pPr>
              <w:spacing w:after="0"/>
              <w:rPr>
                <w:sz w:val="20"/>
                <w:szCs w:val="20"/>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20"/>
                <w:szCs w:val="20"/>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Dividends declared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($1.51 per share)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(95.2)</w:t>
            </w: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20"/>
                <w:szCs w:val="20"/>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income tax</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obligations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Repurchases of</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(57.3)</w:t>
            </w: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Stock-based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compensation expense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20"/>
                <w:szCs w:val="20"/>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Distributions to owners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of</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noncontrolling</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r>
      <w:tr>
        <w:trPr>
          <w:trHeight w:val="195"/>
        </w:trPr>
        <w:tc>
          <w:tcPr>
            <w:tcW w:w="2160" w:type="dxa"/>
            <w:vAlign w:val="bottom"/>
            <w:gridSpan w:val="2"/>
          </w:tcPr>
          <w:p>
            <w:pPr>
              <w:spacing w:after="0" w:line="195" w:lineRule="exact"/>
              <w:rPr>
                <w:sz w:val="20"/>
                <w:szCs w:val="20"/>
                <w:color w:val="auto"/>
              </w:rPr>
            </w:pPr>
            <w:r>
              <w:rPr>
                <w:rFonts w:ascii="Arial" w:cs="Arial" w:eastAsia="Arial" w:hAnsi="Arial"/>
                <w:sz w:val="18"/>
                <w:szCs w:val="18"/>
                <w:color w:val="auto"/>
              </w:rPr>
              <w:t>Balance at September 30,</w:t>
            </w: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3,414.5</w:t>
            </w:r>
          </w:p>
        </w:tc>
        <w:tc>
          <w:tcPr>
            <w:tcW w:w="120" w:type="dxa"/>
            <w:vAlign w:val="bottom"/>
          </w:tcPr>
          <w:p>
            <w:pPr>
              <w:spacing w:after="0"/>
              <w:rPr>
                <w:sz w:val="20"/>
                <w:szCs w:val="20"/>
                <w:color w:val="auto"/>
              </w:rPr>
            </w:pPr>
          </w:p>
        </w:tc>
        <w:tc>
          <w:tcPr>
            <w:tcW w:w="64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(134.8)</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$ 2,021.7</w:t>
            </w:r>
          </w:p>
        </w:tc>
        <w:tc>
          <w:tcPr>
            <w:tcW w:w="140" w:type="dxa"/>
            <w:vAlign w:val="bottom"/>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5,304.4</w:t>
            </w:r>
          </w:p>
        </w:tc>
        <w:tc>
          <w:tcPr>
            <w:tcW w:w="80" w:type="dxa"/>
            <w:vAlign w:val="bottom"/>
          </w:tcPr>
          <w:p>
            <w:pPr>
              <w:spacing w:after="0"/>
              <w:rPr>
                <w:sz w:val="20"/>
                <w:szCs w:val="20"/>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5" w:lineRule="exact"/>
        <w:rPr>
          <w:sz w:val="20"/>
          <w:szCs w:val="20"/>
          <w:color w:val="auto"/>
        </w:rPr>
      </w:pPr>
    </w:p>
    <w:p>
      <w:pPr>
        <w:ind w:left="380" w:right="8260" w:hanging="372"/>
        <w:spacing w:after="0" w:line="355" w:lineRule="auto"/>
        <w:tabs>
          <w:tab w:leader="none" w:pos="37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Martin Marietta Materials, Inc. (the Company or Martin Marietta) is a natural resource-based building materials company. The Company supplies aggregates (crushed stone, sand and gravel) through its network of approximately 290 quarries, mines and distribution yards in 27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88"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Effective July 1, 2020, the Company made organizational changes, including consolidating its operational management and operating divisions, in connection with the retirement of two senior executives as of the end of the second quarter. Notably, the Mid-Atlantic Division and Southeast Division have been combined into the newly formed East Division. Additionally, the Southwest Aggregates Division and the Cement and Southwest Ready Mix Division have been combined into the newly formed Southwest Division. Subsequent to these changes, the Building Materials business consists of four divisions, which also includes the Central and West Divisions. Each division, as well as the Magnesia Specialties business, represents an operating segment.</w:t>
      </w:r>
    </w:p>
    <w:p>
      <w:pPr>
        <w:spacing w:after="0" w:line="70"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color w:val="auto"/>
        </w:rPr>
        <w:t>The Company’s Building Materials business includes two reportable segments: the East Group and the West Group. The East Group, whose operations were previously reported in the Mid-America and Southeast Groups, consists of the East and Central Divisions. Prior-period reportable segment information for the Mid-America and Southeast Groups has been combined into the East Group. The West Group, which reflects no changes in operations included in this reportable segment, is comprised of the Southwest and West Divisions. There are no changes to the Magnesia Specialties reportable segment.</w:t>
      </w:r>
    </w:p>
    <w:p>
      <w:pPr>
        <w:spacing w:after="0" w:line="72"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Effective January 1, 2020, the Company moved the management of its one quarry in the state of Washington from the East Group to the West Group, resulting in an immaterial change to its reportable segments.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39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88"/>
              </w:rPr>
              <w:t>East Group</w:t>
            </w: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West Group</w:t>
            </w:r>
          </w:p>
        </w:tc>
      </w:tr>
      <w:tr>
        <w:trPr>
          <w:trHeight w:val="206"/>
        </w:trPr>
        <w:tc>
          <w:tcPr>
            <w:tcW w:w="31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80" w:type="dxa"/>
            <w:vAlign w:val="bottom"/>
          </w:tcPr>
          <w:p>
            <w:pPr>
              <w:spacing w:after="0"/>
              <w:rPr>
                <w:sz w:val="17"/>
                <w:szCs w:val="17"/>
                <w:color w:val="auto"/>
              </w:rPr>
            </w:pPr>
          </w:p>
        </w:tc>
        <w:tc>
          <w:tcPr>
            <w:tcW w:w="37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 Indiana, Iowa,</w:t>
            </w:r>
          </w:p>
        </w:tc>
        <w:tc>
          <w:tcPr>
            <w:tcW w:w="180" w:type="dxa"/>
            <w:vAlign w:val="bottom"/>
          </w:tcPr>
          <w:p>
            <w:pPr>
              <w:spacing w:after="0"/>
              <w:rPr>
                <w:sz w:val="17"/>
                <w:szCs w:val="17"/>
                <w:color w:val="auto"/>
              </w:rPr>
            </w:pPr>
          </w:p>
        </w:tc>
        <w:tc>
          <w:tcPr>
            <w:tcW w:w="40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Louisiana, western</w:t>
            </w: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180"/>
              <w:spacing w:after="0"/>
              <w:rPr>
                <w:sz w:val="20"/>
                <w:szCs w:val="20"/>
                <w:color w:val="auto"/>
              </w:rPr>
            </w:pPr>
            <w:r>
              <w:rPr>
                <w:rFonts w:ascii="Arial" w:cs="Arial" w:eastAsia="Arial" w:hAnsi="Arial"/>
                <w:sz w:val="20"/>
                <w:szCs w:val="20"/>
                <w:color w:val="auto"/>
                <w:w w:val="90"/>
              </w:rPr>
              <w:t>Kansas, Kentucky, Maryland, Minnesota,</w:t>
            </w:r>
          </w:p>
        </w:tc>
        <w:tc>
          <w:tcPr>
            <w:tcW w:w="4000" w:type="dxa"/>
            <w:vAlign w:val="bottom"/>
          </w:tcPr>
          <w:p>
            <w:pPr>
              <w:jc w:val="center"/>
              <w:spacing w:after="0"/>
              <w:rPr>
                <w:sz w:val="20"/>
                <w:szCs w:val="20"/>
                <w:color w:val="auto"/>
              </w:rPr>
            </w:pPr>
            <w:r>
              <w:rPr>
                <w:rFonts w:ascii="Arial" w:cs="Arial" w:eastAsia="Arial" w:hAnsi="Arial"/>
                <w:sz w:val="20"/>
                <w:szCs w:val="20"/>
                <w:color w:val="auto"/>
                <w:w w:val="88"/>
              </w:rPr>
              <w:t>Nebraska, Nevada, Oklahoma, Texas, Utah,</w:t>
            </w: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ind w:left="1160"/>
              <w:spacing w:after="0"/>
              <w:rPr>
                <w:sz w:val="20"/>
                <w:szCs w:val="20"/>
                <w:color w:val="auto"/>
              </w:rPr>
            </w:pPr>
            <w:r>
              <w:rPr>
                <w:rFonts w:ascii="Arial" w:cs="Arial" w:eastAsia="Arial" w:hAnsi="Arial"/>
                <w:sz w:val="20"/>
                <w:szCs w:val="20"/>
                <w:color w:val="auto"/>
              </w:rPr>
              <w:t>Missouri, eastern</w:t>
            </w:r>
          </w:p>
        </w:tc>
        <w:tc>
          <w:tcPr>
            <w:tcW w:w="4000" w:type="dxa"/>
            <w:vAlign w:val="bottom"/>
          </w:tcPr>
          <w:p>
            <w:pPr>
              <w:jc w:val="center"/>
              <w:spacing w:after="0"/>
              <w:rPr>
                <w:sz w:val="20"/>
                <w:szCs w:val="20"/>
                <w:color w:val="auto"/>
              </w:rPr>
            </w:pPr>
            <w:r>
              <w:rPr>
                <w:rFonts w:ascii="Arial" w:cs="Arial" w:eastAsia="Arial" w:hAnsi="Arial"/>
                <w:sz w:val="20"/>
                <w:szCs w:val="20"/>
                <w:color w:val="auto"/>
                <w:w w:val="90"/>
              </w:rPr>
              <w:t>Washington and Wyoming</w:t>
            </w: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90"/>
              </w:rPr>
              <w:t>Nebraska, North Carolina, Ohio,</w:t>
            </w:r>
          </w:p>
        </w:tc>
        <w:tc>
          <w:tcPr>
            <w:tcW w:w="4000" w:type="dxa"/>
            <w:vAlign w:val="bottom"/>
          </w:tcPr>
          <w:p>
            <w:pPr>
              <w:spacing w:after="0"/>
              <w:rPr>
                <w:sz w:val="19"/>
                <w:szCs w:val="19"/>
                <w:color w:val="auto"/>
              </w:rPr>
            </w:pPr>
          </w:p>
        </w:tc>
      </w:tr>
      <w:tr>
        <w:trPr>
          <w:trHeight w:val="229"/>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87"/>
              </w:rPr>
              <w:t>Pennsylvania, South Carolina, Tennessee,</w:t>
            </w:r>
          </w:p>
        </w:tc>
        <w:tc>
          <w:tcPr>
            <w:tcW w:w="400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90"/>
              </w:rPr>
              <w:t>Virginia, West Virginia, Nova Scotia and The</w:t>
            </w:r>
          </w:p>
        </w:tc>
        <w:tc>
          <w:tcPr>
            <w:tcW w:w="4000" w:type="dxa"/>
            <w:vAlign w:val="bottom"/>
          </w:tcPr>
          <w:p>
            <w:pPr>
              <w:spacing w:after="0"/>
              <w:rPr>
                <w:sz w:val="19"/>
                <w:szCs w:val="19"/>
                <w:color w:val="auto"/>
              </w:rPr>
            </w:pP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2"/>
          </w:tcPr>
          <w:p>
            <w:pPr>
              <w:jc w:val="center"/>
              <w:ind w:right="180"/>
              <w:spacing w:after="0"/>
              <w:rPr>
                <w:sz w:val="20"/>
                <w:szCs w:val="20"/>
                <w:color w:val="auto"/>
              </w:rPr>
            </w:pPr>
            <w:r>
              <w:rPr>
                <w:rFonts w:ascii="Arial" w:cs="Arial" w:eastAsia="Arial" w:hAnsi="Arial"/>
                <w:sz w:val="20"/>
                <w:szCs w:val="20"/>
                <w:color w:val="auto"/>
                <w:w w:val="85"/>
              </w:rPr>
              <w:t>Bahamas</w:t>
            </w:r>
          </w:p>
        </w:tc>
        <w:tc>
          <w:tcPr>
            <w:tcW w:w="4000" w:type="dxa"/>
            <w:vAlign w:val="bottom"/>
          </w:tcPr>
          <w:p>
            <w:pPr>
              <w:spacing w:after="0"/>
              <w:rPr>
                <w:sz w:val="21"/>
                <w:szCs w:val="21"/>
                <w:color w:val="auto"/>
              </w:rPr>
            </w:pPr>
          </w:p>
        </w:tc>
      </w:tr>
      <w:tr>
        <w:trPr>
          <w:trHeight w:val="438"/>
        </w:trPr>
        <w:tc>
          <w:tcPr>
            <w:tcW w:w="3340" w:type="dxa"/>
            <w:vAlign w:val="bottom"/>
            <w:gridSpan w:val="2"/>
          </w:tcPr>
          <w:p>
            <w:pPr>
              <w:spacing w:after="0"/>
              <w:rPr>
                <w:sz w:val="20"/>
                <w:szCs w:val="20"/>
                <w:color w:val="auto"/>
              </w:rPr>
            </w:pPr>
            <w:r>
              <w:rPr>
                <w:rFonts w:ascii="Arial" w:cs="Arial" w:eastAsia="Arial" w:hAnsi="Arial"/>
                <w:sz w:val="20"/>
                <w:szCs w:val="20"/>
                <w:color w:val="auto"/>
              </w:rPr>
              <w:t>Product Lines</w:t>
            </w: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87"/>
              </w:rPr>
              <w:t>Aggregates</w:t>
            </w:r>
          </w:p>
        </w:tc>
        <w:tc>
          <w:tcPr>
            <w:tcW w:w="400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 Concrete,</w:t>
            </w: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0"/>
              </w:rPr>
              <w:t>Asphalt and Paving</w:t>
            </w:r>
          </w:p>
        </w:tc>
      </w:tr>
    </w:tbl>
    <w:p>
      <w:pPr>
        <w:spacing w:after="0" w:line="195"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Company’s Magnesia Specialties business has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 w:name="page9"/>
    <w:bookmarkEnd w:id="8"/>
    <w:p>
      <w:pPr>
        <w:jc w:val="center"/>
        <w:ind w:right="3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FORM 10-Q</w:t>
      </w:r>
    </w:p>
    <w:p>
      <w:pPr>
        <w:jc w:val="center"/>
        <w:ind w:right="380"/>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2019.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nine months ended September 30, 2020 are not necessarily indicative of the results expected for other interim periods or the full year. The consolidated balance sheet at December 31, 2019 has been derived from the audited consolidated financial 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2019.</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preparation of the Company’s consolidated financial statements requires management to make certain estimates and assumptions about future events. As future events and their effects, including the impact of the coronavirus (COVID-19) pandemic and the related responses, cannot be fully determined with precision, actual results could differ significantly from estimates. Changes in estimates are reflected in the consolidated financial statements in the period in which the change in estimate occurs.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Credit Losses</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(ASU 2016-13), which includes a current expected credit loss (CECL) model that requires an entity to estimate credit losses expected over the life of an exposure or pool of exposures based on historical information, current information and reasonable and supportable forecasts at the time the asset is recognized and is remeasured at each reporting period. ASU 2016-13 primarily relates to the Company’s receivables, but the scope also includes retainage and contract assets related to its paving business. The adoption of ASU 2016-13 did not have a material impact on the Company’s financial position or statement of earnings and comprehensive earnings. The Company amended its allowance for credit losses policy, which follows, for the implementation of ASU 2016-13.</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 records an allowance for credit losses, which includes a provision for probable losses based on historical write-offs, adjusted for current conditions as deemed necessary, and a specific reserve for accounts deemed at risk. The allowance is the Company’s estimate for receivables as of the balance sheet date that ultimately will not be collected. Any changes in the allowance are reflected in earnings in the period in which the change occurs. The Company writes-off accounts receivable when it becomes probable, based upon customer facts and circumstances, that such amounts will not be collected.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Comprehensive Earnings/Loss and Accumulated Other Comprehensive Loss</w:t>
      </w:r>
    </w:p>
    <w:p>
      <w:pPr>
        <w:spacing w:after="0" w:line="114"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Consolidated comprehensive earnings/loss and accumulated other comprehensive loss consist of consolidated net earnings or loss; adjustments for the funded status of pension and postretirement benefit plans; and foreign currency translation adjustments; and are presented in the Company’s consolidated statements of earnings and comprehensive earnings.</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Page 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78740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Comprehensive earnings attributable to Martin Marietta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00" w:type="dxa"/>
            <w:vAlign w:val="bottom"/>
          </w:tcPr>
          <w:p>
            <w:pPr>
              <w:spacing w:after="0"/>
              <w:rPr>
                <w:sz w:val="21"/>
                <w:szCs w:val="21"/>
                <w:color w:val="auto"/>
              </w:rPr>
            </w:pPr>
          </w:p>
        </w:tc>
        <w:tc>
          <w:tcPr>
            <w:tcW w:w="2840" w:type="dxa"/>
            <w:vAlign w:val="bottom"/>
            <w:gridSpan w:val="5"/>
          </w:tcPr>
          <w:p>
            <w:pPr>
              <w:jc w:val="right"/>
              <w:ind w:right="50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gridSpan w:val="5"/>
          </w:tcPr>
          <w:p>
            <w:pPr>
              <w:ind w:left="340"/>
              <w:spacing w:after="0"/>
              <w:rPr>
                <w:sz w:val="20"/>
                <w:szCs w:val="20"/>
                <w:color w:val="auto"/>
              </w:rPr>
            </w:pPr>
            <w:r>
              <w:rPr>
                <w:rFonts w:ascii="Arial" w:cs="Arial" w:eastAsia="Arial" w:hAnsi="Arial"/>
                <w:sz w:val="20"/>
                <w:szCs w:val="20"/>
                <w:color w:val="auto"/>
              </w:rPr>
              <w:t>Nine Months Ended</w:t>
            </w:r>
          </w:p>
        </w:tc>
      </w:tr>
      <w:tr>
        <w:trPr>
          <w:trHeight w:val="246"/>
        </w:trPr>
        <w:tc>
          <w:tcPr>
            <w:tcW w:w="52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85"/>
              </w:rPr>
              <w:t>September 30,</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5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5"/>
              </w:rPr>
              <w:t>2019</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5"/>
              </w:rPr>
              <w:t>2019</w:t>
            </w:r>
          </w:p>
        </w:tc>
        <w:tc>
          <w:tcPr>
            <w:tcW w:w="120" w:type="dxa"/>
            <w:vAlign w:val="bottom"/>
          </w:tcPr>
          <w:p>
            <w:pPr>
              <w:spacing w:after="0"/>
              <w:rPr>
                <w:sz w:val="20"/>
                <w:szCs w:val="20"/>
                <w:color w:val="auto"/>
              </w:rPr>
            </w:pPr>
          </w:p>
        </w:tc>
      </w:tr>
      <w:tr>
        <w:trPr>
          <w:trHeight w:val="237"/>
        </w:trPr>
        <w:tc>
          <w:tcPr>
            <w:tcW w:w="5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gridSpan w:val="4"/>
          </w:tcPr>
          <w:p>
            <w:pPr>
              <w:jc w:val="right"/>
              <w:ind w:right="501"/>
              <w:spacing w:after="0"/>
              <w:rPr>
                <w:sz w:val="20"/>
                <w:szCs w:val="20"/>
                <w:color w:val="auto"/>
              </w:rPr>
            </w:pPr>
            <w:r>
              <w:rPr>
                <w:rFonts w:ascii="Arial" w:cs="Arial" w:eastAsia="Arial" w:hAnsi="Arial"/>
                <w:sz w:val="20"/>
                <w:szCs w:val="20"/>
                <w:i w:val="1"/>
                <w:iCs w:val="1"/>
                <w:color w:val="auto"/>
              </w:rPr>
              <w:t>(Dollars in Millions)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840" w:type="dxa"/>
            <w:vAlign w:val="bottom"/>
            <w:shd w:val="clear" w:color="auto" w:fill="CFF0FC"/>
          </w:tcPr>
          <w:p>
            <w:pPr>
              <w:jc w:val="right"/>
              <w:ind w:right="641"/>
              <w:spacing w:after="0"/>
              <w:rPr>
                <w:sz w:val="20"/>
                <w:szCs w:val="20"/>
                <w:color w:val="auto"/>
              </w:rPr>
            </w:pPr>
            <w:r>
              <w:rPr>
                <w:rFonts w:ascii="Arial" w:cs="Arial" w:eastAsia="Arial" w:hAnsi="Arial"/>
                <w:sz w:val="20"/>
                <w:szCs w:val="2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294.4</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248.6</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538.0</w:t>
            </w:r>
          </w:p>
        </w:tc>
        <w:tc>
          <w:tcPr>
            <w:tcW w:w="68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480.9</w:t>
            </w:r>
          </w:p>
        </w:tc>
        <w:tc>
          <w:tcPr>
            <w:tcW w:w="120" w:type="dxa"/>
            <w:vAlign w:val="bottom"/>
            <w:shd w:val="clear" w:color="auto" w:fill="CFF0FC"/>
          </w:tcPr>
          <w:p>
            <w:pPr>
              <w:spacing w:after="0"/>
              <w:rPr>
                <w:sz w:val="21"/>
                <w:szCs w:val="21"/>
                <w:color w:val="auto"/>
              </w:rPr>
            </w:pPr>
          </w:p>
        </w:tc>
      </w:tr>
      <w:tr>
        <w:trPr>
          <w:trHeight w:val="243"/>
        </w:trPr>
        <w:tc>
          <w:tcPr>
            <w:tcW w:w="5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26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w:t>
            </w:r>
          </w:p>
        </w:tc>
        <w:tc>
          <w:tcPr>
            <w:tcW w:w="24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w:t>
            </w:r>
          </w:p>
        </w:tc>
        <w:tc>
          <w:tcPr>
            <w:tcW w:w="120" w:type="dxa"/>
            <w:vAlign w:val="bottom"/>
            <w:tcBorders>
              <w:bottom w:val="single" w:sz="8" w:color="CFF0FC"/>
            </w:tcBorders>
          </w:tcPr>
          <w:p>
            <w:pPr>
              <w:spacing w:after="0"/>
              <w:rPr>
                <w:sz w:val="21"/>
                <w:szCs w:val="21"/>
                <w:color w:val="auto"/>
              </w:rPr>
            </w:pPr>
          </w:p>
        </w:tc>
      </w:tr>
      <w:tr>
        <w:trPr>
          <w:trHeight w:val="220"/>
        </w:trPr>
        <w:tc>
          <w:tcPr>
            <w:tcW w:w="520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Comprehensive earnings attributable to Martin</w:t>
            </w: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52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Marietta</w:t>
            </w:r>
          </w:p>
        </w:tc>
        <w:tc>
          <w:tcPr>
            <w:tcW w:w="840" w:type="dxa"/>
            <w:vAlign w:val="bottom"/>
            <w:shd w:val="clear" w:color="auto" w:fill="CFF0FC"/>
          </w:tcPr>
          <w:p>
            <w:pPr>
              <w:jc w:val="right"/>
              <w:ind w:right="641"/>
              <w:spacing w:after="0"/>
              <w:rPr>
                <w:sz w:val="20"/>
                <w:szCs w:val="20"/>
                <w:color w:val="auto"/>
              </w:rPr>
            </w:pPr>
            <w:r>
              <w:rPr>
                <w:rFonts w:ascii="Arial" w:cs="Arial" w:eastAsia="Arial" w:hAnsi="Arial"/>
                <w:sz w:val="20"/>
                <w:szCs w:val="2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298.0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251.1</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545.2</w:t>
            </w:r>
          </w:p>
        </w:tc>
        <w:tc>
          <w:tcPr>
            <w:tcW w:w="68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489.7</w:t>
            </w:r>
          </w:p>
        </w:tc>
        <w:tc>
          <w:tcPr>
            <w:tcW w:w="120" w:type="dxa"/>
            <w:vAlign w:val="bottom"/>
            <w:shd w:val="clear" w:color="auto" w:fill="CFF0FC"/>
          </w:tcPr>
          <w:p>
            <w:pPr>
              <w:spacing w:after="0"/>
              <w:rPr>
                <w:sz w:val="21"/>
                <w:szCs w:val="2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9"/>
                <w:szCs w:val="19"/>
                <w:i w:val="1"/>
                <w:iCs w:val="1"/>
                <w:color w:val="auto"/>
              </w:rPr>
              <w:t>(Dollars in Millions)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1"/>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87"/>
              </w:rPr>
              <w:t>Pension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90"/>
              </w:rPr>
              <w:t>Postretirement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9"/>
                <w:szCs w:val="19"/>
                <w:color w:val="auto"/>
                <w:w w:val="89"/>
              </w:rPr>
              <w:t>Benefit Plans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9"/>
                <w:szCs w:val="19"/>
                <w:color w:val="auto"/>
                <w:w w:val="91"/>
              </w:rPr>
              <w:t>Foreign Currency</w:t>
            </w:r>
          </w:p>
        </w:tc>
        <w:tc>
          <w:tcPr>
            <w:tcW w:w="1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Loss</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00" w:type="dxa"/>
            <w:vAlign w:val="bottom"/>
            <w:tcBorders>
              <w:top w:val="single" w:sz="8" w:color="auto"/>
              <w:bottom w:val="single" w:sz="8" w:color="auto"/>
            </w:tcBorders>
            <w:gridSpan w:val="8"/>
          </w:tcPr>
          <w:p>
            <w:pPr>
              <w:jc w:val="center"/>
              <w:ind w:right="46"/>
              <w:spacing w:after="0"/>
              <w:rPr>
                <w:sz w:val="20"/>
                <w:szCs w:val="20"/>
                <w:color w:val="auto"/>
              </w:rPr>
            </w:pPr>
            <w:r>
              <w:rPr>
                <w:rFonts w:ascii="Arial" w:cs="Arial" w:eastAsia="Arial" w:hAnsi="Arial"/>
                <w:sz w:val="19"/>
                <w:szCs w:val="19"/>
                <w:color w:val="auto"/>
                <w:w w:val="89"/>
              </w:rPr>
              <w:t>Three Months Ended September 30, 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(140.0)</w:t>
            </w:r>
          </w:p>
        </w:tc>
        <w:tc>
          <w:tcPr>
            <w:tcW w:w="200" w:type="dxa"/>
            <w:vAlign w:val="bottom"/>
            <w:gridSpan w:val="2"/>
          </w:tcPr>
          <w:p>
            <w:pPr>
              <w:ind w:left="100"/>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(2.2)</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(142.2)</w:t>
            </w:r>
          </w:p>
        </w:tc>
        <w:tc>
          <w:tcPr>
            <w:tcW w:w="0" w:type="dxa"/>
            <w:vAlign w:val="bottom"/>
          </w:tcPr>
          <w:p>
            <w:pPr>
              <w:spacing w:after="0"/>
              <w:rPr>
                <w:sz w:val="1"/>
                <w:szCs w:val="1"/>
                <w:color w:val="auto"/>
              </w:rPr>
            </w:pPr>
          </w:p>
        </w:tc>
      </w:tr>
      <w:tr>
        <w:trPr>
          <w:trHeight w:val="207"/>
        </w:trPr>
        <w:tc>
          <w:tcPr>
            <w:tcW w:w="608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Other comprehensive earnings before reclassifications,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0FC"/>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Arial" w:cs="Arial" w:eastAsia="Arial" w:hAnsi="Arial"/>
                <w:sz w:val="19"/>
                <w:szCs w:val="19"/>
                <w:color w:val="auto"/>
              </w:rPr>
              <w:t>comprehensive earnings, net of tax</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(136.9)</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(1.7)</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(138.6)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8"/>
          </w:tcPr>
          <w:p>
            <w:pPr>
              <w:jc w:val="center"/>
              <w:ind w:right="46"/>
              <w:spacing w:after="0"/>
              <w:rPr>
                <w:sz w:val="20"/>
                <w:szCs w:val="20"/>
                <w:color w:val="auto"/>
              </w:rPr>
            </w:pPr>
            <w:r>
              <w:rPr>
                <w:rFonts w:ascii="Arial" w:cs="Arial" w:eastAsia="Arial" w:hAnsi="Arial"/>
                <w:sz w:val="19"/>
                <w:szCs w:val="19"/>
                <w:color w:val="auto"/>
                <w:w w:val="89"/>
              </w:rPr>
              <w:t>Three Months Ended September 30, 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(136.0)</w:t>
            </w:r>
          </w:p>
        </w:tc>
        <w:tc>
          <w:tcPr>
            <w:tcW w:w="200" w:type="dxa"/>
            <w:vAlign w:val="bottom"/>
            <w:gridSpan w:val="2"/>
          </w:tcPr>
          <w:p>
            <w:pPr>
              <w:ind w:left="100"/>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(1.3)</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(137.3)</w:t>
            </w: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loss before reclassifications,</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44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2FA"/>
          </w:tcPr>
          <w:p>
            <w:pPr>
              <w:spacing w:after="0"/>
              <w:rPr>
                <w:sz w:val="20"/>
                <w:szCs w:val="20"/>
                <w:color w:val="auto"/>
              </w:rPr>
            </w:pPr>
          </w:p>
        </w:tc>
        <w:tc>
          <w:tcPr>
            <w:tcW w:w="1500" w:type="dxa"/>
            <w:vAlign w:val="bottom"/>
            <w:gridSpan w:val="2"/>
            <w:shd w:val="clear" w:color="auto" w:fill="CFF2FA"/>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700" w:type="dxa"/>
            <w:vAlign w:val="bottom"/>
            <w:gridSpan w:val="2"/>
            <w:shd w:val="clear" w:color="auto" w:fill="CFF2FA"/>
          </w:tcPr>
          <w:p>
            <w:pPr>
              <w:jc w:val="right"/>
              <w:ind w:right="200"/>
              <w:spacing w:after="0"/>
              <w:rPr>
                <w:sz w:val="20"/>
                <w:szCs w:val="20"/>
                <w:color w:val="auto"/>
              </w:rPr>
            </w:pPr>
            <w:r>
              <w:rPr>
                <w:rFonts w:ascii="Arial" w:cs="Arial" w:eastAsia="Arial" w:hAnsi="Arial"/>
                <w:sz w:val="19"/>
                <w:szCs w:val="19"/>
                <w:color w:val="auto"/>
              </w:rPr>
              <w:t>(0.2)</w:t>
            </w:r>
          </w:p>
        </w:tc>
        <w:tc>
          <w:tcPr>
            <w:tcW w:w="120" w:type="dxa"/>
            <w:vAlign w:val="bottom"/>
            <w:shd w:val="clear" w:color="auto" w:fill="CFF2FA"/>
          </w:tcPr>
          <w:p>
            <w:pPr>
              <w:spacing w:after="0"/>
              <w:rPr>
                <w:sz w:val="20"/>
                <w:szCs w:val="20"/>
                <w:color w:val="auto"/>
              </w:rPr>
            </w:pP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(0.2)</w:t>
            </w: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Borders>
              <w:bottom w:val="single" w:sz="8" w:color="CFF2FA"/>
            </w:tcBorders>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w:t>
            </w:r>
          </w:p>
        </w:tc>
        <w:tc>
          <w:tcPr>
            <w:tcW w:w="160" w:type="dxa"/>
            <w:vAlign w:val="bottom"/>
            <w:tcBorders>
              <w:bottom w:val="single" w:sz="8" w:color="CFF2FA"/>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bottom w:val="single" w:sz="8" w:color="CFF2FA"/>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w:t>
            </w:r>
          </w:p>
        </w:tc>
        <w:tc>
          <w:tcPr>
            <w:tcW w:w="120" w:type="dxa"/>
            <w:vAlign w:val="bottom"/>
            <w:tcBorders>
              <w:bottom w:val="single" w:sz="8" w:color="CFF2FA"/>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2FA"/>
          </w:tcPr>
          <w:p>
            <w:pPr>
              <w:spacing w:after="0"/>
              <w:rPr>
                <w:sz w:val="20"/>
                <w:szCs w:val="20"/>
                <w:color w:val="auto"/>
              </w:rPr>
            </w:pPr>
            <w:r>
              <w:rPr>
                <w:rFonts w:ascii="Arial" w:cs="Arial" w:eastAsia="Arial" w:hAnsi="Arial"/>
                <w:sz w:val="19"/>
                <w:szCs w:val="19"/>
                <w:color w:val="auto"/>
              </w:rPr>
              <w:t>Other comprehensive earnings (loss), net of tax</w:t>
            </w:r>
          </w:p>
        </w:tc>
        <w:tc>
          <w:tcPr>
            <w:tcW w:w="140" w:type="dxa"/>
            <w:vAlign w:val="bottom"/>
            <w:shd w:val="clear" w:color="auto" w:fill="CFF2FA"/>
          </w:tcPr>
          <w:p>
            <w:pPr>
              <w:spacing w:after="0"/>
              <w:rPr>
                <w:sz w:val="19"/>
                <w:szCs w:val="19"/>
                <w:color w:val="auto"/>
              </w:rPr>
            </w:pPr>
          </w:p>
        </w:tc>
        <w:tc>
          <w:tcPr>
            <w:tcW w:w="1340" w:type="dxa"/>
            <w:vAlign w:val="bottom"/>
            <w:shd w:val="clear" w:color="auto" w:fill="CFF2FA"/>
          </w:tcPr>
          <w:p>
            <w:pPr>
              <w:jc w:val="right"/>
              <w:spacing w:after="0"/>
              <w:rPr>
                <w:sz w:val="20"/>
                <w:szCs w:val="20"/>
                <w:color w:val="auto"/>
              </w:rPr>
            </w:pPr>
            <w:r>
              <w:rPr>
                <w:rFonts w:ascii="Arial" w:cs="Arial" w:eastAsia="Arial" w:hAnsi="Arial"/>
                <w:sz w:val="19"/>
                <w:szCs w:val="19"/>
                <w:color w:val="auto"/>
              </w:rPr>
              <w:t>2.7</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700" w:type="dxa"/>
            <w:vAlign w:val="bottom"/>
            <w:gridSpan w:val="2"/>
            <w:shd w:val="clear" w:color="auto" w:fill="CFF2FA"/>
          </w:tcPr>
          <w:p>
            <w:pPr>
              <w:jc w:val="right"/>
              <w:ind w:right="200"/>
              <w:spacing w:after="0"/>
              <w:rPr>
                <w:sz w:val="20"/>
                <w:szCs w:val="20"/>
                <w:color w:val="auto"/>
              </w:rPr>
            </w:pPr>
            <w:r>
              <w:rPr>
                <w:rFonts w:ascii="Arial" w:cs="Arial" w:eastAsia="Arial" w:hAnsi="Arial"/>
                <w:sz w:val="19"/>
                <w:szCs w:val="19"/>
                <w:color w:val="auto"/>
              </w:rPr>
              <w:t>(0.2)</w:t>
            </w:r>
          </w:p>
        </w:tc>
        <w:tc>
          <w:tcPr>
            <w:tcW w:w="120" w:type="dxa"/>
            <w:vAlign w:val="bottom"/>
            <w:shd w:val="clear" w:color="auto" w:fill="CFF2FA"/>
          </w:tcPr>
          <w:p>
            <w:pPr>
              <w:spacing w:after="0"/>
              <w:rPr>
                <w:sz w:val="19"/>
                <w:szCs w:val="19"/>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2.5</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(133.3)</w:t>
            </w:r>
          </w:p>
        </w:tc>
        <w:tc>
          <w:tcPr>
            <w:tcW w:w="1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(1.5)</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(134.8)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9"/>
                <w:szCs w:val="19"/>
                <w:i w:val="1"/>
                <w:iCs w:val="1"/>
                <w:color w:val="auto"/>
              </w:rPr>
              <w:t>(Dollars in Millions)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1"/>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87"/>
              </w:rPr>
              <w:t>Pension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90"/>
              </w:rPr>
              <w:t>Postretirement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9"/>
                <w:szCs w:val="19"/>
                <w:color w:val="auto"/>
                <w:w w:val="89"/>
              </w:rPr>
              <w:t>Benefit Plans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9"/>
                <w:szCs w:val="19"/>
                <w:color w:val="auto"/>
                <w:w w:val="91"/>
              </w:rPr>
              <w:t>Foreign Currency</w:t>
            </w:r>
          </w:p>
        </w:tc>
        <w:tc>
          <w:tcPr>
            <w:tcW w:w="1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Loss</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FF2FA"/>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00" w:type="dxa"/>
            <w:vAlign w:val="bottom"/>
            <w:tcBorders>
              <w:top w:val="single" w:sz="8" w:color="auto"/>
              <w:bottom w:val="single" w:sz="8" w:color="auto"/>
            </w:tcBorders>
            <w:gridSpan w:val="8"/>
          </w:tcPr>
          <w:p>
            <w:pPr>
              <w:jc w:val="center"/>
              <w:ind w:right="46"/>
              <w:spacing w:after="0"/>
              <w:rPr>
                <w:sz w:val="20"/>
                <w:szCs w:val="20"/>
                <w:color w:val="auto"/>
              </w:rPr>
            </w:pPr>
            <w:r>
              <w:rPr>
                <w:rFonts w:ascii="Arial" w:cs="Arial" w:eastAsia="Arial" w:hAnsi="Arial"/>
                <w:sz w:val="19"/>
                <w:szCs w:val="19"/>
                <w:color w:val="auto"/>
                <w:w w:val="89"/>
              </w:rPr>
              <w:t>Nine Months Ended September 30, 2020</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2FA"/>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80"/>
              <w:spacing w:after="0"/>
              <w:rPr>
                <w:sz w:val="20"/>
                <w:szCs w:val="20"/>
                <w:color w:val="auto"/>
              </w:rPr>
            </w:pPr>
            <w:r>
              <w:rPr>
                <w:rFonts w:ascii="Arial" w:cs="Arial" w:eastAsia="Arial" w:hAnsi="Arial"/>
                <w:sz w:val="19"/>
                <w:szCs w:val="19"/>
                <w:color w:val="auto"/>
              </w:rPr>
              <w:t>(144.9)</w:t>
            </w:r>
          </w:p>
        </w:tc>
        <w:tc>
          <w:tcPr>
            <w:tcW w:w="200" w:type="dxa"/>
            <w:vAlign w:val="bottom"/>
            <w:gridSpan w:val="2"/>
            <w:shd w:val="clear" w:color="auto" w:fill="CFF2FA"/>
          </w:tcPr>
          <w:p>
            <w:pPr>
              <w:ind w:left="100"/>
              <w:spacing w:after="0"/>
              <w:rPr>
                <w:sz w:val="20"/>
                <w:szCs w:val="20"/>
                <w:color w:val="auto"/>
              </w:rPr>
            </w:pPr>
            <w:r>
              <w:rPr>
                <w:rFonts w:ascii="Arial" w:cs="Arial" w:eastAsia="Arial" w:hAnsi="Arial"/>
                <w:sz w:val="19"/>
                <w:szCs w:val="19"/>
                <w:color w:val="auto"/>
                <w:w w:val="75"/>
              </w:rPr>
              <w:t>$</w:t>
            </w:r>
          </w:p>
        </w:tc>
        <w:tc>
          <w:tcPr>
            <w:tcW w:w="1700" w:type="dxa"/>
            <w:vAlign w:val="bottom"/>
            <w:gridSpan w:val="2"/>
            <w:shd w:val="clear" w:color="auto" w:fill="CFF2FA"/>
          </w:tcPr>
          <w:p>
            <w:pPr>
              <w:jc w:val="right"/>
              <w:ind w:right="200"/>
              <w:spacing w:after="0"/>
              <w:rPr>
                <w:sz w:val="20"/>
                <w:szCs w:val="20"/>
                <w:color w:val="auto"/>
              </w:rPr>
            </w:pPr>
            <w:r>
              <w:rPr>
                <w:rFonts w:ascii="Arial" w:cs="Arial" w:eastAsia="Arial" w:hAnsi="Arial"/>
                <w:sz w:val="19"/>
                <w:szCs w:val="19"/>
                <w:color w:val="auto"/>
              </w:rPr>
              <w:t>(0.9)</w:t>
            </w:r>
          </w:p>
        </w:tc>
        <w:tc>
          <w:tcPr>
            <w:tcW w:w="12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(145.8)</w:t>
            </w: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Other comprehensive loss before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Arial" w:cs="Arial" w:eastAsia="Arial" w:hAnsi="Arial"/>
                <w:sz w:val="19"/>
                <w:szCs w:val="19"/>
                <w:color w:val="auto"/>
              </w:rPr>
              <w:t>reclassifications, net of tax</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(0.8)</w:t>
            </w:r>
          </w:p>
        </w:tc>
        <w:tc>
          <w:tcPr>
            <w:tcW w:w="1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(0.8)</w:t>
            </w: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Amounts reclassified from accumulated</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44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other comprehensive loss, net of tax</w:t>
            </w:r>
          </w:p>
        </w:tc>
        <w:tc>
          <w:tcPr>
            <w:tcW w:w="140" w:type="dxa"/>
            <w:vAlign w:val="bottom"/>
            <w:tcBorders>
              <w:bottom w:val="single" w:sz="8" w:color="auto"/>
            </w:tcBorders>
            <w:shd w:val="clear" w:color="auto" w:fill="CFF2FA"/>
          </w:tcPr>
          <w:p>
            <w:pPr>
              <w:spacing w:after="0"/>
              <w:rPr>
                <w:sz w:val="20"/>
                <w:szCs w:val="20"/>
                <w:color w:val="auto"/>
              </w:rPr>
            </w:pPr>
          </w:p>
        </w:tc>
        <w:tc>
          <w:tcPr>
            <w:tcW w:w="13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8.0</w:t>
            </w:r>
          </w:p>
        </w:tc>
        <w:tc>
          <w:tcPr>
            <w:tcW w:w="16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00" w:type="dxa"/>
            <w:vAlign w:val="bottom"/>
            <w:tcBorders>
              <w:bottom w:val="single" w:sz="8" w:color="auto"/>
            </w:tcBorders>
            <w:shd w:val="clear" w:color="auto" w:fill="CFF2FA"/>
          </w:tcPr>
          <w:p>
            <w:pPr>
              <w:spacing w:after="0"/>
              <w:rPr>
                <w:sz w:val="20"/>
                <w:szCs w:val="20"/>
                <w:color w:val="auto"/>
              </w:rPr>
            </w:pPr>
          </w:p>
        </w:tc>
        <w:tc>
          <w:tcPr>
            <w:tcW w:w="14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w:t>
            </w:r>
          </w:p>
        </w:tc>
        <w:tc>
          <w:tcPr>
            <w:tcW w:w="260" w:type="dxa"/>
            <w:vAlign w:val="bottom"/>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p>
        </w:tc>
        <w:tc>
          <w:tcPr>
            <w:tcW w:w="13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8.0</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Other comprehensive earnings (loss), net of tax</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(0.8)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2FA"/>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2FA"/>
          </w:tcPr>
          <w:p>
            <w:pPr>
              <w:spacing w:after="0" w:line="20" w:lineRule="exact"/>
              <w:rPr>
                <w:sz w:val="1"/>
                <w:szCs w:val="1"/>
                <w:color w:val="auto"/>
              </w:rPr>
            </w:pPr>
          </w:p>
        </w:tc>
        <w:tc>
          <w:tcPr>
            <w:tcW w:w="100" w:type="dxa"/>
            <w:vAlign w:val="bottom"/>
            <w:vMerge w:val="restart"/>
            <w:shd w:val="clear" w:color="auto" w:fill="CFF2F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2F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shd w:val="clear" w:color="auto" w:fill="CFF2FA"/>
          </w:tcPr>
          <w:p>
            <w:pPr>
              <w:spacing w:after="0"/>
              <w:rPr>
                <w:sz w:val="19"/>
                <w:szCs w:val="19"/>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80"/>
              <w:spacing w:after="0"/>
              <w:rPr>
                <w:sz w:val="20"/>
                <w:szCs w:val="20"/>
                <w:color w:val="auto"/>
              </w:rPr>
            </w:pPr>
            <w:r>
              <w:rPr>
                <w:rFonts w:ascii="Arial" w:cs="Arial" w:eastAsia="Arial" w:hAnsi="Arial"/>
                <w:sz w:val="19"/>
                <w:szCs w:val="19"/>
                <w:color w:val="auto"/>
              </w:rPr>
              <w:t>(136.9)</w:t>
            </w:r>
          </w:p>
        </w:tc>
        <w:tc>
          <w:tcPr>
            <w:tcW w:w="100" w:type="dxa"/>
            <w:vAlign w:val="bottom"/>
            <w:vMerge w:val="continue"/>
            <w:shd w:val="clear" w:color="auto" w:fill="CFF2FA"/>
          </w:tcPr>
          <w:p>
            <w:pPr>
              <w:spacing w:after="0"/>
              <w:rPr>
                <w:sz w:val="19"/>
                <w:szCs w:val="19"/>
                <w:color w:val="auto"/>
              </w:rPr>
            </w:pPr>
          </w:p>
        </w:tc>
        <w:tc>
          <w:tcPr>
            <w:tcW w:w="100" w:type="dxa"/>
            <w:vAlign w:val="bottom"/>
            <w:shd w:val="clear" w:color="auto" w:fill="CFF2FA"/>
          </w:tcPr>
          <w:p>
            <w:pPr>
              <w:spacing w:after="0"/>
              <w:rPr>
                <w:sz w:val="20"/>
                <w:szCs w:val="20"/>
                <w:color w:val="auto"/>
              </w:rPr>
            </w:pPr>
            <w:r>
              <w:rPr>
                <w:rFonts w:ascii="Arial" w:cs="Arial" w:eastAsia="Arial" w:hAnsi="Arial"/>
                <w:sz w:val="19"/>
                <w:szCs w:val="19"/>
                <w:color w:val="auto"/>
                <w:w w:val="75"/>
              </w:rPr>
              <w:t>$</w:t>
            </w:r>
          </w:p>
        </w:tc>
        <w:tc>
          <w:tcPr>
            <w:tcW w:w="1700" w:type="dxa"/>
            <w:vAlign w:val="bottom"/>
            <w:gridSpan w:val="2"/>
            <w:shd w:val="clear" w:color="auto" w:fill="CFF2FA"/>
          </w:tcPr>
          <w:p>
            <w:pPr>
              <w:jc w:val="right"/>
              <w:ind w:right="200"/>
              <w:spacing w:after="0"/>
              <w:rPr>
                <w:sz w:val="20"/>
                <w:szCs w:val="20"/>
                <w:color w:val="auto"/>
              </w:rPr>
            </w:pPr>
            <w:r>
              <w:rPr>
                <w:rFonts w:ascii="Arial" w:cs="Arial" w:eastAsia="Arial" w:hAnsi="Arial"/>
                <w:sz w:val="19"/>
                <w:szCs w:val="19"/>
                <w:color w:val="auto"/>
              </w:rPr>
              <w:t>(1.7)</w:t>
            </w:r>
          </w:p>
        </w:tc>
        <w:tc>
          <w:tcPr>
            <w:tcW w:w="12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(138.6)</w:t>
            </w:r>
          </w:p>
        </w:tc>
        <w:tc>
          <w:tcPr>
            <w:tcW w:w="0" w:type="dxa"/>
            <w:vAlign w:val="bottom"/>
          </w:tcPr>
          <w:p>
            <w:pPr>
              <w:spacing w:after="0"/>
              <w:rPr>
                <w:sz w:val="1"/>
                <w:szCs w:val="1"/>
                <w:color w:val="auto"/>
              </w:rPr>
            </w:pPr>
          </w:p>
        </w:tc>
      </w:tr>
      <w:tr>
        <w:trPr>
          <w:trHeight w:val="20"/>
        </w:trPr>
        <w:tc>
          <w:tcPr>
            <w:tcW w:w="60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2FA"/>
            </w:tcBorders>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2FA"/>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8"/>
          </w:tcPr>
          <w:p>
            <w:pPr>
              <w:jc w:val="center"/>
              <w:ind w:right="46"/>
              <w:spacing w:after="0"/>
              <w:rPr>
                <w:sz w:val="20"/>
                <w:szCs w:val="20"/>
                <w:color w:val="auto"/>
              </w:rPr>
            </w:pPr>
            <w:r>
              <w:rPr>
                <w:rFonts w:ascii="Arial" w:cs="Arial" w:eastAsia="Arial" w:hAnsi="Arial"/>
                <w:sz w:val="19"/>
                <w:szCs w:val="19"/>
                <w:color w:val="auto"/>
                <w:w w:val="89"/>
              </w:rPr>
              <w:t>Nine Months Ended September 30, 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(141.5)</w:t>
            </w:r>
          </w:p>
        </w:tc>
        <w:tc>
          <w:tcPr>
            <w:tcW w:w="200" w:type="dxa"/>
            <w:vAlign w:val="bottom"/>
            <w:gridSpan w:val="2"/>
          </w:tcPr>
          <w:p>
            <w:pPr>
              <w:ind w:left="100"/>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(2.1)</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(143.6)</w:t>
            </w: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earnings before</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44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reclassifications, net of tax</w:t>
            </w:r>
          </w:p>
        </w:tc>
        <w:tc>
          <w:tcPr>
            <w:tcW w:w="140" w:type="dxa"/>
            <w:vAlign w:val="bottom"/>
            <w:shd w:val="clear" w:color="auto" w:fill="CFF2FA"/>
          </w:tcPr>
          <w:p>
            <w:pPr>
              <w:spacing w:after="0"/>
              <w:rPr>
                <w:sz w:val="20"/>
                <w:szCs w:val="20"/>
                <w:color w:val="auto"/>
              </w:rPr>
            </w:pPr>
          </w:p>
        </w:tc>
        <w:tc>
          <w:tcPr>
            <w:tcW w:w="1500" w:type="dxa"/>
            <w:vAlign w:val="bottom"/>
            <w:gridSpan w:val="2"/>
            <w:shd w:val="clear" w:color="auto" w:fill="CFF2FA"/>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44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0.6</w:t>
            </w:r>
          </w:p>
        </w:tc>
        <w:tc>
          <w:tcPr>
            <w:tcW w:w="26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0.6</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3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8.2</w:t>
            </w:r>
          </w:p>
        </w:tc>
        <w:tc>
          <w:tcPr>
            <w:tcW w:w="16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4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0.6</w:t>
            </w:r>
          </w:p>
        </w:tc>
        <w:tc>
          <w:tcPr>
            <w:tcW w:w="26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3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8.8</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(133.3)</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(1.5)</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(134.8)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net noncurrent deferred tax assets related to accumulated other comprehensive loss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20"/>
                <w:szCs w:val="20"/>
                <w:color w:val="auto"/>
                <w:w w:val="88"/>
              </w:rPr>
              <w:t>Pension and Postretirement Benefit Plans</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3"/>
        </w:trPr>
        <w:tc>
          <w:tcPr>
            <w:tcW w:w="4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60" w:type="dxa"/>
            <w:vAlign w:val="bottom"/>
            <w:gridSpan w:val="7"/>
          </w:tcPr>
          <w:p>
            <w:pPr>
              <w:jc w:val="right"/>
              <w:ind w:right="920"/>
              <w:spacing w:after="0"/>
              <w:rPr>
                <w:sz w:val="20"/>
                <w:szCs w:val="20"/>
                <w:color w:val="auto"/>
              </w:rPr>
            </w:pPr>
            <w:r>
              <w:rPr>
                <w:rFonts w:ascii="Arial" w:cs="Arial" w:eastAsia="Arial" w:hAnsi="Arial"/>
                <w:sz w:val="20"/>
                <w:szCs w:val="20"/>
                <w:color w:val="auto"/>
              </w:rPr>
              <w:t>Three Months Ended</w:t>
            </w:r>
          </w:p>
        </w:tc>
        <w:tc>
          <w:tcPr>
            <w:tcW w:w="300" w:type="dxa"/>
            <w:vAlign w:val="bottom"/>
          </w:tcPr>
          <w:p>
            <w:pPr>
              <w:spacing w:after="0"/>
              <w:rPr>
                <w:sz w:val="20"/>
                <w:szCs w:val="20"/>
                <w:color w:val="auto"/>
              </w:rPr>
            </w:pPr>
          </w:p>
        </w:tc>
        <w:tc>
          <w:tcPr>
            <w:tcW w:w="2740" w:type="dxa"/>
            <w:vAlign w:val="bottom"/>
            <w:gridSpan w:val="4"/>
          </w:tcPr>
          <w:p>
            <w:pPr>
              <w:jc w:val="right"/>
              <w:ind w:right="641"/>
              <w:spacing w:after="0"/>
              <w:rPr>
                <w:sz w:val="20"/>
                <w:szCs w:val="20"/>
                <w:color w:val="auto"/>
              </w:rPr>
            </w:pPr>
            <w:r>
              <w:rPr>
                <w:rFonts w:ascii="Arial" w:cs="Arial" w:eastAsia="Arial" w:hAnsi="Arial"/>
                <w:sz w:val="20"/>
                <w:szCs w:val="20"/>
                <w:color w:val="auto"/>
              </w:rPr>
              <w:t>Nine Months Ended</w:t>
            </w:r>
          </w:p>
        </w:tc>
        <w:tc>
          <w:tcPr>
            <w:tcW w:w="120" w:type="dxa"/>
            <w:vAlign w:val="bottom"/>
          </w:tcPr>
          <w:p>
            <w:pPr>
              <w:spacing w:after="0"/>
              <w:rPr>
                <w:sz w:val="20"/>
                <w:szCs w:val="20"/>
                <w:color w:val="auto"/>
              </w:rPr>
            </w:pPr>
          </w:p>
        </w:tc>
      </w:tr>
      <w:tr>
        <w:trPr>
          <w:trHeight w:val="246"/>
        </w:trPr>
        <w:tc>
          <w:tcPr>
            <w:tcW w:w="4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w w:val="88"/>
              </w:rPr>
              <w:t>September 30,</w:t>
            </w:r>
          </w:p>
        </w:tc>
        <w:tc>
          <w:tcPr>
            <w:tcW w:w="9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w w:val="85"/>
              </w:rPr>
              <w:t>2019</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w w:val="89"/>
              </w:rPr>
              <w:t>2019</w:t>
            </w:r>
          </w:p>
        </w:tc>
        <w:tc>
          <w:tcPr>
            <w:tcW w:w="120" w:type="dxa"/>
            <w:vAlign w:val="bottom"/>
          </w:tcPr>
          <w:p>
            <w:pPr>
              <w:spacing w:after="0"/>
              <w:rPr>
                <w:sz w:val="20"/>
                <w:szCs w:val="20"/>
                <w:color w:val="auto"/>
              </w:rPr>
            </w:pPr>
          </w:p>
        </w:tc>
      </w:tr>
      <w:tr>
        <w:trPr>
          <w:trHeight w:val="233"/>
        </w:trPr>
        <w:tc>
          <w:tcPr>
            <w:tcW w:w="4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0" w:type="dxa"/>
            <w:vAlign w:val="bottom"/>
            <w:gridSpan w:val="5"/>
          </w:tcPr>
          <w:p>
            <w:pPr>
              <w:jc w:val="right"/>
              <w:ind w:right="920"/>
              <w:spacing w:after="0"/>
              <w:rPr>
                <w:sz w:val="20"/>
                <w:szCs w:val="20"/>
                <w:color w:val="auto"/>
              </w:rPr>
            </w:pPr>
            <w:r>
              <w:rPr>
                <w:rFonts w:ascii="Arial" w:cs="Arial" w:eastAsia="Arial" w:hAnsi="Arial"/>
                <w:sz w:val="20"/>
                <w:szCs w:val="20"/>
                <w:i w:val="1"/>
                <w:iCs w:val="1"/>
                <w:color w:val="auto"/>
              </w:rPr>
              <w:t>(Dollars in Millions)</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4140" w:type="dxa"/>
            <w:vAlign w:val="bottom"/>
          </w:tcPr>
          <w:p>
            <w:pPr>
              <w:spacing w:after="0"/>
              <w:rPr>
                <w:sz w:val="20"/>
                <w:szCs w:val="20"/>
                <w:color w:val="auto"/>
              </w:rPr>
            </w:pPr>
            <w:r>
              <w:rPr>
                <w:rFonts w:ascii="Arial" w:cs="Arial" w:eastAsia="Arial" w:hAnsi="Arial"/>
                <w:sz w:val="20"/>
                <w:szCs w:val="20"/>
                <w:color w:val="auto"/>
              </w:rPr>
              <w:t>Balance at beginning of period</w:t>
            </w:r>
          </w:p>
        </w:tc>
        <w:tc>
          <w:tcPr>
            <w:tcW w:w="1580" w:type="dxa"/>
            <w:vAlign w:val="bottom"/>
            <w:gridSpan w:val="2"/>
          </w:tcPr>
          <w:p>
            <w:pPr>
              <w:jc w:val="right"/>
              <w:ind w:right="701"/>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83.6</w:t>
            </w:r>
          </w:p>
        </w:tc>
        <w:tc>
          <w:tcPr>
            <w:tcW w:w="100" w:type="dxa"/>
            <w:vAlign w:val="bottom"/>
          </w:tcPr>
          <w:p>
            <w:pPr>
              <w:spacing w:after="0"/>
              <w:rPr>
                <w:sz w:val="21"/>
                <w:szCs w:val="21"/>
                <w:color w:val="auto"/>
              </w:rPr>
            </w:pPr>
          </w:p>
        </w:tc>
        <w:tc>
          <w:tcPr>
            <w:tcW w:w="620" w:type="dxa"/>
            <w:vAlign w:val="bottom"/>
            <w:gridSpan w:val="2"/>
          </w:tcPr>
          <w:p>
            <w:pPr>
              <w:jc w:val="right"/>
              <w:ind w:right="28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82.4</w:t>
            </w:r>
          </w:p>
        </w:tc>
        <w:tc>
          <w:tcPr>
            <w:tcW w:w="26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85.2</w:t>
            </w:r>
          </w:p>
        </w:tc>
        <w:tc>
          <w:tcPr>
            <w:tcW w:w="240" w:type="dxa"/>
            <w:vAlign w:val="bottom"/>
          </w:tcPr>
          <w:p>
            <w:pPr>
              <w:spacing w:after="0"/>
              <w:rPr>
                <w:sz w:val="21"/>
                <w:szCs w:val="21"/>
                <w:color w:val="auto"/>
              </w:rPr>
            </w:pPr>
          </w:p>
        </w:tc>
        <w:tc>
          <w:tcPr>
            <w:tcW w:w="480" w:type="dxa"/>
            <w:vAlign w:val="bottom"/>
          </w:tcPr>
          <w:p>
            <w:pPr>
              <w:jc w:val="right"/>
              <w:ind w:right="281"/>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84.2</w:t>
            </w:r>
          </w:p>
        </w:tc>
        <w:tc>
          <w:tcPr>
            <w:tcW w:w="120" w:type="dxa"/>
            <w:vAlign w:val="bottom"/>
          </w:tcPr>
          <w:p>
            <w:pPr>
              <w:spacing w:after="0"/>
              <w:rPr>
                <w:sz w:val="21"/>
                <w:szCs w:val="21"/>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20"/>
                <w:szCs w:val="20"/>
                <w:color w:val="auto"/>
              </w:rPr>
              <w:t>Tax effect of other comprehensive earnings</w:t>
            </w:r>
          </w:p>
        </w:tc>
        <w:tc>
          <w:tcPr>
            <w:tcW w:w="6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w:t>
            </w:r>
          </w:p>
        </w:tc>
        <w:tc>
          <w:tcPr>
            <w:tcW w:w="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(0.9)</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(2.7)</w:t>
            </w:r>
          </w:p>
        </w:tc>
        <w:tc>
          <w:tcPr>
            <w:tcW w:w="4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(2.7)</w:t>
            </w:r>
          </w:p>
        </w:tc>
      </w:tr>
      <w:tr>
        <w:trPr>
          <w:trHeight w:val="237"/>
        </w:trPr>
        <w:tc>
          <w:tcPr>
            <w:tcW w:w="414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6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20"/>
                <w:szCs w:val="2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81.5</w:t>
            </w:r>
          </w:p>
        </w:tc>
        <w:tc>
          <w:tcPr>
            <w:tcW w:w="2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82.5</w:t>
            </w: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81.5</w:t>
            </w:r>
          </w:p>
        </w:tc>
        <w:tc>
          <w:tcPr>
            <w:tcW w:w="120" w:type="dxa"/>
            <w:vAlign w:val="bottom"/>
          </w:tcPr>
          <w:p>
            <w:pPr>
              <w:spacing w:after="0"/>
              <w:rPr>
                <w:sz w:val="20"/>
                <w:szCs w:val="20"/>
                <w:color w:val="auto"/>
              </w:rPr>
            </w:pPr>
          </w:p>
        </w:tc>
      </w:tr>
      <w:tr>
        <w:trPr>
          <w:trHeight w:val="20"/>
        </w:trPr>
        <w:tc>
          <w:tcPr>
            <w:tcW w:w="4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9"/>
                <w:szCs w:val="19"/>
                <w:color w:val="auto"/>
                <w:w w:val="93"/>
              </w:rPr>
              <w:t>Three Months Ended</w:t>
            </w:r>
          </w:p>
        </w:tc>
        <w:tc>
          <w:tcPr>
            <w:tcW w:w="2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9"/>
                <w:szCs w:val="19"/>
                <w:color w:val="auto"/>
                <w:w w:val="97"/>
              </w:rPr>
              <w:t>Nine Months Ended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jc w:val="center"/>
              <w:ind w:left="6"/>
              <w:spacing w:after="0"/>
              <w:rPr>
                <w:sz w:val="20"/>
                <w:szCs w:val="20"/>
                <w:color w:val="auto"/>
              </w:rPr>
            </w:pPr>
            <w:r>
              <w:rPr>
                <w:rFonts w:ascii="Arial" w:cs="Arial" w:eastAsia="Arial" w:hAnsi="Arial"/>
                <w:sz w:val="19"/>
                <w:szCs w:val="19"/>
                <w:color w:val="auto"/>
                <w:w w:val="91"/>
              </w:rPr>
              <w:t>Affected line items in the consolidated</w:t>
            </w:r>
          </w:p>
        </w:tc>
      </w:tr>
      <w:tr>
        <w:trPr>
          <w:trHeight w:val="238"/>
        </w:trPr>
        <w:tc>
          <w:tcPr>
            <w:tcW w:w="2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9"/>
                <w:szCs w:val="19"/>
                <w:color w:val="auto"/>
              </w:rPr>
              <w:t>September 30,</w:t>
            </w:r>
          </w:p>
        </w:tc>
        <w:tc>
          <w:tcPr>
            <w:tcW w:w="200" w:type="dxa"/>
            <w:vAlign w:val="bottom"/>
          </w:tcPr>
          <w:p>
            <w:pPr>
              <w:spacing w:after="0"/>
              <w:rPr>
                <w:sz w:val="20"/>
                <w:szCs w:val="20"/>
                <w:color w:val="auto"/>
              </w:rPr>
            </w:pPr>
          </w:p>
        </w:tc>
        <w:tc>
          <w:tcPr>
            <w:tcW w:w="1660" w:type="dxa"/>
            <w:vAlign w:val="bottom"/>
            <w:gridSpan w:val="3"/>
          </w:tcPr>
          <w:p>
            <w:pPr>
              <w:jc w:val="right"/>
              <w:ind w:right="126"/>
              <w:spacing w:after="0"/>
              <w:rPr>
                <w:sz w:val="20"/>
                <w:szCs w:val="20"/>
                <w:color w:val="auto"/>
              </w:rPr>
            </w:pPr>
            <w:r>
              <w:rPr>
                <w:rFonts w:ascii="Arial" w:cs="Arial" w:eastAsia="Arial" w:hAnsi="Arial"/>
                <w:sz w:val="19"/>
                <w:szCs w:val="19"/>
                <w:color w:val="auto"/>
              </w:rPr>
              <w:t>September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Pr>
          <w:p>
            <w:pPr>
              <w:jc w:val="center"/>
              <w:ind w:left="26"/>
              <w:spacing w:after="0"/>
              <w:rPr>
                <w:sz w:val="20"/>
                <w:szCs w:val="20"/>
                <w:color w:val="auto"/>
              </w:rPr>
            </w:pPr>
            <w:r>
              <w:rPr>
                <w:rFonts w:ascii="Arial" w:cs="Arial" w:eastAsia="Arial" w:hAnsi="Arial"/>
                <w:sz w:val="19"/>
                <w:szCs w:val="19"/>
                <w:color w:val="auto"/>
                <w:w w:val="88"/>
              </w:rPr>
              <w:t>statements of earnings and</w:t>
            </w:r>
          </w:p>
        </w:tc>
      </w:tr>
      <w:tr>
        <w:trPr>
          <w:trHeight w:val="223"/>
        </w:trPr>
        <w:tc>
          <w:tcPr>
            <w:tcW w:w="2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9"/>
                <w:szCs w:val="19"/>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9"/>
                <w:szCs w:val="19"/>
                <w:color w:val="auto"/>
              </w:rPr>
              <w:t>2019</w:t>
            </w: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9"/>
                <w:szCs w:val="19"/>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26"/>
              <w:spacing w:after="0"/>
              <w:rPr>
                <w:sz w:val="20"/>
                <w:szCs w:val="20"/>
                <w:color w:val="auto"/>
              </w:rPr>
            </w:pPr>
            <w:r>
              <w:rPr>
                <w:rFonts w:ascii="Arial" w:cs="Arial" w:eastAsia="Arial" w:hAnsi="Arial"/>
                <w:sz w:val="19"/>
                <w:szCs w:val="19"/>
                <w:color w:val="auto"/>
              </w:rPr>
              <w:t>2019</w:t>
            </w:r>
          </w:p>
        </w:tc>
        <w:tc>
          <w:tcPr>
            <w:tcW w:w="100" w:type="dxa"/>
            <w:vAlign w:val="bottom"/>
          </w:tcPr>
          <w:p>
            <w:pPr>
              <w:spacing w:after="0"/>
              <w:rPr>
                <w:sz w:val="19"/>
                <w:szCs w:val="19"/>
                <w:color w:val="auto"/>
              </w:rPr>
            </w:pPr>
          </w:p>
        </w:tc>
        <w:tc>
          <w:tcPr>
            <w:tcW w:w="3500" w:type="dxa"/>
            <w:vAlign w:val="bottom"/>
            <w:tcBorders>
              <w:bottom w:val="single" w:sz="8" w:color="auto"/>
            </w:tcBorders>
          </w:tcPr>
          <w:p>
            <w:pPr>
              <w:jc w:val="center"/>
              <w:ind w:left="6"/>
              <w:spacing w:after="0"/>
              <w:rPr>
                <w:sz w:val="20"/>
                <w:szCs w:val="20"/>
                <w:color w:val="auto"/>
              </w:rPr>
            </w:pPr>
            <w:r>
              <w:rPr>
                <w:rFonts w:ascii="Arial" w:cs="Arial" w:eastAsia="Arial" w:hAnsi="Arial"/>
                <w:sz w:val="19"/>
                <w:szCs w:val="19"/>
                <w:color w:val="auto"/>
                <w:w w:val="88"/>
              </w:rPr>
              <w:t>comprehensive earnings</w:t>
            </w:r>
          </w:p>
        </w:tc>
      </w:tr>
      <w:tr>
        <w:trPr>
          <w:trHeight w:val="223"/>
        </w:trPr>
        <w:tc>
          <w:tcPr>
            <w:tcW w:w="2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9"/>
                <w:szCs w:val="19"/>
                <w:i w:val="1"/>
                <w:iCs w:val="1"/>
                <w:color w:val="auto"/>
              </w:rPr>
              <w:t>(Dollars in Millions)</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07"/>
        </w:trPr>
        <w:tc>
          <w:tcPr>
            <w:tcW w:w="254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Pension and postretirement</w:t>
            </w: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38"/>
        </w:trPr>
        <w:tc>
          <w:tcPr>
            <w:tcW w:w="25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benefit plans</w:t>
            </w: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500" w:type="dxa"/>
            <w:vAlign w:val="bottom"/>
            <w:shd w:val="clear" w:color="auto" w:fill="CFF0FC"/>
          </w:tcPr>
          <w:p>
            <w:pPr>
              <w:spacing w:after="0"/>
              <w:rPr>
                <w:sz w:val="20"/>
                <w:szCs w:val="20"/>
                <w:color w:val="auto"/>
              </w:rPr>
            </w:pPr>
          </w:p>
        </w:tc>
      </w:tr>
      <w:tr>
        <w:trPr>
          <w:trHeight w:val="230"/>
        </w:trPr>
        <w:tc>
          <w:tcPr>
            <w:tcW w:w="2540" w:type="dxa"/>
            <w:vAlign w:val="bottom"/>
          </w:tcPr>
          <w:p>
            <w:pPr>
              <w:ind w:left="260"/>
              <w:spacing w:after="0"/>
              <w:rPr>
                <w:sz w:val="20"/>
                <w:szCs w:val="20"/>
                <w:color w:val="auto"/>
              </w:rPr>
            </w:pPr>
            <w:r>
              <w:rPr>
                <w:rFonts w:ascii="Arial" w:cs="Arial" w:eastAsia="Arial" w:hAnsi="Arial"/>
                <w:sz w:val="19"/>
                <w:szCs w:val="19"/>
                <w:color w:val="auto"/>
              </w:rPr>
              <w:t>Amortization of:</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29"/>
        </w:trPr>
        <w:tc>
          <w:tcPr>
            <w:tcW w:w="2540" w:type="dxa"/>
            <w:vAlign w:val="bottom"/>
            <w:shd w:val="clear" w:color="auto" w:fill="CFF0FC"/>
          </w:tcPr>
          <w:p>
            <w:pPr>
              <w:ind w:left="500"/>
              <w:spacing w:after="0"/>
              <w:rPr>
                <w:sz w:val="20"/>
                <w:szCs w:val="20"/>
                <w:color w:val="auto"/>
              </w:rPr>
            </w:pPr>
            <w:r>
              <w:rPr>
                <w:rFonts w:ascii="Arial" w:cs="Arial" w:eastAsia="Arial" w:hAnsi="Arial"/>
                <w:sz w:val="19"/>
                <w:szCs w:val="19"/>
                <w:color w:val="auto"/>
              </w:rPr>
              <w:t>Prior service credit</w:t>
            </w:r>
          </w:p>
        </w:tc>
        <w:tc>
          <w:tcPr>
            <w:tcW w:w="680" w:type="dxa"/>
            <w:vAlign w:val="bottom"/>
            <w:gridSpan w:val="2"/>
            <w:shd w:val="clear" w:color="auto" w:fill="CFF0FC"/>
          </w:tcPr>
          <w:p>
            <w:pPr>
              <w:jc w:val="right"/>
              <w:ind w:right="6"/>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200" w:type="dxa"/>
            <w:vAlign w:val="bottom"/>
            <w:shd w:val="clear" w:color="auto" w:fill="CFF0FC"/>
          </w:tcPr>
          <w:p>
            <w:pPr>
              <w:jc w:val="right"/>
              <w:ind w:right="6"/>
              <w:spacing w:after="0"/>
              <w:rPr>
                <w:sz w:val="20"/>
                <w:szCs w:val="20"/>
                <w:color w:val="auto"/>
              </w:rPr>
            </w:pPr>
            <w:r>
              <w:rPr>
                <w:rFonts w:ascii="Arial" w:cs="Arial" w:eastAsia="Arial" w:hAnsi="Arial"/>
                <w:sz w:val="19"/>
                <w:szCs w:val="19"/>
                <w:color w:val="auto"/>
                <w:w w:val="75"/>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(0.2)</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(0.1)</w:t>
            </w:r>
          </w:p>
        </w:tc>
        <w:tc>
          <w:tcPr>
            <w:tcW w:w="660" w:type="dxa"/>
            <w:vAlign w:val="bottom"/>
            <w:shd w:val="clear" w:color="auto" w:fill="CFF0FC"/>
          </w:tcPr>
          <w:p>
            <w:pPr>
              <w:jc w:val="right"/>
              <w:ind w:right="466"/>
              <w:spacing w:after="0"/>
              <w:rPr>
                <w:sz w:val="20"/>
                <w:szCs w:val="20"/>
                <w:color w:val="auto"/>
              </w:rPr>
            </w:pPr>
            <w:r>
              <w:rPr>
                <w:rFonts w:ascii="Arial" w:cs="Arial" w:eastAsia="Arial" w:hAnsi="Arial"/>
                <w:sz w:val="19"/>
                <w:szCs w:val="19"/>
                <w:color w:val="auto"/>
                <w:w w:val="75"/>
              </w:rPr>
              <w:t>$</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w w:val="97"/>
              </w:rPr>
              <w:t>(0.6)</w:t>
            </w:r>
          </w:p>
        </w:tc>
        <w:tc>
          <w:tcPr>
            <w:tcW w:w="3500" w:type="dxa"/>
            <w:vAlign w:val="bottom"/>
            <w:shd w:val="clear" w:color="auto" w:fill="CFF0FC"/>
          </w:tcPr>
          <w:p>
            <w:pPr>
              <w:spacing w:after="0"/>
              <w:rPr>
                <w:sz w:val="19"/>
                <w:szCs w:val="19"/>
                <w:color w:val="auto"/>
              </w:rPr>
            </w:pPr>
          </w:p>
        </w:tc>
      </w:tr>
      <w:tr>
        <w:trPr>
          <w:trHeight w:val="230"/>
        </w:trPr>
        <w:tc>
          <w:tcPr>
            <w:tcW w:w="2540" w:type="dxa"/>
            <w:vAlign w:val="bottom"/>
            <w:tcBorders>
              <w:bottom w:val="single" w:sz="8" w:color="CFF0FC"/>
            </w:tcBorders>
          </w:tcPr>
          <w:p>
            <w:pPr>
              <w:ind w:left="500"/>
              <w:spacing w:after="0"/>
              <w:rPr>
                <w:sz w:val="20"/>
                <w:szCs w:val="20"/>
                <w:color w:val="auto"/>
              </w:rPr>
            </w:pPr>
            <w:r>
              <w:rPr>
                <w:rFonts w:ascii="Arial" w:cs="Arial" w:eastAsia="Arial" w:hAnsi="Arial"/>
                <w:sz w:val="19"/>
                <w:szCs w:val="19"/>
                <w:color w:val="auto"/>
              </w:rPr>
              <w:t>Actuarial loss</w:t>
            </w:r>
          </w:p>
        </w:tc>
        <w:tc>
          <w:tcPr>
            <w:tcW w:w="4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10.8</w:t>
            </w:r>
          </w:p>
        </w:tc>
        <w:tc>
          <w:tcPr>
            <w:tcW w:w="2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1"/>
              </w:rPr>
              <w:t>11.5</w:t>
            </w:r>
          </w:p>
        </w:tc>
        <w:tc>
          <w:tcPr>
            <w:tcW w:w="10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19"/>
                <w:szCs w:val="19"/>
                <w:color w:val="auto"/>
              </w:rPr>
            </w:pPr>
          </w:p>
        </w:tc>
      </w:tr>
      <w:tr>
        <w:trPr>
          <w:trHeight w:val="201"/>
        </w:trPr>
        <w:tc>
          <w:tcPr>
            <w:tcW w:w="25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500" w:type="dxa"/>
            <w:vAlign w:val="bottom"/>
            <w:shd w:val="clear" w:color="auto" w:fill="CFF0FC"/>
          </w:tcPr>
          <w:p>
            <w:pPr>
              <w:ind w:left="120"/>
              <w:spacing w:after="0" w:line="201" w:lineRule="exact"/>
              <w:rPr>
                <w:sz w:val="20"/>
                <w:szCs w:val="20"/>
                <w:color w:val="auto"/>
              </w:rPr>
            </w:pPr>
            <w:r>
              <w:rPr>
                <w:rFonts w:ascii="Arial" w:cs="Arial" w:eastAsia="Arial" w:hAnsi="Arial"/>
                <w:sz w:val="19"/>
                <w:szCs w:val="19"/>
                <w:color w:val="auto"/>
                <w:w w:val="90"/>
              </w:rPr>
              <w:t>Other nonoperating (income) and expenses,</w:t>
            </w:r>
          </w:p>
        </w:tc>
      </w:tr>
      <w:tr>
        <w:trPr>
          <w:trHeight w:val="238"/>
        </w:trPr>
        <w:tc>
          <w:tcPr>
            <w:tcW w:w="25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10.7</w:t>
            </w: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81"/>
              </w:rPr>
              <w:t>10.9</w:t>
            </w:r>
          </w:p>
        </w:tc>
        <w:tc>
          <w:tcPr>
            <w:tcW w:w="100" w:type="dxa"/>
            <w:vAlign w:val="bottom"/>
            <w:shd w:val="clear" w:color="auto" w:fill="CFF0FC"/>
          </w:tcPr>
          <w:p>
            <w:pPr>
              <w:spacing w:after="0"/>
              <w:rPr>
                <w:sz w:val="20"/>
                <w:szCs w:val="20"/>
                <w:color w:val="auto"/>
              </w:rPr>
            </w:pPr>
          </w:p>
        </w:tc>
        <w:tc>
          <w:tcPr>
            <w:tcW w:w="3500" w:type="dxa"/>
            <w:vAlign w:val="bottom"/>
            <w:shd w:val="clear" w:color="auto" w:fill="CFF0FC"/>
          </w:tcPr>
          <w:p>
            <w:pPr>
              <w:ind w:left="120"/>
              <w:spacing w:after="0"/>
              <w:rPr>
                <w:sz w:val="20"/>
                <w:szCs w:val="20"/>
                <w:color w:val="auto"/>
              </w:rPr>
            </w:pPr>
            <w:r>
              <w:rPr>
                <w:rFonts w:ascii="Arial" w:cs="Arial" w:eastAsia="Arial" w:hAnsi="Arial"/>
                <w:sz w:val="19"/>
                <w:szCs w:val="19"/>
                <w:color w:val="auto"/>
              </w:rPr>
              <w:t>net</w:t>
            </w:r>
          </w:p>
        </w:tc>
      </w:tr>
      <w:tr>
        <w:trPr>
          <w:trHeight w:val="230"/>
        </w:trPr>
        <w:tc>
          <w:tcPr>
            <w:tcW w:w="2540" w:type="dxa"/>
            <w:vAlign w:val="bottom"/>
          </w:tcPr>
          <w:p>
            <w:pPr>
              <w:ind w:left="260"/>
              <w:spacing w:after="0"/>
              <w:rPr>
                <w:sz w:val="20"/>
                <w:szCs w:val="20"/>
                <w:color w:val="auto"/>
              </w:rPr>
            </w:pPr>
            <w:r>
              <w:rPr>
                <w:rFonts w:ascii="Arial" w:cs="Arial" w:eastAsia="Arial" w:hAnsi="Arial"/>
                <w:sz w:val="19"/>
                <w:szCs w:val="19"/>
                <w:color w:val="auto"/>
              </w:rPr>
              <w:t>Tax benefit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9"/>
                <w:szCs w:val="19"/>
                <w:color w:val="auto"/>
              </w:rPr>
              <w:t>(1.1)</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9"/>
                <w:szCs w:val="19"/>
                <w:color w:val="auto"/>
              </w:rPr>
              <w:t>(0.9)</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9"/>
                <w:szCs w:val="19"/>
                <w:color w:val="auto"/>
              </w:rPr>
              <w:t>(2.7)</w:t>
            </w:r>
          </w:p>
        </w:tc>
        <w:tc>
          <w:tcPr>
            <w:tcW w:w="66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9"/>
                <w:szCs w:val="19"/>
                <w:color w:val="auto"/>
                <w:w w:val="97"/>
              </w:rPr>
              <w:t>(2.7)</w:t>
            </w:r>
          </w:p>
        </w:tc>
        <w:tc>
          <w:tcPr>
            <w:tcW w:w="3500" w:type="dxa"/>
            <w:vAlign w:val="bottom"/>
          </w:tcPr>
          <w:p>
            <w:pPr>
              <w:ind w:left="120"/>
              <w:spacing w:after="0"/>
              <w:rPr>
                <w:sz w:val="20"/>
                <w:szCs w:val="20"/>
                <w:color w:val="auto"/>
              </w:rPr>
            </w:pPr>
            <w:r>
              <w:rPr>
                <w:rFonts w:ascii="Arial" w:cs="Arial" w:eastAsia="Arial" w:hAnsi="Arial"/>
                <w:sz w:val="19"/>
                <w:szCs w:val="19"/>
                <w:color w:val="auto"/>
              </w:rPr>
              <w:t>Income tax expense</w:t>
            </w:r>
          </w:p>
        </w:tc>
      </w:tr>
      <w:tr>
        <w:trPr>
          <w:trHeight w:val="223"/>
        </w:trPr>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66"/>
              <w:spacing w:after="0"/>
              <w:rPr>
                <w:sz w:val="20"/>
                <w:szCs w:val="20"/>
                <w:color w:val="auto"/>
              </w:rPr>
            </w:pPr>
            <w:r>
              <w:rPr>
                <w:rFonts w:ascii="Arial" w:cs="Arial" w:eastAsia="Arial" w:hAnsi="Arial"/>
                <w:sz w:val="19"/>
                <w:szCs w:val="19"/>
                <w:color w:val="auto"/>
                <w:w w:val="75"/>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nine months ended September 30, 2020 and 2019, the diluted per-share computations reflect the number of common shares outstanding to include the number of additional shares that would have been outstanding if the potentially dilutive common shares had been issued.</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48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40" w:type="dxa"/>
            <w:vAlign w:val="bottom"/>
            <w:gridSpan w:val="5"/>
          </w:tcPr>
          <w:p>
            <w:pPr>
              <w:ind w:left="200"/>
              <w:spacing w:after="0"/>
              <w:rPr>
                <w:sz w:val="20"/>
                <w:szCs w:val="20"/>
                <w:color w:val="auto"/>
              </w:rPr>
            </w:pPr>
            <w:r>
              <w:rPr>
                <w:rFonts w:ascii="Arial" w:cs="Arial" w:eastAsia="Arial" w:hAnsi="Arial"/>
                <w:sz w:val="20"/>
                <w:szCs w:val="20"/>
                <w:color w:val="auto"/>
              </w:rPr>
              <w:t>Nine Months Ended</w:t>
            </w:r>
          </w:p>
        </w:tc>
      </w:tr>
      <w:tr>
        <w:trPr>
          <w:trHeight w:val="246"/>
        </w:trPr>
        <w:tc>
          <w:tcPr>
            <w:tcW w:w="5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color w:val="auto"/>
              </w:rPr>
              <w:t>September 30,</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5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2019</w:t>
            </w: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2020</w:t>
            </w: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5"/>
              </w:rPr>
              <w:t>2019</w:t>
            </w:r>
          </w:p>
        </w:tc>
        <w:tc>
          <w:tcPr>
            <w:tcW w:w="120" w:type="dxa"/>
            <w:vAlign w:val="bottom"/>
          </w:tcPr>
          <w:p>
            <w:pPr>
              <w:spacing w:after="0"/>
              <w:rPr>
                <w:sz w:val="20"/>
                <w:szCs w:val="20"/>
                <w:color w:val="auto"/>
              </w:rPr>
            </w:pPr>
          </w:p>
        </w:tc>
      </w:tr>
      <w:tr>
        <w:trPr>
          <w:trHeight w:val="236"/>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20"/>
                <w:szCs w:val="20"/>
                <w:i w:val="1"/>
                <w:iCs w:val="1"/>
                <w:color w:val="auto"/>
              </w:rPr>
              <w:t>(In Millions)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294.4</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248.6</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538.0</w:t>
            </w:r>
          </w:p>
        </w:tc>
        <w:tc>
          <w:tcPr>
            <w:tcW w:w="68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480.9</w:t>
            </w:r>
          </w:p>
        </w:tc>
        <w:tc>
          <w:tcPr>
            <w:tcW w:w="120" w:type="dxa"/>
            <w:vAlign w:val="bottom"/>
            <w:shd w:val="clear" w:color="auto" w:fill="CFF0FC"/>
          </w:tcPr>
          <w:p>
            <w:pPr>
              <w:spacing w:after="0"/>
              <w:rPr>
                <w:sz w:val="21"/>
                <w:szCs w:val="21"/>
                <w:color w:val="auto"/>
              </w:rPr>
            </w:pPr>
          </w:p>
        </w:tc>
      </w:tr>
      <w:tr>
        <w:trPr>
          <w:trHeight w:val="226"/>
        </w:trPr>
        <w:tc>
          <w:tcPr>
            <w:tcW w:w="5220" w:type="dxa"/>
            <w:vAlign w:val="bottom"/>
          </w:tcPr>
          <w:p>
            <w:pPr>
              <w:spacing w:after="0" w:line="227" w:lineRule="exact"/>
              <w:rPr>
                <w:sz w:val="20"/>
                <w:szCs w:val="20"/>
                <w:color w:val="auto"/>
              </w:rPr>
            </w:pPr>
            <w:r>
              <w:rPr>
                <w:rFonts w:ascii="Arial" w:cs="Arial" w:eastAsia="Arial" w:hAnsi="Arial"/>
                <w:sz w:val="20"/>
                <w:szCs w:val="20"/>
                <w:color w:val="auto"/>
              </w:rPr>
              <w:t>Less: Distributed and undistributed earnings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5220" w:type="dxa"/>
            <w:vAlign w:val="bottom"/>
            <w:tcBorders>
              <w:bottom w:val="single" w:sz="8" w:color="CFF0FC"/>
            </w:tcBorders>
          </w:tcPr>
          <w:p>
            <w:pPr>
              <w:ind w:left="160"/>
              <w:spacing w:after="0"/>
              <w:rPr>
                <w:sz w:val="20"/>
                <w:szCs w:val="20"/>
                <w:color w:val="auto"/>
              </w:rPr>
            </w:pPr>
            <w:r>
              <w:rPr>
                <w:rFonts w:ascii="Arial" w:cs="Arial" w:eastAsia="Arial" w:hAnsi="Arial"/>
                <w:sz w:val="20"/>
                <w:szCs w:val="20"/>
                <w:color w:val="auto"/>
              </w:rPr>
              <w:t>attributable to unvested awards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24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120" w:type="dxa"/>
            <w:vAlign w:val="bottom"/>
            <w:tcBorders>
              <w:bottom w:val="single" w:sz="8" w:color="CFF0FC"/>
            </w:tcBorders>
          </w:tcPr>
          <w:p>
            <w:pPr>
              <w:spacing w:after="0"/>
              <w:rPr>
                <w:sz w:val="21"/>
                <w:szCs w:val="21"/>
                <w:color w:val="auto"/>
              </w:rPr>
            </w:pPr>
          </w:p>
        </w:tc>
      </w:tr>
      <w:tr>
        <w:trPr>
          <w:trHeight w:val="220"/>
        </w:trPr>
        <w:tc>
          <w:tcPr>
            <w:tcW w:w="522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52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shareholders attributable to Martin Marietta</w:t>
            </w: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294.1</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248.3</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537.5</w:t>
            </w:r>
          </w:p>
        </w:tc>
        <w:tc>
          <w:tcPr>
            <w:tcW w:w="68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480.0</w:t>
            </w:r>
          </w:p>
        </w:tc>
        <w:tc>
          <w:tcPr>
            <w:tcW w:w="120" w:type="dxa"/>
            <w:vAlign w:val="bottom"/>
            <w:shd w:val="clear" w:color="auto" w:fill="CFF0FC"/>
          </w:tcPr>
          <w:p>
            <w:pPr>
              <w:spacing w:after="0"/>
              <w:rPr>
                <w:sz w:val="21"/>
                <w:szCs w:val="2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24"/>
        </w:trPr>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62.5</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62.6</w:t>
            </w:r>
          </w:p>
        </w:tc>
        <w:tc>
          <w:tcPr>
            <w:tcW w:w="120" w:type="dxa"/>
            <w:vAlign w:val="bottom"/>
            <w:shd w:val="clear" w:color="auto" w:fill="CFF0FC"/>
          </w:tcPr>
          <w:p>
            <w:pPr>
              <w:spacing w:after="0"/>
              <w:rPr>
                <w:sz w:val="21"/>
                <w:szCs w:val="21"/>
                <w:color w:val="auto"/>
              </w:rPr>
            </w:pPr>
          </w:p>
        </w:tc>
      </w:tr>
      <w:tr>
        <w:trPr>
          <w:trHeight w:val="243"/>
        </w:trPr>
        <w:tc>
          <w:tcPr>
            <w:tcW w:w="52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24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120" w:type="dxa"/>
            <w:vAlign w:val="bottom"/>
            <w:tcBorders>
              <w:bottom w:val="single" w:sz="8" w:color="CFF0FC"/>
            </w:tcBorders>
          </w:tcPr>
          <w:p>
            <w:pPr>
              <w:spacing w:after="0"/>
              <w:rPr>
                <w:sz w:val="21"/>
                <w:szCs w:val="21"/>
                <w:color w:val="auto"/>
              </w:rPr>
            </w:pPr>
          </w:p>
        </w:tc>
      </w:tr>
      <w:tr>
        <w:trPr>
          <w:trHeight w:val="220"/>
        </w:trPr>
        <w:tc>
          <w:tcPr>
            <w:tcW w:w="522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Diluted weighted-average common shares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5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outstanding</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62.7</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Restricted Cash</w:t>
      </w:r>
    </w:p>
    <w:p>
      <w:pPr>
        <w:spacing w:after="0" w:line="114"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As of September 30, 2020, the Company had restricted cash of $77.1 million, which is invested in an account designated for the purchase of like-kind exchange replacement assets under Section 1031 of the Internal Revenue Code (Section 1031). The Company is restricted from utilizing the cash for purposes other than the purchase of the qualified assets for 180 days from receipt of the proceeds from the sale of the exchanged property. Any unused cash at the end of the 180 days will be transferred to unrestricted accounts of the Company and can then be used for general corporate purposes. The Company has until January 27, 2021, to purchase qualified assets under Section 1031. In October 2020, the Company transferred an additional $45.1 million from asset sales completed in the third quarter 2020 into a restricted Section 1031 account and has until March 9, 2021, to reinvest the funds in qualifying assets.</w:t>
      </w:r>
    </w:p>
    <w:p>
      <w:pPr>
        <w:spacing w:after="0" w:line="60"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 xml:space="preserve">In connection with ASU 2016-18, </w:t>
      </w:r>
      <w:r>
        <w:rPr>
          <w:rFonts w:ascii="Arial" w:cs="Arial" w:eastAsia="Arial" w:hAnsi="Arial"/>
          <w:sz w:val="20"/>
          <w:szCs w:val="20"/>
          <w:i w:val="1"/>
          <w:iCs w:val="1"/>
          <w:color w:val="auto"/>
        </w:rPr>
        <w:t>Statement of Cash Flows (Topic 230),</w:t>
      </w:r>
      <w:r>
        <w:rPr>
          <w:rFonts w:ascii="Arial" w:cs="Arial" w:eastAsia="Arial" w:hAnsi="Arial"/>
          <w:sz w:val="20"/>
          <w:szCs w:val="20"/>
          <w:color w:val="auto"/>
        </w:rPr>
        <w:t xml:space="preserve"> the statement of cash flows reflects cash flow changes and balances for cash, cash equivalents and restricted cash on an aggregated basis.</w:t>
      </w:r>
    </w:p>
    <w:p>
      <w:pPr>
        <w:spacing w:after="0" w:line="69"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The following table reconciles cash, cash equivalents and restricted cash as reported on the consolidated balance sheets to the aggregated amounts presented on the 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20"/>
                <w:szCs w:val="20"/>
                <w:color w:val="auto"/>
              </w:rPr>
              <w:t>September 30,</w:t>
            </w:r>
          </w:p>
        </w:tc>
        <w:tc>
          <w:tcPr>
            <w:tcW w:w="200" w:type="dxa"/>
            <w:vAlign w:val="bottom"/>
          </w:tcPr>
          <w:p>
            <w:pPr>
              <w:spacing w:after="0"/>
              <w:rPr>
                <w:sz w:val="21"/>
                <w:szCs w:val="21"/>
                <w:color w:val="auto"/>
              </w:rPr>
            </w:pPr>
          </w:p>
        </w:tc>
        <w:tc>
          <w:tcPr>
            <w:tcW w:w="1180" w:type="dxa"/>
            <w:vAlign w:val="bottom"/>
          </w:tcPr>
          <w:p>
            <w:pPr>
              <w:jc w:val="right"/>
              <w:ind w:right="181"/>
              <w:spacing w:after="0"/>
              <w:rPr>
                <w:sz w:val="20"/>
                <w:szCs w:val="20"/>
                <w:color w:val="auto"/>
              </w:rPr>
            </w:pPr>
            <w:r>
              <w:rPr>
                <w:rFonts w:ascii="Arial" w:cs="Arial" w:eastAsia="Arial" w:hAnsi="Arial"/>
                <w:sz w:val="20"/>
                <w:szCs w:val="20"/>
                <w:color w:val="auto"/>
                <w:w w:val="94"/>
              </w:rPr>
              <w:t>January 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20"/>
                <w:szCs w:val="20"/>
                <w:color w:val="auto"/>
              </w:rPr>
              <w:t>September 30,</w:t>
            </w:r>
          </w:p>
        </w:tc>
        <w:tc>
          <w:tcPr>
            <w:tcW w:w="20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Arial" w:cs="Arial" w:eastAsia="Arial" w:hAnsi="Arial"/>
                <w:sz w:val="20"/>
                <w:szCs w:val="20"/>
                <w:color w:val="auto"/>
              </w:rPr>
              <w:t>January 1,</w:t>
            </w:r>
          </w:p>
        </w:tc>
      </w:tr>
      <w:tr>
        <w:trPr>
          <w:trHeight w:val="246"/>
        </w:trPr>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1"/>
                <w:szCs w:val="21"/>
                <w:color w:val="auto"/>
              </w:rPr>
            </w:pPr>
          </w:p>
        </w:tc>
      </w:tr>
      <w:tr>
        <w:trPr>
          <w:trHeight w:val="236"/>
        </w:trPr>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ind w:left="500"/>
              <w:spacing w:after="0"/>
              <w:rPr>
                <w:sz w:val="20"/>
                <w:szCs w:val="20"/>
                <w:color w:val="auto"/>
              </w:rPr>
            </w:pPr>
            <w:r>
              <w:rPr>
                <w:rFonts w:ascii="Arial" w:cs="Arial" w:eastAsia="Arial" w:hAnsi="Arial"/>
                <w:sz w:val="20"/>
                <w:szCs w:val="20"/>
                <w:i w:val="1"/>
                <w:iCs w:val="1"/>
                <w:color w:val="auto"/>
              </w:rPr>
              <w:t>(Dollars in Millions)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24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44.9</w:t>
            </w:r>
          </w:p>
        </w:tc>
        <w:tc>
          <w:tcPr>
            <w:tcW w:w="120" w:type="dxa"/>
            <w:vAlign w:val="bottom"/>
            <w:shd w:val="clear" w:color="auto" w:fill="CFF0FC"/>
          </w:tcPr>
          <w:p>
            <w:pPr>
              <w:spacing w:after="0"/>
              <w:rPr>
                <w:sz w:val="21"/>
                <w:szCs w:val="2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20"/>
                <w:szCs w:val="20"/>
                <w:color w:val="auto"/>
              </w:rPr>
              <w:t>Restricted cash</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77.1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20"/>
        </w:trPr>
        <w:tc>
          <w:tcPr>
            <w:tcW w:w="4240" w:type="dxa"/>
            <w:vAlign w:val="bottom"/>
            <w:tcBorders>
              <w:top w:val="single" w:sz="8" w:color="CFF0FC"/>
            </w:tcBorders>
            <w:shd w:val="clear" w:color="auto" w:fill="CFF0FC"/>
          </w:tcPr>
          <w:p>
            <w:pPr>
              <w:spacing w:after="0" w:line="220" w:lineRule="exact"/>
              <w:rPr>
                <w:sz w:val="20"/>
                <w:szCs w:val="20"/>
                <w:color w:val="auto"/>
              </w:rPr>
            </w:pPr>
            <w:r>
              <w:rPr>
                <w:rFonts w:ascii="Arial" w:cs="Arial" w:eastAsia="Arial" w:hAnsi="Arial"/>
                <w:sz w:val="20"/>
                <w:szCs w:val="20"/>
                <w:color w:val="auto"/>
                <w:w w:val="98"/>
              </w:rPr>
              <w:t>Total cash, cash equivalents and restricted cash</w:t>
            </w:r>
          </w:p>
        </w:tc>
        <w:tc>
          <w:tcPr>
            <w:tcW w:w="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presented in the consolidated statements of</w:t>
            </w: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42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cash flows</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193.7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44.9</w:t>
            </w:r>
          </w:p>
        </w:tc>
        <w:tc>
          <w:tcPr>
            <w:tcW w:w="120" w:type="dxa"/>
            <w:vAlign w:val="bottom"/>
            <w:shd w:val="clear" w:color="auto" w:fill="CFF0FC"/>
          </w:tcPr>
          <w:p>
            <w:pPr>
              <w:spacing w:after="0"/>
              <w:rPr>
                <w:sz w:val="21"/>
                <w:szCs w:val="21"/>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3" w:lineRule="exact"/>
        <w:rPr>
          <w:rFonts w:ascii="Arial" w:cs="Arial" w:eastAsia="Arial" w:hAnsi="Arial"/>
          <w:sz w:val="20"/>
          <w:szCs w:val="20"/>
          <w:b w:val="1"/>
          <w:bCs w:val="1"/>
          <w:color w:val="auto"/>
        </w:rPr>
      </w:pPr>
    </w:p>
    <w:p>
      <w:pPr>
        <w:jc w:val="both"/>
        <w:ind w:left="38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cost-to-cost approach. Freight revenues reflect delivery arranged by the Company using a third party on behalf of the customer and are recognized consistently with the timing of the product revenues.</w:t>
      </w:r>
    </w:p>
    <w:p>
      <w:pPr>
        <w:spacing w:after="0" w:line="56"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two years. For product revenues and freight revenues, customer payment terms are generally 30 days from invoice date. Customer payments for the paving operations are based on a contractual billing schedule and are due 30 days from invoice date.</w:t>
      </w:r>
    </w:p>
    <w:p>
      <w:pPr>
        <w:spacing w:after="0" w:line="72"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unsatisfied performance obligations at September 30, 2020 and 2019 were $150.2 million and $133.9 million, respectively, where the remaining periods to complete these obligations ranged from one month to 13 months and one month to 15 months,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380"/>
        <w:spacing w:after="0" w:line="287" w:lineRule="auto"/>
        <w:rPr>
          <w:sz w:val="20"/>
          <w:szCs w:val="20"/>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 Prior-year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segment information has been reclassified to conform to the reportable segment changes described in Note 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87"/>
              </w:rPr>
              <w:t>September 30, 2020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61"/>
              <w:spacing w:after="0"/>
              <w:rPr>
                <w:sz w:val="20"/>
                <w:szCs w:val="20"/>
                <w:color w:val="auto"/>
              </w:rPr>
            </w:pPr>
            <w:r>
              <w:rPr>
                <w:rFonts w:ascii="Arial" w:cs="Arial" w:eastAsia="Arial" w:hAnsi="Arial"/>
                <w:sz w:val="20"/>
                <w:szCs w:val="20"/>
                <w:color w:val="auto"/>
                <w:w w:val="86"/>
              </w:rPr>
              <w:t>Services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20"/>
                <w:szCs w:val="20"/>
                <w:color w:val="auto"/>
                <w:w w:val="93"/>
              </w:rPr>
              <w:t>Freight</w:t>
            </w: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3"/>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20"/>
                <w:szCs w:val="20"/>
                <w:color w:val="auto"/>
              </w:rPr>
              <w:t>East Group</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514.1</w:t>
            </w:r>
          </w:p>
        </w:tc>
        <w:tc>
          <w:tcPr>
            <w:tcW w:w="5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35.2</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549.3</w:t>
            </w:r>
          </w:p>
        </w:tc>
        <w:tc>
          <w:tcPr>
            <w:tcW w:w="100" w:type="dxa"/>
            <w:vAlign w:val="bottom"/>
          </w:tcPr>
          <w:p>
            <w:pPr>
              <w:spacing w:after="0"/>
              <w:rPr>
                <w:sz w:val="21"/>
                <w:szCs w:val="21"/>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671.4</w:t>
            </w:r>
          </w:p>
        </w:tc>
        <w:tc>
          <w:tcPr>
            <w:tcW w:w="2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39.8</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711.2</w:t>
            </w:r>
          </w:p>
        </w:tc>
        <w:tc>
          <w:tcPr>
            <w:tcW w:w="100" w:type="dxa"/>
            <w:vAlign w:val="bottom"/>
            <w:shd w:val="clear" w:color="auto" w:fill="CFF0FC"/>
          </w:tcPr>
          <w:p>
            <w:pPr>
              <w:spacing w:after="0"/>
              <w:rPr>
                <w:sz w:val="21"/>
                <w:szCs w:val="21"/>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1,185.5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1,260.5</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55.2</w:t>
            </w:r>
          </w:p>
        </w:tc>
        <w:tc>
          <w:tcPr>
            <w:tcW w:w="2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60.9</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1,240.7</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80.7</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1,321.4</w:t>
            </w:r>
          </w:p>
        </w:tc>
        <w:tc>
          <w:tcPr>
            <w:tcW w:w="100" w:type="dxa"/>
            <w:vAlign w:val="bottom"/>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87"/>
              </w:rPr>
              <w:t>September 30, 2019</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61"/>
              <w:spacing w:after="0"/>
              <w:rPr>
                <w:sz w:val="20"/>
                <w:szCs w:val="20"/>
                <w:color w:val="auto"/>
              </w:rPr>
            </w:pPr>
            <w:r>
              <w:rPr>
                <w:rFonts w:ascii="Arial" w:cs="Arial" w:eastAsia="Arial" w:hAnsi="Arial"/>
                <w:sz w:val="20"/>
                <w:szCs w:val="20"/>
                <w:color w:val="auto"/>
                <w:w w:val="86"/>
              </w:rPr>
              <w:t>Services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20"/>
                <w:szCs w:val="20"/>
                <w:color w:val="auto"/>
                <w:w w:val="93"/>
              </w:rPr>
              <w:t>Freight</w:t>
            </w: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3"/>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20"/>
                <w:szCs w:val="20"/>
                <w:color w:val="auto"/>
              </w:rPr>
              <w:t>East Group</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539.8</w:t>
            </w:r>
          </w:p>
        </w:tc>
        <w:tc>
          <w:tcPr>
            <w:tcW w:w="5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42.2</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582.0</w:t>
            </w:r>
          </w:p>
        </w:tc>
        <w:tc>
          <w:tcPr>
            <w:tcW w:w="100" w:type="dxa"/>
            <w:vAlign w:val="bottom"/>
          </w:tcPr>
          <w:p>
            <w:pPr>
              <w:spacing w:after="0"/>
              <w:rPr>
                <w:sz w:val="21"/>
                <w:szCs w:val="21"/>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724.1</w:t>
            </w:r>
          </w:p>
        </w:tc>
        <w:tc>
          <w:tcPr>
            <w:tcW w:w="2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49.3</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773.4</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1,263.9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91.5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1,355.4</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59.3</w:t>
            </w:r>
          </w:p>
        </w:tc>
        <w:tc>
          <w:tcPr>
            <w:tcW w:w="2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64.8</w:t>
            </w:r>
          </w:p>
        </w:tc>
        <w:tc>
          <w:tcPr>
            <w:tcW w:w="100" w:type="dxa"/>
            <w:vAlign w:val="bottom"/>
            <w:shd w:val="clear" w:color="auto" w:fill="CFF0FC"/>
          </w:tcPr>
          <w:p>
            <w:pPr>
              <w:spacing w:after="0"/>
              <w:rPr>
                <w:sz w:val="21"/>
                <w:szCs w:val="21"/>
                <w:color w:val="auto"/>
              </w:rPr>
            </w:pPr>
          </w:p>
        </w:tc>
      </w:tr>
      <w:tr>
        <w:trPr>
          <w:trHeight w:val="236"/>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1,323.2</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97.0</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1,420.2</w:t>
            </w:r>
          </w:p>
        </w:tc>
        <w:tc>
          <w:tcPr>
            <w:tcW w:w="100" w:type="dxa"/>
            <w:vAlign w:val="bottom"/>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Service revenues, which include paving operations located in Colorado, were $112.8 million and $110.9 million for the three months ended September 30, 2020 and 2019,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jc w:val="center"/>
              <w:spacing w:after="0"/>
              <w:rPr>
                <w:sz w:val="20"/>
                <w:szCs w:val="20"/>
                <w:color w:val="auto"/>
              </w:rPr>
            </w:pPr>
            <w:r>
              <w:rPr>
                <w:rFonts w:ascii="Arial" w:cs="Arial" w:eastAsia="Arial" w:hAnsi="Arial"/>
                <w:sz w:val="20"/>
                <w:szCs w:val="20"/>
                <w:color w:val="auto"/>
                <w:w w:val="89"/>
              </w:rPr>
              <w:t>Nine Months Ended</w:t>
            </w: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7"/>
              </w:rPr>
              <w:t>September 30, 2020</w:t>
            </w: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line="220" w:lineRule="exact"/>
              <w:rPr>
                <w:sz w:val="20"/>
                <w:szCs w:val="20"/>
                <w:color w:val="auto"/>
              </w:rPr>
            </w:pPr>
            <w:r>
              <w:rPr>
                <w:rFonts w:ascii="Arial" w:cs="Arial" w:eastAsia="Arial" w:hAnsi="Arial"/>
                <w:sz w:val="20"/>
                <w:szCs w:val="20"/>
                <w:color w:val="auto"/>
                <w:w w:val="86"/>
              </w:rPr>
              <w:t>Products and</w:t>
            </w: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Services</w:t>
            </w:r>
          </w:p>
        </w:tc>
        <w:tc>
          <w:tcPr>
            <w:tcW w:w="44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0"/>
                <w:szCs w:val="20"/>
                <w:color w:val="auto"/>
                <w:w w:val="93"/>
              </w:rPr>
              <w:t>Freight</w:t>
            </w:r>
          </w:p>
        </w:tc>
        <w:tc>
          <w:tcPr>
            <w:tcW w:w="48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6"/>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East Group</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1,371.8</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94.1</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1,465.9</w:t>
            </w:r>
          </w:p>
        </w:tc>
        <w:tc>
          <w:tcPr>
            <w:tcW w:w="100" w:type="dxa"/>
            <w:vAlign w:val="bottom"/>
            <w:shd w:val="clear" w:color="auto" w:fill="CFF0FC"/>
          </w:tcPr>
          <w:p>
            <w:pPr>
              <w:spacing w:after="0"/>
              <w:rPr>
                <w:sz w:val="21"/>
                <w:szCs w:val="21"/>
                <w:color w:val="auto"/>
              </w:rPr>
            </w:pPr>
          </w:p>
        </w:tc>
      </w:tr>
      <w:tr>
        <w:trPr>
          <w:trHeight w:val="243"/>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1,785.4</w:t>
            </w:r>
          </w:p>
        </w:tc>
        <w:tc>
          <w:tcPr>
            <w:tcW w:w="1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118.8</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1,904.2</w:t>
            </w:r>
          </w:p>
        </w:tc>
        <w:tc>
          <w:tcPr>
            <w:tcW w:w="100" w:type="dxa"/>
            <w:vAlign w:val="bottom"/>
            <w:tcBorders>
              <w:bottom w:val="single" w:sz="8" w:color="CFF0FC"/>
            </w:tcBorders>
          </w:tcPr>
          <w:p>
            <w:pPr>
              <w:spacing w:after="0"/>
              <w:rPr>
                <w:sz w:val="21"/>
                <w:szCs w:val="21"/>
                <w:color w:val="auto"/>
              </w:rPr>
            </w:pPr>
          </w:p>
        </w:tc>
      </w:tr>
      <w:tr>
        <w:trPr>
          <w:trHeight w:val="236"/>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3,157.2</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212.9</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3,370.1</w:t>
            </w:r>
          </w:p>
        </w:tc>
        <w:tc>
          <w:tcPr>
            <w:tcW w:w="100" w:type="dxa"/>
            <w:vAlign w:val="bottom"/>
            <w:shd w:val="clear" w:color="auto" w:fill="CFF0FC"/>
          </w:tcPr>
          <w:p>
            <w:pPr>
              <w:spacing w:after="0"/>
              <w:rPr>
                <w:sz w:val="20"/>
                <w:szCs w:val="20"/>
                <w:color w:val="auto"/>
              </w:rPr>
            </w:pPr>
          </w:p>
        </w:tc>
      </w:tr>
      <w:tr>
        <w:trPr>
          <w:trHeight w:val="243"/>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164.0</w:t>
            </w:r>
          </w:p>
        </w:tc>
        <w:tc>
          <w:tcPr>
            <w:tcW w:w="1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180.2</w:t>
            </w:r>
          </w:p>
        </w:tc>
        <w:tc>
          <w:tcPr>
            <w:tcW w:w="100" w:type="dxa"/>
            <w:vAlign w:val="bottom"/>
            <w:tcBorders>
              <w:bottom w:val="single" w:sz="8" w:color="CFF0FC"/>
            </w:tcBorders>
          </w:tcPr>
          <w:p>
            <w:pPr>
              <w:spacing w:after="0"/>
              <w:rPr>
                <w:sz w:val="21"/>
                <w:szCs w:val="21"/>
                <w:color w:val="auto"/>
              </w:rPr>
            </w:pPr>
          </w:p>
        </w:tc>
      </w:tr>
      <w:tr>
        <w:trPr>
          <w:trHeight w:val="237"/>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3,321.2</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229.1</w:t>
            </w: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3,550.3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center"/>
              <w:spacing w:after="0"/>
              <w:rPr>
                <w:sz w:val="20"/>
                <w:szCs w:val="20"/>
                <w:color w:val="auto"/>
              </w:rPr>
            </w:pPr>
            <w:r>
              <w:rPr>
                <w:rFonts w:ascii="Arial" w:cs="Arial" w:eastAsia="Arial" w:hAnsi="Arial"/>
                <w:sz w:val="20"/>
                <w:szCs w:val="20"/>
                <w:color w:val="auto"/>
                <w:w w:val="89"/>
              </w:rPr>
              <w:t>Nine Months Ended</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0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7"/>
              </w:rPr>
              <w:t>September 30, 2019</w:t>
            </w: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20"/>
        </w:trPr>
        <w:tc>
          <w:tcPr>
            <w:tcW w:w="6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280"/>
              <w:spacing w:after="0" w:line="220" w:lineRule="exact"/>
              <w:rPr>
                <w:sz w:val="20"/>
                <w:szCs w:val="20"/>
                <w:color w:val="auto"/>
              </w:rPr>
            </w:pPr>
            <w:r>
              <w:rPr>
                <w:rFonts w:ascii="Arial" w:cs="Arial" w:eastAsia="Arial" w:hAnsi="Arial"/>
                <w:sz w:val="20"/>
                <w:szCs w:val="20"/>
                <w:color w:val="auto"/>
                <w:w w:val="86"/>
              </w:rPr>
              <w:t>Products and</w:t>
            </w: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6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center"/>
              <w:ind w:right="280"/>
              <w:spacing w:after="0"/>
              <w:rPr>
                <w:sz w:val="20"/>
                <w:szCs w:val="20"/>
                <w:color w:val="auto"/>
              </w:rPr>
            </w:pPr>
            <w:r>
              <w:rPr>
                <w:rFonts w:ascii="Arial" w:cs="Arial" w:eastAsia="Arial" w:hAnsi="Arial"/>
                <w:sz w:val="20"/>
                <w:szCs w:val="20"/>
                <w:color w:val="auto"/>
                <w:w w:val="86"/>
              </w:rPr>
              <w:t>Services</w:t>
            </w:r>
          </w:p>
        </w:tc>
        <w:tc>
          <w:tcPr>
            <w:tcW w:w="4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center"/>
              <w:ind w:right="400"/>
              <w:spacing w:after="0"/>
              <w:rPr>
                <w:sz w:val="20"/>
                <w:szCs w:val="20"/>
                <w:color w:val="auto"/>
              </w:rPr>
            </w:pPr>
            <w:r>
              <w:rPr>
                <w:rFonts w:ascii="Arial" w:cs="Arial" w:eastAsia="Arial" w:hAnsi="Arial"/>
                <w:sz w:val="20"/>
                <w:szCs w:val="20"/>
                <w:color w:val="auto"/>
                <w:w w:val="93"/>
              </w:rPr>
              <w:t>Freight</w:t>
            </w:r>
          </w:p>
        </w:tc>
        <w:tc>
          <w:tcPr>
            <w:tcW w:w="4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ind w:left="220"/>
              <w:spacing w:after="0"/>
              <w:rPr>
                <w:sz w:val="20"/>
                <w:szCs w:val="20"/>
                <w:color w:val="auto"/>
              </w:rPr>
            </w:pPr>
            <w:r>
              <w:rPr>
                <w:rFonts w:ascii="Arial" w:cs="Arial" w:eastAsia="Arial" w:hAnsi="Arial"/>
                <w:sz w:val="20"/>
                <w:szCs w:val="20"/>
                <w:color w:val="auto"/>
              </w:rPr>
              <w:t>Total</w:t>
            </w:r>
          </w:p>
        </w:tc>
      </w:tr>
      <w:tr>
        <w:trPr>
          <w:trHeight w:val="237"/>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East Group</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1,398.6</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102.2</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1,500.8</w:t>
            </w:r>
          </w:p>
        </w:tc>
        <w:tc>
          <w:tcPr>
            <w:tcW w:w="100" w:type="dxa"/>
            <w:vAlign w:val="bottom"/>
            <w:shd w:val="clear" w:color="auto" w:fill="CFF0FC"/>
          </w:tcPr>
          <w:p>
            <w:pPr>
              <w:spacing w:after="0"/>
              <w:rPr>
                <w:sz w:val="21"/>
                <w:szCs w:val="21"/>
                <w:color w:val="auto"/>
              </w:rPr>
            </w:pPr>
          </w:p>
        </w:tc>
      </w:tr>
      <w:tr>
        <w:trPr>
          <w:trHeight w:val="243"/>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1,800.1</w:t>
            </w:r>
          </w:p>
        </w:tc>
        <w:tc>
          <w:tcPr>
            <w:tcW w:w="1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122.6</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1,922.7</w:t>
            </w:r>
          </w:p>
        </w:tc>
        <w:tc>
          <w:tcPr>
            <w:tcW w:w="100" w:type="dxa"/>
            <w:vAlign w:val="bottom"/>
            <w:tcBorders>
              <w:bottom w:val="single" w:sz="8" w:color="CFF0FC"/>
            </w:tcBorders>
          </w:tcPr>
          <w:p>
            <w:pPr>
              <w:spacing w:after="0"/>
              <w:rPr>
                <w:sz w:val="21"/>
                <w:szCs w:val="21"/>
                <w:color w:val="auto"/>
              </w:rPr>
            </w:pPr>
          </w:p>
        </w:tc>
      </w:tr>
      <w:tr>
        <w:trPr>
          <w:trHeight w:val="237"/>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3,198.7</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224.8</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3,423.5</w:t>
            </w:r>
          </w:p>
        </w:tc>
        <w:tc>
          <w:tcPr>
            <w:tcW w:w="100" w:type="dxa"/>
            <w:vAlign w:val="bottom"/>
            <w:shd w:val="clear" w:color="auto" w:fill="CFF0FC"/>
          </w:tcPr>
          <w:p>
            <w:pPr>
              <w:spacing w:after="0"/>
              <w:rPr>
                <w:sz w:val="20"/>
                <w:szCs w:val="20"/>
                <w:color w:val="auto"/>
              </w:rPr>
            </w:pPr>
          </w:p>
        </w:tc>
      </w:tr>
      <w:tr>
        <w:trPr>
          <w:trHeight w:val="243"/>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198.9</w:t>
            </w:r>
          </w:p>
        </w:tc>
        <w:tc>
          <w:tcPr>
            <w:tcW w:w="1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215.2</w:t>
            </w:r>
          </w:p>
        </w:tc>
        <w:tc>
          <w:tcPr>
            <w:tcW w:w="100" w:type="dxa"/>
            <w:vAlign w:val="bottom"/>
            <w:tcBorders>
              <w:bottom w:val="single" w:sz="8" w:color="CFF0FC"/>
            </w:tcBorders>
          </w:tcPr>
          <w:p>
            <w:pPr>
              <w:spacing w:after="0"/>
              <w:rPr>
                <w:sz w:val="21"/>
                <w:szCs w:val="21"/>
                <w:color w:val="auto"/>
              </w:rPr>
            </w:pPr>
          </w:p>
        </w:tc>
      </w:tr>
      <w:tr>
        <w:trPr>
          <w:trHeight w:val="237"/>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3,397.6</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241.1</w:t>
            </w: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3,638.7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left="380"/>
        <w:spacing w:after="0"/>
        <w:rPr>
          <w:sz w:val="20"/>
          <w:szCs w:val="20"/>
          <w:color w:val="auto"/>
        </w:rPr>
      </w:pPr>
      <w:r>
        <w:rPr>
          <w:rFonts w:ascii="Arial" w:cs="Arial" w:eastAsia="Arial" w:hAnsi="Arial"/>
          <w:sz w:val="19"/>
          <w:szCs w:val="19"/>
          <w:color w:val="auto"/>
        </w:rPr>
        <w:t>Service revenues for the nine months ended September 30, 2020 and 2019 were $221.3 million and $191.8 million, respectively.</w:t>
      </w:r>
    </w:p>
    <w:p>
      <w:pPr>
        <w:spacing w:after="0" w:line="119"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conditional right to consideration for completed contractual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20" w:type="dxa"/>
            <w:vAlign w:val="bottom"/>
          </w:tcPr>
          <w:p>
            <w:pPr>
              <w:spacing w:after="0"/>
              <w:rPr>
                <w:sz w:val="20"/>
                <w:szCs w:val="20"/>
                <w:color w:val="auto"/>
              </w:rPr>
            </w:pPr>
            <w:r>
              <w:rPr>
                <w:rFonts w:ascii="Arial" w:cs="Arial" w:eastAsia="Arial" w:hAnsi="Arial"/>
                <w:sz w:val="20"/>
                <w:szCs w:val="20"/>
                <w:i w:val="1"/>
                <w:iCs w:val="1"/>
                <w:color w:val="auto"/>
              </w:rPr>
              <w:t>(Dollars in Millions)</w:t>
            </w:r>
          </w:p>
        </w:tc>
        <w:tc>
          <w:tcPr>
            <w:tcW w:w="26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20"/>
                <w:szCs w:val="20"/>
                <w:color w:val="auto"/>
                <w:w w:val="99"/>
              </w:rPr>
              <w:t>September 30, 2020</w:t>
            </w:r>
          </w:p>
        </w:tc>
        <w:tc>
          <w:tcPr>
            <w:tcW w:w="30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Arial" w:cs="Arial" w:eastAsia="Arial" w:hAnsi="Arial"/>
                <w:sz w:val="20"/>
                <w:szCs w:val="20"/>
                <w:color w:val="auto"/>
              </w:rPr>
              <w:t>December 31, 2019</w:t>
            </w:r>
          </w:p>
        </w:tc>
      </w:tr>
      <w:tr>
        <w:trPr>
          <w:trHeight w:val="237"/>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Costs in excess of billings</w:t>
            </w:r>
          </w:p>
        </w:tc>
        <w:tc>
          <w:tcPr>
            <w:tcW w:w="2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w:t>
            </w:r>
          </w:p>
        </w:tc>
        <w:tc>
          <w:tcPr>
            <w:tcW w:w="12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120" w:type="dxa"/>
            <w:vAlign w:val="bottom"/>
            <w:tcBorders>
              <w:top w:val="single" w:sz="8" w:color="CFF0FC"/>
            </w:tcBorders>
            <w:shd w:val="clear" w:color="auto" w:fill="CFF0FC"/>
          </w:tcPr>
          <w:p>
            <w:pPr>
              <w:spacing w:after="0"/>
              <w:rPr>
                <w:sz w:val="20"/>
                <w:szCs w:val="20"/>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Billings in excess of costs</w:t>
            </w:r>
          </w:p>
        </w:tc>
        <w:tc>
          <w:tcPr>
            <w:tcW w:w="2660" w:type="dxa"/>
            <w:vAlign w:val="bottom"/>
          </w:tcPr>
          <w:p>
            <w:pPr>
              <w:jc w:val="right"/>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13.0</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7.8</w:t>
            </w:r>
          </w:p>
        </w:tc>
        <w:tc>
          <w:tcPr>
            <w:tcW w:w="120" w:type="dxa"/>
            <w:vAlign w:val="bottom"/>
          </w:tcPr>
          <w:p>
            <w:pPr>
              <w:spacing w:after="0"/>
              <w:rPr>
                <w:sz w:val="21"/>
                <w:szCs w:val="21"/>
                <w:color w:val="auto"/>
              </w:rPr>
            </w:pPr>
          </w:p>
        </w:tc>
      </w:tr>
    </w:tbl>
    <w:p>
      <w:pPr>
        <w:spacing w:after="0" w:line="205"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Revenues recognized from the beginning balance of contract liabilities for the three months ended September 30, 2020 and 2019 were $8.5 million and $8.0 million, respectively, and for the nine months ended September 30, 2020 and 2019 were $7.2 million and $6.5 million, respectively.</w:t>
      </w:r>
    </w:p>
    <w:p>
      <w:pPr>
        <w:spacing w:after="0" w:line="78"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Retainage, which primarily relates to the paving services, represents amounts that have been billed to customers but payment withheld until final acceptance by the customer of the performance obligation. Included in other current assets on the Company’s consolidated balance sheets, retainage was $10.7 million and $10.2 million at September 30, 2020 and December 31, 2019,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right="20"/>
        <w:spacing w:after="0" w:line="243" w:lineRule="auto"/>
        <w:rPr>
          <w:sz w:val="20"/>
          <w:szCs w:val="20"/>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third-party freight to deliver products to customers, the Company has elected the delivery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3" w:lineRule="exact"/>
        <w:rPr>
          <w:sz w:val="20"/>
          <w:szCs w:val="20"/>
          <w:color w:val="auto"/>
        </w:rPr>
      </w:pPr>
    </w:p>
    <w:p>
      <w:pPr>
        <w:ind w:left="480" w:hanging="472"/>
        <w:spacing w:after="0"/>
        <w:tabs>
          <w:tab w:leader="none" w:pos="4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Acquisitions</w:t>
      </w:r>
    </w:p>
    <w:p>
      <w:pPr>
        <w:spacing w:after="0" w:line="92"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During the third quarter 2020, the Company acquired certain assets, including a sand and gravel plant and four ready mixed concrete operations. This acquisition provides customer expansion in the Dallas/Fort Worth, Texas market and the ability to internally source ready mixed concrete raw materials from the Company’s legacy cement and aggregates operations. The Company has recorded preliminary fair values of the assets acquired and liabilities assumed, which are subject to asset verification and a normal post-closing working capital adjustment. Therefore, the measurement period for accounts receivable; property, plant and equipment; intangible assets, including goodwill; and accounts payable remains open as of September 30, 2020. The impact of this acquisition is not material to the Company’s operating results; therefore, pro forma financial information is not included.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00" w:type="dxa"/>
            <w:vAlign w:val="bottom"/>
          </w:tcPr>
          <w:p>
            <w:pPr>
              <w:spacing w:after="0"/>
              <w:rPr>
                <w:sz w:val="20"/>
                <w:szCs w:val="20"/>
                <w:color w:val="auto"/>
              </w:rPr>
            </w:pPr>
            <w:r>
              <w:rPr>
                <w:rFonts w:ascii="Arial" w:cs="Arial" w:eastAsia="Arial" w:hAnsi="Arial"/>
                <w:sz w:val="20"/>
                <w:szCs w:val="20"/>
                <w:b w:val="1"/>
                <w:bCs w:val="1"/>
                <w:color w:val="auto"/>
              </w:rPr>
              <w:t>4.  Inventories, Net</w:t>
            </w:r>
          </w:p>
        </w:tc>
        <w:tc>
          <w:tcPr>
            <w:tcW w:w="2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0"/>
        </w:trPr>
        <w:tc>
          <w:tcPr>
            <w:tcW w:w="4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20"/>
                <w:szCs w:val="20"/>
                <w:color w:val="auto"/>
                <w:w w:val="94"/>
              </w:rPr>
              <w:t>September 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20"/>
                <w:szCs w:val="20"/>
                <w:color w:val="auto"/>
                <w:w w:val="95"/>
              </w:rPr>
              <w:t>December 31,</w:t>
            </w:r>
          </w:p>
        </w:tc>
      </w:tr>
      <w:tr>
        <w:trPr>
          <w:trHeight w:val="246"/>
        </w:trPr>
        <w:tc>
          <w:tcPr>
            <w:tcW w:w="48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2020</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2019</w:t>
            </w:r>
          </w:p>
        </w:tc>
        <w:tc>
          <w:tcPr>
            <w:tcW w:w="100" w:type="dxa"/>
            <w:vAlign w:val="bottom"/>
          </w:tcPr>
          <w:p>
            <w:pPr>
              <w:spacing w:after="0"/>
              <w:rPr>
                <w:sz w:val="21"/>
                <w:szCs w:val="21"/>
                <w:color w:val="auto"/>
              </w:rPr>
            </w:pPr>
          </w:p>
        </w:tc>
      </w:tr>
      <w:tr>
        <w:trPr>
          <w:trHeight w:val="237"/>
        </w:trPr>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5"/>
          </w:tcPr>
          <w:p>
            <w:pPr>
              <w:jc w:val="right"/>
              <w:ind w:right="1061"/>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r>
      <w:tr>
        <w:trPr>
          <w:trHeight w:val="243"/>
        </w:trPr>
        <w:tc>
          <w:tcPr>
            <w:tcW w:w="480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260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673.1</w:t>
            </w:r>
          </w:p>
        </w:tc>
        <w:tc>
          <w:tcPr>
            <w:tcW w:w="1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643.6</w:t>
            </w:r>
          </w:p>
        </w:tc>
        <w:tc>
          <w:tcPr>
            <w:tcW w:w="100" w:type="dxa"/>
            <w:vAlign w:val="bottom"/>
            <w:shd w:val="clear" w:color="auto" w:fill="CFF0FC"/>
          </w:tcPr>
          <w:p>
            <w:pPr>
              <w:spacing w:after="0"/>
              <w:rPr>
                <w:sz w:val="21"/>
                <w:szCs w:val="2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20"/>
                <w:szCs w:val="20"/>
                <w:color w:val="auto"/>
              </w:rPr>
              <w:t>Products in process</w:t>
            </w:r>
          </w:p>
        </w:tc>
        <w:tc>
          <w:tcPr>
            <w:tcW w:w="2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38.4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41.9</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spacing w:after="0"/>
              <w:rPr>
                <w:sz w:val="20"/>
                <w:szCs w:val="20"/>
                <w:color w:val="auto"/>
              </w:rPr>
            </w:pPr>
            <w:r>
              <w:rPr>
                <w:rFonts w:ascii="Arial" w:cs="Arial" w:eastAsia="Arial" w:hAnsi="Arial"/>
                <w:sz w:val="20"/>
                <w:szCs w:val="20"/>
                <w:color w:val="auto"/>
              </w:rPr>
              <w:t>Raw materials</w:t>
            </w:r>
          </w:p>
        </w:tc>
        <w:tc>
          <w:tcPr>
            <w:tcW w:w="2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35.8</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32.4</w:t>
            </w:r>
          </w:p>
        </w:tc>
        <w:tc>
          <w:tcPr>
            <w:tcW w:w="100" w:type="dxa"/>
            <w:vAlign w:val="bottom"/>
            <w:shd w:val="clear" w:color="auto" w:fill="CFF0FC"/>
          </w:tcPr>
          <w:p>
            <w:pPr>
              <w:spacing w:after="0"/>
              <w:rPr>
                <w:sz w:val="21"/>
                <w:szCs w:val="21"/>
                <w:color w:val="auto"/>
              </w:rPr>
            </w:pPr>
          </w:p>
        </w:tc>
      </w:tr>
      <w:tr>
        <w:trPr>
          <w:trHeight w:val="243"/>
        </w:trPr>
        <w:tc>
          <w:tcPr>
            <w:tcW w:w="48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Supplies and expendable parts</w:t>
            </w:r>
          </w:p>
        </w:tc>
        <w:tc>
          <w:tcPr>
            <w:tcW w:w="23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145.8</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141.5</w:t>
            </w:r>
          </w:p>
        </w:tc>
        <w:tc>
          <w:tcPr>
            <w:tcW w:w="100" w:type="dxa"/>
            <w:vAlign w:val="bottom"/>
            <w:tcBorders>
              <w:bottom w:val="single" w:sz="8" w:color="CFF0FC"/>
            </w:tcBorders>
          </w:tcPr>
          <w:p>
            <w:pPr>
              <w:spacing w:after="0"/>
              <w:rPr>
                <w:sz w:val="21"/>
                <w:szCs w:val="21"/>
                <w:color w:val="auto"/>
              </w:rPr>
            </w:pPr>
          </w:p>
        </w:tc>
      </w:tr>
      <w:tr>
        <w:trPr>
          <w:trHeight w:val="237"/>
        </w:trPr>
        <w:tc>
          <w:tcPr>
            <w:tcW w:w="480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893.1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859.4</w:t>
            </w:r>
          </w:p>
        </w:tc>
        <w:tc>
          <w:tcPr>
            <w:tcW w:w="100" w:type="dxa"/>
            <w:vAlign w:val="bottom"/>
            <w:shd w:val="clear" w:color="auto" w:fill="CFF0FC"/>
          </w:tcPr>
          <w:p>
            <w:pPr>
              <w:spacing w:after="0"/>
              <w:rPr>
                <w:sz w:val="20"/>
                <w:szCs w:val="20"/>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20"/>
                <w:szCs w:val="20"/>
                <w:color w:val="auto"/>
              </w:rPr>
              <w:t>Less: Allowances</w:t>
            </w:r>
          </w:p>
        </w:tc>
        <w:tc>
          <w:tcPr>
            <w:tcW w:w="2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20"/>
                <w:szCs w:val="20"/>
                <w:color w:val="auto"/>
              </w:rPr>
              <w:t>(178.6)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20"/>
                <w:szCs w:val="20"/>
                <w:color w:val="auto"/>
              </w:rPr>
              <w:t>(168.6)</w:t>
            </w:r>
          </w:p>
        </w:tc>
      </w:tr>
      <w:tr>
        <w:trPr>
          <w:trHeight w:val="236"/>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3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714.5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690.8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5.</w:t>
        <w:tab/>
        <w:t>Long-Term Debt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246"/>
              <w:spacing w:after="0"/>
              <w:rPr>
                <w:sz w:val="20"/>
                <w:szCs w:val="20"/>
                <w:color w:val="auto"/>
              </w:rPr>
            </w:pPr>
            <w:r>
              <w:rPr>
                <w:rFonts w:ascii="Arial" w:cs="Arial" w:eastAsia="Arial" w:hAnsi="Arial"/>
                <w:sz w:val="19"/>
                <w:szCs w:val="19"/>
                <w:color w:val="auto"/>
                <w:w w:val="96"/>
              </w:rPr>
              <w:t>September 30,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9"/>
                <w:szCs w:val="19"/>
                <w:color w:val="auto"/>
                <w:w w:val="98"/>
              </w:rPr>
              <w:t>December 31,</w:t>
            </w:r>
          </w:p>
        </w:tc>
      </w:tr>
      <w:tr>
        <w:trPr>
          <w:trHeight w:val="238"/>
        </w:trPr>
        <w:tc>
          <w:tcPr>
            <w:tcW w:w="7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06"/>
              <w:spacing w:after="0"/>
              <w:rPr>
                <w:sz w:val="20"/>
                <w:szCs w:val="20"/>
                <w:color w:val="auto"/>
              </w:rPr>
            </w:pPr>
            <w:r>
              <w:rPr>
                <w:rFonts w:ascii="Arial" w:cs="Arial" w:eastAsia="Arial" w:hAnsi="Arial"/>
                <w:sz w:val="19"/>
                <w:szCs w:val="19"/>
                <w:color w:val="auto"/>
              </w:rPr>
              <w:t>2020</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26"/>
              <w:spacing w:after="0"/>
              <w:rPr>
                <w:sz w:val="20"/>
                <w:szCs w:val="20"/>
                <w:color w:val="auto"/>
              </w:rPr>
            </w:pPr>
            <w:r>
              <w:rPr>
                <w:rFonts w:ascii="Arial" w:cs="Arial" w:eastAsia="Arial" w:hAnsi="Arial"/>
                <w:sz w:val="19"/>
                <w:szCs w:val="19"/>
                <w:color w:val="auto"/>
              </w:rPr>
              <w:t>2019</w:t>
            </w:r>
          </w:p>
        </w:tc>
        <w:tc>
          <w:tcPr>
            <w:tcW w:w="120" w:type="dxa"/>
            <w:vAlign w:val="bottom"/>
          </w:tcPr>
          <w:p>
            <w:pPr>
              <w:spacing w:after="0"/>
              <w:rPr>
                <w:sz w:val="20"/>
                <w:szCs w:val="20"/>
                <w:color w:val="auto"/>
              </w:rPr>
            </w:pPr>
          </w:p>
        </w:tc>
      </w:tr>
      <w:tr>
        <w:trPr>
          <w:trHeight w:val="223"/>
        </w:trPr>
        <w:tc>
          <w:tcPr>
            <w:tcW w:w="7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gridSpan w:val="4"/>
          </w:tcPr>
          <w:p>
            <w:pPr>
              <w:jc w:val="right"/>
              <w:ind w:right="1066"/>
              <w:spacing w:after="0"/>
              <w:rPr>
                <w:sz w:val="20"/>
                <w:szCs w:val="20"/>
                <w:color w:val="auto"/>
              </w:rPr>
            </w:pPr>
            <w:r>
              <w:rPr>
                <w:rFonts w:ascii="Arial" w:cs="Arial" w:eastAsia="Arial" w:hAnsi="Arial"/>
                <w:sz w:val="19"/>
                <w:szCs w:val="19"/>
                <w:i w:val="1"/>
                <w:iCs w:val="1"/>
                <w:color w:val="auto"/>
              </w:rPr>
              <w:t>(Dollars in Millions)</w:t>
            </w:r>
          </w:p>
        </w:tc>
        <w:tc>
          <w:tcPr>
            <w:tcW w:w="12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2024</w:t>
            </w:r>
          </w:p>
        </w:tc>
        <w:tc>
          <w:tcPr>
            <w:tcW w:w="220" w:type="dxa"/>
            <w:vAlign w:val="bottom"/>
            <w:shd w:val="clear" w:color="auto" w:fill="CFF0FC"/>
          </w:tcPr>
          <w:p>
            <w:pPr>
              <w:jc w:val="right"/>
              <w:ind w:right="26"/>
              <w:spacing w:after="0"/>
              <w:rPr>
                <w:sz w:val="20"/>
                <w:szCs w:val="20"/>
                <w:color w:val="auto"/>
              </w:rPr>
            </w:pPr>
            <w:r>
              <w:rPr>
                <w:rFonts w:ascii="Arial" w:cs="Arial" w:eastAsia="Arial" w:hAnsi="Arial"/>
                <w:sz w:val="19"/>
                <w:szCs w:val="19"/>
                <w:color w:val="auto"/>
                <w:w w:val="75"/>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397.5</w:t>
            </w:r>
          </w:p>
        </w:tc>
        <w:tc>
          <w:tcPr>
            <w:tcW w:w="540" w:type="dxa"/>
            <w:vAlign w:val="bottom"/>
            <w:gridSpan w:val="2"/>
            <w:shd w:val="clear" w:color="auto" w:fill="CFF0FC"/>
          </w:tcPr>
          <w:p>
            <w:pPr>
              <w:jc w:val="right"/>
              <w:ind w:right="26"/>
              <w:spacing w:after="0"/>
              <w:rPr>
                <w:sz w:val="20"/>
                <w:szCs w:val="20"/>
                <w:color w:val="auto"/>
              </w:rPr>
            </w:pPr>
            <w:r>
              <w:rPr>
                <w:rFonts w:ascii="Arial" w:cs="Arial" w:eastAsia="Arial" w:hAnsi="Arial"/>
                <w:sz w:val="19"/>
                <w:szCs w:val="19"/>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397.0</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9"/>
                <w:szCs w:val="19"/>
                <w:color w:val="auto"/>
              </w:rPr>
              <w:t>7% Debentures, due 2025</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124.4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124.4</w:t>
            </w:r>
          </w:p>
        </w:tc>
        <w:tc>
          <w:tcPr>
            <w:tcW w:w="12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3.450% Senior Notes, due 2027</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297.5</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297.3</w:t>
            </w:r>
          </w:p>
        </w:tc>
        <w:tc>
          <w:tcPr>
            <w:tcW w:w="120" w:type="dxa"/>
            <w:vAlign w:val="bottom"/>
            <w:shd w:val="clear" w:color="auto" w:fill="CFF0FC"/>
          </w:tcPr>
          <w:p>
            <w:pPr>
              <w:spacing w:after="0"/>
              <w:rPr>
                <w:sz w:val="19"/>
                <w:szCs w:val="19"/>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9"/>
                <w:szCs w:val="19"/>
                <w:color w:val="auto"/>
              </w:rPr>
              <w:t>3.500% Senior Notes, due 2027</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495.7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495.3</w:t>
            </w:r>
          </w:p>
        </w:tc>
        <w:tc>
          <w:tcPr>
            <w:tcW w:w="120" w:type="dxa"/>
            <w:vAlign w:val="bottom"/>
          </w:tcPr>
          <w:p>
            <w:pPr>
              <w:spacing w:after="0"/>
              <w:rPr>
                <w:sz w:val="19"/>
                <w:szCs w:val="19"/>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2.500% Senior Notes, due 2030</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489.9</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r>
      <w:tr>
        <w:trPr>
          <w:trHeight w:val="229"/>
        </w:trPr>
        <w:tc>
          <w:tcPr>
            <w:tcW w:w="7240" w:type="dxa"/>
            <w:vAlign w:val="bottom"/>
          </w:tcPr>
          <w:p>
            <w:pPr>
              <w:spacing w:after="0"/>
              <w:rPr>
                <w:sz w:val="20"/>
                <w:szCs w:val="20"/>
                <w:color w:val="auto"/>
              </w:rPr>
            </w:pPr>
            <w:r>
              <w:rPr>
                <w:rFonts w:ascii="Arial" w:cs="Arial" w:eastAsia="Arial" w:hAnsi="Arial"/>
                <w:sz w:val="19"/>
                <w:szCs w:val="19"/>
                <w:color w:val="auto"/>
              </w:rPr>
              <w:t>6.25% Senior Notes, due 2037</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228.2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228.1</w:t>
            </w:r>
          </w:p>
        </w:tc>
        <w:tc>
          <w:tcPr>
            <w:tcW w:w="120" w:type="dxa"/>
            <w:vAlign w:val="bottom"/>
          </w:tcPr>
          <w:p>
            <w:pPr>
              <w:spacing w:after="0"/>
              <w:rPr>
                <w:sz w:val="19"/>
                <w:szCs w:val="19"/>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2047</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591.8</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591.7</w:t>
            </w:r>
          </w:p>
        </w:tc>
        <w:tc>
          <w:tcPr>
            <w:tcW w:w="120" w:type="dxa"/>
            <w:vAlign w:val="bottom"/>
            <w:shd w:val="clear" w:color="auto" w:fill="CFF0FC"/>
          </w:tcPr>
          <w:p>
            <w:pPr>
              <w:spacing w:after="0"/>
              <w:rPr>
                <w:sz w:val="19"/>
                <w:szCs w:val="19"/>
                <w:color w:val="auto"/>
              </w:rPr>
            </w:pPr>
          </w:p>
        </w:tc>
      </w:tr>
      <w:tr>
        <w:trPr>
          <w:trHeight w:val="207"/>
        </w:trPr>
        <w:tc>
          <w:tcPr>
            <w:tcW w:w="7240" w:type="dxa"/>
            <w:vAlign w:val="bottom"/>
          </w:tcPr>
          <w:p>
            <w:pPr>
              <w:spacing w:after="0" w:line="207" w:lineRule="exact"/>
              <w:rPr>
                <w:sz w:val="20"/>
                <w:szCs w:val="20"/>
                <w:color w:val="auto"/>
              </w:rPr>
            </w:pPr>
            <w:r>
              <w:rPr>
                <w:rFonts w:ascii="Arial" w:cs="Arial" w:eastAsia="Arial" w:hAnsi="Arial"/>
                <w:sz w:val="19"/>
                <w:szCs w:val="19"/>
                <w:color w:val="auto"/>
              </w:rPr>
              <w:t>Floating Rate Senior Notes, due 2020, interest rate of 2.55%</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7240" w:type="dxa"/>
            <w:vAlign w:val="bottom"/>
          </w:tcPr>
          <w:p>
            <w:pPr>
              <w:ind w:left="140"/>
              <w:spacing w:after="0"/>
              <w:rPr>
                <w:sz w:val="20"/>
                <w:szCs w:val="20"/>
                <w:color w:val="auto"/>
              </w:rPr>
            </w:pPr>
            <w:r>
              <w:rPr>
                <w:rFonts w:ascii="Arial" w:cs="Arial" w:eastAsia="Arial" w:hAnsi="Arial"/>
                <w:sz w:val="19"/>
                <w:szCs w:val="19"/>
                <w:color w:val="auto"/>
              </w:rPr>
              <w:t>at December 31, 2019</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299.7</w:t>
            </w:r>
          </w:p>
        </w:tc>
        <w:tc>
          <w:tcPr>
            <w:tcW w:w="120" w:type="dxa"/>
            <w:vAlign w:val="bottom"/>
          </w:tcPr>
          <w:p>
            <w:pPr>
              <w:spacing w:after="0"/>
              <w:rPr>
                <w:sz w:val="20"/>
                <w:szCs w:val="20"/>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Trade Receivable Facility, interest rate of 2.42% at December 31, 2019</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340.0</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notes</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0.2</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w:t>
            </w:r>
          </w:p>
        </w:tc>
        <w:tc>
          <w:tcPr>
            <w:tcW w:w="120" w:type="dxa"/>
            <w:vAlign w:val="bottom"/>
            <w:tcBorders>
              <w:bottom w:val="single" w:sz="8" w:color="CFF0FC"/>
            </w:tcBorders>
          </w:tcPr>
          <w:p>
            <w:pPr>
              <w:spacing w:after="0"/>
              <w:rPr>
                <w:sz w:val="19"/>
                <w:szCs w:val="19"/>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Total debt</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2,625.2</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2,773.6</w:t>
            </w:r>
          </w:p>
        </w:tc>
        <w:tc>
          <w:tcPr>
            <w:tcW w:w="120" w:type="dxa"/>
            <w:vAlign w:val="bottom"/>
            <w:shd w:val="clear" w:color="auto" w:fill="CFF0FC"/>
          </w:tcPr>
          <w:p>
            <w:pPr>
              <w:spacing w:after="0"/>
              <w:rPr>
                <w:sz w:val="19"/>
                <w:szCs w:val="19"/>
                <w:color w:val="auto"/>
              </w:rPr>
            </w:pPr>
          </w:p>
        </w:tc>
      </w:tr>
      <w:tr>
        <w:trPr>
          <w:trHeight w:val="207"/>
        </w:trPr>
        <w:tc>
          <w:tcPr>
            <w:tcW w:w="7240" w:type="dxa"/>
            <w:vAlign w:val="bottom"/>
          </w:tcPr>
          <w:p>
            <w:pPr>
              <w:spacing w:after="0" w:line="207" w:lineRule="exact"/>
              <w:rPr>
                <w:sz w:val="20"/>
                <w:szCs w:val="20"/>
                <w:color w:val="auto"/>
              </w:rPr>
            </w:pPr>
            <w:r>
              <w:rPr>
                <w:rFonts w:ascii="Arial" w:cs="Arial" w:eastAsia="Arial" w:hAnsi="Arial"/>
                <w:sz w:val="19"/>
                <w:szCs w:val="19"/>
                <w:color w:val="auto"/>
              </w:rPr>
              <w:t>Less: Current maturities of long-term debt and short-term</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7240" w:type="dxa"/>
            <w:vAlign w:val="bottom"/>
          </w:tcPr>
          <w:p>
            <w:pPr>
              <w:ind w:left="140"/>
              <w:spacing w:after="0"/>
              <w:rPr>
                <w:sz w:val="20"/>
                <w:szCs w:val="20"/>
                <w:color w:val="auto"/>
              </w:rPr>
            </w:pPr>
            <w:r>
              <w:rPr>
                <w:rFonts w:ascii="Arial" w:cs="Arial" w:eastAsia="Arial" w:hAnsi="Arial"/>
                <w:sz w:val="19"/>
                <w:szCs w:val="19"/>
                <w:color w:val="auto"/>
              </w:rPr>
              <w:t>facilities</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9"/>
                <w:szCs w:val="19"/>
                <w:color w:val="auto"/>
              </w:rPr>
              <w:t>(340.0)</w:t>
            </w:r>
          </w:p>
        </w:tc>
      </w:tr>
      <w:tr>
        <w:trPr>
          <w:trHeight w:val="223"/>
        </w:trPr>
        <w:tc>
          <w:tcPr>
            <w:tcW w:w="7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Long-term debt</w:t>
            </w:r>
          </w:p>
        </w:tc>
        <w:tc>
          <w:tcPr>
            <w:tcW w:w="22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9"/>
                <w:szCs w:val="19"/>
                <w:color w:val="auto"/>
                <w:w w:val="75"/>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2,625.2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9"/>
                <w:szCs w:val="19"/>
                <w:color w:val="auto"/>
                <w:w w:val="75"/>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2,433.6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73" w:lineRule="auto"/>
        <w:rPr>
          <w:sz w:val="20"/>
          <w:szCs w:val="20"/>
          <w:color w:val="auto"/>
        </w:rPr>
      </w:pPr>
      <w:r>
        <w:rPr>
          <w:rFonts w:ascii="Arial" w:cs="Arial" w:eastAsia="Arial" w:hAnsi="Arial"/>
          <w:sz w:val="18"/>
          <w:szCs w:val="18"/>
          <w:color w:val="auto"/>
        </w:rPr>
        <w:t>On March 5, 2020, the Company issued $500 million aggregate principal amount of 2.500% Senior Notes due 2030 (the 2.500% Senior Notes). The 2.500% Senior Notes are carried net of original issue discount, which is being amortized by the effective interest method over the life of the issue. The 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used the net proceeds for general corporate purposes, including the repayment of $300 million of Floating Rate Senior Notes at maturity in May 2020. At December 31, 2019, the Floating Rate Senior Notes due May 2020 were classified as noncurrent long-term debt on the consolidated balance sheet as the Company had the intent and ability to refinance the notes on a long-term basis.</w:t>
      </w:r>
    </w:p>
    <w:p>
      <w:pPr>
        <w:spacing w:after="0" w:line="60" w:lineRule="exact"/>
        <w:rPr>
          <w:sz w:val="20"/>
          <w:szCs w:val="20"/>
          <w:color w:val="auto"/>
        </w:rPr>
      </w:pPr>
    </w:p>
    <w:p>
      <w:pPr>
        <w:jc w:val="both"/>
        <w:ind w:left="380"/>
        <w:spacing w:after="0" w:line="270" w:lineRule="auto"/>
        <w:rPr>
          <w:sz w:val="20"/>
          <w:szCs w:val="20"/>
          <w:color w:val="auto"/>
        </w:rPr>
      </w:pPr>
      <w:r>
        <w:rPr>
          <w:rFonts w:ascii="Arial" w:cs="Arial" w:eastAsia="Arial" w:hAnsi="Arial"/>
          <w:sz w:val="18"/>
          <w:szCs w:val="18"/>
          <w:color w:val="auto"/>
        </w:rPr>
        <w:t>The Company, through a wholly-owned special-purpose subsidiary, has a $400 million trade receivable securitization facility (the Trade Receivable Facility). On September 23, 2020, the Company extended the maturity to September 22, 2021. The Trade Receivable Facility, with Truist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to the wholly-owned special-purpose subsidiary by the Company. The Company continues to be responsible for the servicing and administration of the receivables purchased by the wholly-owned special-purpose subsidiary. Effective with the extension of the maturity date, borrowings under the Trade Receivable Facility bear interest at a rate equal to asset-backed commercial paper costs of conduit lenders plus 0.85% for borrowings funded by conduit lenders and one-month London Interbank Offered Rate, or LIBOR, plus 1.00%, subject to change in the event that this rate no longer reflects the lender’s cost of lending, for borrowings funded by all other lenders. The Trade Receivable Facility contains a cross-default provision to the Company’s other debt agreements. There were no borrowings outstanding under the Trade Receivable Facility at September 30,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The Company has a $700 million five-year senior unsecured revolving facility (the Revolving Facility) with JPMorgan Chase Bank, N.A., as Administrative Agent, Truist Bank, Deutsche Bank Securities, Inc., and Wells Fargo Bank, N.A., as Co-Syndication Agents, and the lenders party thereto. Borrowings under the Revolving Facility bear interest, at the Company’s option, at rates based upon LIBOR or a base rate, plus, for each rate, a margin determined in accordance with a ratings-based pricing grid. There were no borrowings outstanding under the Revolving Facility at September 30, 2020 or December 31, 2019.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The Company was in compliance with this covenant at September 30, 2020.</w:t>
      </w:r>
    </w:p>
    <w:p>
      <w:pPr>
        <w:spacing w:after="0" w:line="7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Revolving Facility expires on December 5, 2024, with any outstanding principal amounts, together with interest accrued thereon, due in full on that date. Available borrowings under the Revolving Facility are reduced by any outstanding letters of credit issued by the Company under the Revolving Facility. The Company had $2.3 million of outstanding letters of credit issued under the Revolving Facility at September 30, 2020 and December 31, 2019.</w:t>
      </w:r>
    </w:p>
    <w:p>
      <w:pPr>
        <w:spacing w:after="0" w:line="293"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cash equivalents, restricted cash, accounts receivable, notes receivable, accounts payable, publicly-registered long-term notes, debentures and other long-term debt.</w:t>
      </w:r>
    </w:p>
    <w:p>
      <w:pPr>
        <w:spacing w:after="0" w:line="6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77"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Restricted cash is held in a trust account with a third-party intermediary. Due to the short-term nature of this account, the fair value of restricted cash approximates its carrying value.</w:t>
      </w:r>
    </w:p>
    <w:p>
      <w:pPr>
        <w:spacing w:after="0" w:line="68"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No single customer accounted for 10% or more of consolidated total revenues in the three and nine month periods ended September 30, 2020 and 2019. The estimated fair values of accounts receivable approximate their carrying amounts due to the periodic reset of interest rates.</w:t>
      </w:r>
    </w:p>
    <w:p>
      <w:pPr>
        <w:spacing w:after="0" w:line="8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the carrying amount due to the short-term nature of the payables.</w:t>
      </w:r>
    </w:p>
    <w:p>
      <w:pPr>
        <w:spacing w:after="0" w:line="68" w:lineRule="exact"/>
        <w:rPr>
          <w:rFonts w:ascii="Arial" w:cs="Arial" w:eastAsia="Arial" w:hAnsi="Arial"/>
          <w:sz w:val="20"/>
          <w:szCs w:val="20"/>
          <w:b w:val="1"/>
          <w:bCs w:val="1"/>
          <w:color w:val="auto"/>
        </w:rPr>
      </w:pPr>
    </w:p>
    <w:p>
      <w:pPr>
        <w:jc w:val="both"/>
        <w:ind w:left="380"/>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The carrying values and fair values of the Company’s long-term debt were $2.63 billion and $2.98 billion, respectively, at September 30, 2020 and $2.77 billion and $2.94 billion, respectively, at December 31, 2019. The estimated fair value of the publicly-registered long-term notes was estimated based on Level 2 of the fair value hierarchy using quoted market prices. The estimated fair value of other borrowings approximate their carrying amounts as the interest rates reset periodically.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5"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The effective income tax rate reflects the effect of federal and state income taxes on earnings and the impact of differences in book and tax accounting arising primarily from the permanent tax benefits associated with the statutory depletion deduction for mineral reserves. For the nine months ended September 30, 2020, the effective income tax rate of 21.0% reflected a $6.9 million discrete benefit from financing third-party railroad track maintenance. In exchange, the Company received a federal income tax credit and deduction. For the nine months ended September 30, 2019, the effective income tax rate of 18.8% reflected a $13.2 million discrete benefit from a change in the tax status of a subsidiary from a partnership to a corporation.</w:t>
      </w:r>
    </w:p>
    <w:p>
      <w:pPr>
        <w:spacing w:after="0" w:line="70" w:lineRule="exact"/>
        <w:rPr>
          <w:rFonts w:ascii="Arial" w:cs="Arial" w:eastAsia="Arial" w:hAnsi="Arial"/>
          <w:sz w:val="20"/>
          <w:szCs w:val="20"/>
          <w:b w:val="1"/>
          <w:bCs w:val="1"/>
          <w:color w:val="auto"/>
        </w:rPr>
      </w:pPr>
    </w:p>
    <w:p>
      <w:pPr>
        <w:ind w:left="3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224" w:lineRule="exact"/>
        <w:rPr>
          <w:rFonts w:ascii="Arial" w:cs="Arial" w:eastAsia="Arial" w:hAnsi="Arial"/>
          <w:sz w:val="20"/>
          <w:szCs w:val="20"/>
          <w:b w:val="1"/>
          <w:bCs w:val="1"/>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estimated components of the recorded net periodic benefit cost (credit) for pension and postretirement benefits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20"/>
                <w:szCs w:val="20"/>
                <w:color w:val="auto"/>
              </w:rPr>
              <w:t>Pension</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5"/>
          </w:tcPr>
          <w:p>
            <w:pPr>
              <w:jc w:val="right"/>
              <w:ind w:right="940"/>
              <w:spacing w:after="0"/>
              <w:rPr>
                <w:sz w:val="20"/>
                <w:szCs w:val="20"/>
                <w:color w:val="auto"/>
              </w:rPr>
            </w:pPr>
            <w:r>
              <w:rPr>
                <w:rFonts w:ascii="Arial" w:cs="Arial" w:eastAsia="Arial" w:hAnsi="Arial"/>
                <w:sz w:val="20"/>
                <w:szCs w:val="20"/>
                <w:color w:val="auto"/>
              </w:rPr>
              <w:t>Postretirement Benefits</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520" w:type="dxa"/>
            <w:vAlign w:val="bottom"/>
            <w:tcBorders>
              <w:top w:val="single" w:sz="8" w:color="auto"/>
              <w:bottom w:val="single" w:sz="8" w:color="auto"/>
            </w:tcBorders>
            <w:gridSpan w:val="5"/>
          </w:tcPr>
          <w:p>
            <w:pPr>
              <w:jc w:val="center"/>
              <w:ind w:right="540"/>
              <w:spacing w:after="0"/>
              <w:rPr>
                <w:sz w:val="20"/>
                <w:szCs w:val="20"/>
                <w:color w:val="auto"/>
              </w:rPr>
            </w:pPr>
            <w:r>
              <w:rPr>
                <w:rFonts w:ascii="Arial" w:cs="Arial" w:eastAsia="Arial" w:hAnsi="Arial"/>
                <w:sz w:val="20"/>
                <w:szCs w:val="20"/>
                <w:color w:val="auto"/>
                <w:w w:val="88"/>
              </w:rPr>
              <w:t>Three Months Ended September 30,</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5"/>
          </w:tcPr>
          <w:p>
            <w:pPr>
              <w:jc w:val="center"/>
              <w:ind w:right="540"/>
              <w:spacing w:after="0"/>
              <w:rPr>
                <w:sz w:val="20"/>
                <w:szCs w:val="20"/>
                <w:color w:val="auto"/>
              </w:rPr>
            </w:pPr>
            <w:r>
              <w:rPr>
                <w:rFonts w:ascii="Arial" w:cs="Arial" w:eastAsia="Arial" w:hAnsi="Arial"/>
                <w:sz w:val="20"/>
                <w:szCs w:val="20"/>
                <w:i w:val="1"/>
                <w:iCs w:val="1"/>
                <w:color w:val="auto"/>
                <w:w w:val="98"/>
              </w:rPr>
              <w:t>(Dollars in Millions)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0"/>
                <w:szCs w:val="20"/>
                <w:color w:val="auto"/>
              </w:rPr>
            </w:pPr>
            <w:r>
              <w:rPr>
                <w:rFonts w:ascii="Arial" w:cs="Arial" w:eastAsia="Arial" w:hAnsi="Arial"/>
                <w:sz w:val="20"/>
                <w:szCs w:val="20"/>
                <w:color w:val="auto"/>
              </w:rPr>
              <w:t>Service cost</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9.8</w:t>
            </w:r>
          </w:p>
        </w:tc>
        <w:tc>
          <w:tcPr>
            <w:tcW w:w="28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7.7</w:t>
            </w:r>
          </w:p>
        </w:tc>
        <w:tc>
          <w:tcPr>
            <w:tcW w:w="28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30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(15.2)</w:t>
            </w:r>
          </w:p>
        </w:tc>
        <w:tc>
          <w:tcPr>
            <w:tcW w:w="2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20"/>
                <w:szCs w:val="20"/>
                <w:color w:val="auto"/>
              </w:rPr>
              <w:t>(11.9)</w:t>
            </w:r>
          </w:p>
        </w:tc>
        <w:tc>
          <w:tcPr>
            <w:tcW w:w="36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20"/>
                <w:szCs w:val="20"/>
                <w:color w:val="auto"/>
              </w:rPr>
              <w:t>(0.2)</w:t>
            </w: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20"/>
                <w:szCs w:val="20"/>
                <w:color w:val="auto"/>
              </w:rPr>
              <w:t>Net periodic benefit cost (credit)</w:t>
            </w: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8.3</w:t>
            </w:r>
          </w:p>
        </w:tc>
        <w:tc>
          <w:tcPr>
            <w:tcW w:w="28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9.1</w:t>
            </w:r>
          </w:p>
        </w:tc>
        <w:tc>
          <w:tcPr>
            <w:tcW w:w="28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40" w:type="dxa"/>
            <w:vAlign w:val="bottom"/>
            <w:gridSpan w:val="2"/>
          </w:tcPr>
          <w:p>
            <w:pPr>
              <w:jc w:val="right"/>
              <w:ind w:right="240"/>
              <w:spacing w:after="0"/>
              <w:rPr>
                <w:sz w:val="20"/>
                <w:szCs w:val="20"/>
                <w:color w:val="auto"/>
              </w:rPr>
            </w:pPr>
            <w:r>
              <w:rPr>
                <w:rFonts w:ascii="Arial" w:cs="Arial" w:eastAsia="Arial" w:hAnsi="Arial"/>
                <w:sz w:val="20"/>
                <w:szCs w:val="20"/>
                <w:color w:val="auto"/>
              </w:rPr>
              <w:t>(0.1)</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20"/>
                <w:szCs w:val="20"/>
                <w:color w:val="auto"/>
              </w:rPr>
              <w:t>Pension</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5"/>
          </w:tcPr>
          <w:p>
            <w:pPr>
              <w:jc w:val="right"/>
              <w:ind w:right="940"/>
              <w:spacing w:after="0"/>
              <w:rPr>
                <w:sz w:val="20"/>
                <w:szCs w:val="20"/>
                <w:color w:val="auto"/>
              </w:rPr>
            </w:pPr>
            <w:r>
              <w:rPr>
                <w:rFonts w:ascii="Arial" w:cs="Arial" w:eastAsia="Arial" w:hAnsi="Arial"/>
                <w:sz w:val="20"/>
                <w:szCs w:val="20"/>
                <w:color w:val="auto"/>
              </w:rPr>
              <w:t>Postretirement Benefits</w:t>
            </w: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520" w:type="dxa"/>
            <w:vAlign w:val="bottom"/>
            <w:tcBorders>
              <w:top w:val="single" w:sz="8" w:color="auto"/>
              <w:bottom w:val="single" w:sz="8" w:color="auto"/>
            </w:tcBorders>
            <w:gridSpan w:val="5"/>
          </w:tcPr>
          <w:p>
            <w:pPr>
              <w:jc w:val="center"/>
              <w:ind w:right="540"/>
              <w:spacing w:after="0"/>
              <w:rPr>
                <w:sz w:val="20"/>
                <w:szCs w:val="20"/>
                <w:color w:val="auto"/>
              </w:rPr>
            </w:pPr>
            <w:r>
              <w:rPr>
                <w:rFonts w:ascii="Arial" w:cs="Arial" w:eastAsia="Arial" w:hAnsi="Arial"/>
                <w:sz w:val="20"/>
                <w:szCs w:val="20"/>
                <w:color w:val="auto"/>
                <w:w w:val="88"/>
              </w:rPr>
              <w:t>Nine Months Ended September 30,</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5"/>
          </w:tcPr>
          <w:p>
            <w:pPr>
              <w:jc w:val="center"/>
              <w:ind w:right="540"/>
              <w:spacing w:after="0"/>
              <w:rPr>
                <w:sz w:val="20"/>
                <w:szCs w:val="20"/>
                <w:color w:val="auto"/>
              </w:rPr>
            </w:pPr>
            <w:r>
              <w:rPr>
                <w:rFonts w:ascii="Arial" w:cs="Arial" w:eastAsia="Arial" w:hAnsi="Arial"/>
                <w:sz w:val="20"/>
                <w:szCs w:val="20"/>
                <w:i w:val="1"/>
                <w:iCs w:val="1"/>
                <w:color w:val="auto"/>
                <w:w w:val="98"/>
              </w:rPr>
              <w:t>(Dollars in Millions)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5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20"/>
                <w:szCs w:val="20"/>
                <w:color w:val="auto"/>
              </w:rPr>
              <w:t>Interest cost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27.8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28.3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0.3</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(43.8)</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(35.9)</w:t>
            </w:r>
          </w:p>
        </w:tc>
        <w:tc>
          <w:tcPr>
            <w:tcW w:w="360" w:type="dxa"/>
            <w:vAlign w:val="bottom"/>
            <w:shd w:val="clear" w:color="auto" w:fill="CFF0FC"/>
          </w:tcPr>
          <w:p>
            <w:pPr>
              <w:spacing w:after="0"/>
              <w:rPr>
                <w:sz w:val="21"/>
                <w:szCs w:val="21"/>
                <w:color w:val="auto"/>
              </w:rPr>
            </w:pPr>
          </w:p>
        </w:tc>
        <w:tc>
          <w:tcPr>
            <w:tcW w:w="15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20"/>
                <w:szCs w:val="20"/>
                <w:color w:val="auto"/>
              </w:rPr>
              <w:t>Amortization of:</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spacing w:after="0"/>
              <w:rPr>
                <w:sz w:val="21"/>
                <w:szCs w:val="21"/>
                <w:color w:val="auto"/>
              </w:rPr>
            </w:pPr>
          </w:p>
        </w:tc>
        <w:tc>
          <w:tcPr>
            <w:tcW w:w="15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(0.6)</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20"/>
                <w:szCs w:val="20"/>
                <w:color w:val="auto"/>
              </w:rPr>
              <w:t>(0.1)</w:t>
            </w: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vMerge w:val="continue"/>
            <w:shd w:val="clear" w:color="auto" w:fill="CFF0FC"/>
          </w:tcPr>
          <w:p>
            <w:pPr>
              <w:spacing w:after="0"/>
              <w:rPr>
                <w:sz w:val="20"/>
                <w:szCs w:val="20"/>
                <w:color w:val="auto"/>
              </w:rPr>
            </w:pP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5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(0.4)</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service cost component of net periodic benefit cost (credit) is included in cost of revenues – products and services and selling, general and administrative expenses. All other components are included in other nonoperating (income) and expenses, net, in the consolidated statements of earnings and comprehensive earnings.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For the nine months ended September 30, 2020, the Company made $75.0 million of discretionary contributions to its qualified pension plan. No additional contributions to the qualified pension plan are expected to be made for the remainder of 2020. The Company currently estimates that it will contribute a total of $14.4 million for the year ending December 31, 2020 to satisfy required payments under the unfunded nonqualified pension plans.</w:t>
      </w:r>
    </w:p>
    <w:p>
      <w:pPr>
        <w:spacing w:after="0" w:line="239" w:lineRule="exact"/>
        <w:rPr>
          <w:sz w:val="20"/>
          <w:szCs w:val="20"/>
          <w:color w:val="auto"/>
        </w:rPr>
      </w:pPr>
    </w:p>
    <w:p>
      <w:pPr>
        <w:ind w:left="380" w:right="7820" w:hanging="372"/>
        <w:spacing w:after="0" w:line="394" w:lineRule="auto"/>
        <w:tabs>
          <w:tab w:leader="none" w:pos="3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9"/>
          <w:szCs w:val="19"/>
          <w:color w:val="auto"/>
        </w:rPr>
        <w:t>The Company is engaged in certain legal and administrative proceedings incidental to its normal business activities, including matters relating to environmental protection.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 as a whole, based on currently available facts.</w:t>
      </w:r>
    </w:p>
    <w:p>
      <w:pPr>
        <w:spacing w:after="0" w:line="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Borrowing Arrangements with Affiliate</w:t>
      </w:r>
    </w:p>
    <w:p>
      <w:pPr>
        <w:spacing w:after="0" w:line="107" w:lineRule="exact"/>
        <w:rPr>
          <w:rFonts w:ascii="Arial" w:cs="Arial" w:eastAsia="Arial" w:hAnsi="Arial"/>
          <w:sz w:val="18"/>
          <w:szCs w:val="18"/>
          <w:b w:val="1"/>
          <w:bCs w:val="1"/>
          <w:color w:val="auto"/>
        </w:rPr>
      </w:pPr>
    </w:p>
    <w:p>
      <w:pPr>
        <w:jc w:val="both"/>
        <w:ind w:left="38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The Company is a co-borrower with an unconsolidated affiliate for a $12.5 million revolving line of credit agreement with Truist Bank, of which $9.4 million was outstanding as of September 30, 2020 and which has a maturity date of March 2022.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53" w:lineRule="exact"/>
        <w:rPr>
          <w:rFonts w:ascii="Arial" w:cs="Arial" w:eastAsia="Arial" w:hAnsi="Arial"/>
          <w:sz w:val="18"/>
          <w:szCs w:val="18"/>
          <w:b w:val="1"/>
          <w:bCs w:val="1"/>
          <w:color w:val="auto"/>
        </w:rPr>
      </w:pPr>
    </w:p>
    <w:p>
      <w:pPr>
        <w:ind w:left="380" w:right="20"/>
        <w:spacing w:after="0" w:line="316" w:lineRule="auto"/>
        <w:rPr>
          <w:rFonts w:ascii="Arial" w:cs="Arial" w:eastAsia="Arial" w:hAnsi="Arial"/>
          <w:sz w:val="18"/>
          <w:szCs w:val="18"/>
          <w:b w:val="1"/>
          <w:bCs w:val="1"/>
          <w:color w:val="auto"/>
        </w:rPr>
      </w:pPr>
      <w:r>
        <w:rPr>
          <w:rFonts w:ascii="Arial" w:cs="Arial" w:eastAsia="Arial" w:hAnsi="Arial"/>
          <w:sz w:val="18"/>
          <w:szCs w:val="18"/>
          <w:color w:val="auto"/>
        </w:rPr>
        <w:t>In addition, the Company has a $6.0 million interest-only loan, due December 31, 2022, outstanding from this unconsolidated affiliate as of September 30, 2020 and December 31, 2019. The interest rate is one-month LIBOR plus a current spread of 1.75%.</w:t>
      </w:r>
    </w:p>
    <w:p>
      <w:pPr>
        <w:spacing w:after="0" w:line="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Letters of Credit</w:t>
      </w:r>
    </w:p>
    <w:p>
      <w:pPr>
        <w:spacing w:after="0" w:line="107" w:lineRule="exact"/>
        <w:rPr>
          <w:rFonts w:ascii="Arial" w:cs="Arial" w:eastAsia="Arial" w:hAnsi="Arial"/>
          <w:sz w:val="18"/>
          <w:szCs w:val="18"/>
          <w:b w:val="1"/>
          <w:bCs w:val="1"/>
          <w:color w:val="auto"/>
        </w:rPr>
      </w:pPr>
    </w:p>
    <w:p>
      <w:pPr>
        <w:jc w:val="both"/>
        <w:ind w:left="380"/>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In the normal course of business, the Company provides certain third parties with standby letter of credit agreements guaranteeing its payment for certain insurance claims, contract performance and permit requirements. At September 30, 2020, the Company was contingently liable for $31.7 million in letters of credit, of which $2.3 million were issued under the Company’s Revolving Facility.</w:t>
      </w:r>
    </w:p>
    <w:p>
      <w:pPr>
        <w:spacing w:after="0" w:line="253" w:lineRule="exact"/>
        <w:rPr>
          <w:rFonts w:ascii="Arial" w:cs="Arial" w:eastAsia="Arial" w:hAnsi="Arial"/>
          <w:sz w:val="18"/>
          <w:szCs w:val="18"/>
          <w:b w:val="1"/>
          <w:bCs w:val="1"/>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113" w:lineRule="exact"/>
        <w:rPr>
          <w:rFonts w:ascii="Arial" w:cs="Arial" w:eastAsia="Arial" w:hAnsi="Arial"/>
          <w:sz w:val="20"/>
          <w:szCs w:val="20"/>
          <w:b w:val="1"/>
          <w:bCs w:val="1"/>
          <w:color w:val="auto"/>
        </w:rPr>
      </w:pPr>
    </w:p>
    <w:p>
      <w:pPr>
        <w:jc w:val="both"/>
        <w:ind w:left="380"/>
        <w:spacing w:after="0" w:line="256" w:lineRule="auto"/>
        <w:rPr>
          <w:rFonts w:ascii="Arial" w:cs="Arial" w:eastAsia="Arial" w:hAnsi="Arial"/>
          <w:sz w:val="20"/>
          <w:szCs w:val="20"/>
          <w:b w:val="1"/>
          <w:bCs w:val="1"/>
          <w:color w:val="auto"/>
        </w:rPr>
      </w:pPr>
      <w:r>
        <w:rPr>
          <w:rFonts w:ascii="Arial" w:cs="Arial" w:eastAsia="Arial" w:hAnsi="Arial"/>
          <w:sz w:val="19"/>
          <w:szCs w:val="19"/>
          <w:color w:val="auto"/>
        </w:rPr>
        <w:t>Effective July 1, 2020, the Company made organizational changes to its Building Material business resulting in two reportable segments: the East Group and the West Group. Additional information on this reportable segment change and the change effective January 1, 2020 is provided in Note 1.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and expenses, net; and income taxes. Corporate loss from operations primarily includes depreciation on capitalized interest; unallocated expenses for corporate administrative functions; acquisition-related expenses, net; and other nonrecurring income and expenses excluded from the Company’s evaluation of business segment performance and resource allocation.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following table displays selected financial data for the Company’s reportable segments. Total revenues, as presented on the consolidated statements of earnings and comprehensive earnings, exclude intersegment revenues, which represent sales from one segment to another segment and are eliminated in consolidation. Prior-year reportable segment information has been reclassified to conform to the current-year presentation.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6"/>
          </w:tcPr>
          <w:p>
            <w:pPr>
              <w:jc w:val="right"/>
              <w:ind w:right="1000"/>
              <w:spacing w:after="0"/>
              <w:rPr>
                <w:sz w:val="20"/>
                <w:szCs w:val="20"/>
                <w:color w:val="auto"/>
              </w:rPr>
            </w:pPr>
            <w:r>
              <w:rPr>
                <w:rFonts w:ascii="Arial" w:cs="Arial" w:eastAsia="Arial" w:hAnsi="Arial"/>
                <w:sz w:val="20"/>
                <w:szCs w:val="20"/>
                <w:color w:val="auto"/>
              </w:rPr>
              <w:t>Three Months Ended</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40" w:type="dxa"/>
            <w:vAlign w:val="bottom"/>
            <w:gridSpan w:val="6"/>
          </w:tcPr>
          <w:p>
            <w:pPr>
              <w:jc w:val="right"/>
              <w:ind w:right="1000"/>
              <w:spacing w:after="0"/>
              <w:rPr>
                <w:sz w:val="20"/>
                <w:szCs w:val="20"/>
                <w:color w:val="auto"/>
              </w:rPr>
            </w:pPr>
            <w:r>
              <w:rPr>
                <w:rFonts w:ascii="Arial" w:cs="Arial" w:eastAsia="Arial" w:hAnsi="Arial"/>
                <w:sz w:val="20"/>
                <w:szCs w:val="20"/>
                <w:color w:val="auto"/>
              </w:rPr>
              <w:t>Nine Months Ended</w:t>
            </w:r>
          </w:p>
        </w:tc>
      </w:tr>
      <w:tr>
        <w:trPr>
          <w:trHeight w:val="246"/>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September 30,</w:t>
            </w:r>
          </w:p>
        </w:tc>
        <w:tc>
          <w:tcPr>
            <w:tcW w:w="10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September 30,</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2020</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98"/>
              </w:rPr>
              <w:t>2019</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2020</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98"/>
              </w:rPr>
              <w:t>2019</w:t>
            </w:r>
          </w:p>
        </w:tc>
        <w:tc>
          <w:tcPr>
            <w:tcW w:w="12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20" w:type="dxa"/>
            <w:vAlign w:val="bottom"/>
            <w:gridSpan w:val="6"/>
          </w:tcPr>
          <w:p>
            <w:pPr>
              <w:jc w:val="right"/>
              <w:ind w:right="1020"/>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16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Total revenues: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11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East Group</w:t>
            </w:r>
          </w:p>
        </w:tc>
        <w:tc>
          <w:tcPr>
            <w:tcW w:w="3000" w:type="dxa"/>
            <w:vAlign w:val="bottom"/>
            <w:tcBorders>
              <w:top w:val="single" w:sz="8" w:color="CFF0FC"/>
            </w:tcBorders>
            <w:gridSpan w:val="3"/>
          </w:tcPr>
          <w:p>
            <w:pPr>
              <w:spacing w:after="0"/>
              <w:rPr>
                <w:sz w:val="21"/>
                <w:szCs w:val="21"/>
                <w:color w:val="auto"/>
              </w:rPr>
            </w:pPr>
          </w:p>
        </w:tc>
        <w:tc>
          <w:tcPr>
            <w:tcW w:w="340" w:type="dxa"/>
            <w:vAlign w:val="bottom"/>
            <w:tcBorders>
              <w:top w:val="single" w:sz="8" w:color="CFF0FC"/>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549.3</w:t>
            </w:r>
          </w:p>
        </w:tc>
        <w:tc>
          <w:tcPr>
            <w:tcW w:w="160" w:type="dxa"/>
            <w:vAlign w:val="bottom"/>
            <w:tcBorders>
              <w:top w:val="single" w:sz="8" w:color="CFF0FC"/>
            </w:tcBorders>
          </w:tcPr>
          <w:p>
            <w:pPr>
              <w:spacing w:after="0"/>
              <w:rPr>
                <w:sz w:val="21"/>
                <w:szCs w:val="21"/>
                <w:color w:val="auto"/>
              </w:rPr>
            </w:pPr>
          </w:p>
        </w:tc>
        <w:tc>
          <w:tcPr>
            <w:tcW w:w="600" w:type="dxa"/>
            <w:vAlign w:val="bottom"/>
            <w:tcBorders>
              <w:top w:val="single" w:sz="8" w:color="CFF0FC"/>
            </w:tcBorders>
            <w:gridSpan w:val="2"/>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582.0</w:t>
            </w:r>
          </w:p>
        </w:tc>
        <w:tc>
          <w:tcPr>
            <w:tcW w:w="160" w:type="dxa"/>
            <w:vAlign w:val="bottom"/>
            <w:tcBorders>
              <w:top w:val="single" w:sz="8" w:color="CFF0FC"/>
            </w:tcBorders>
          </w:tcPr>
          <w:p>
            <w:pPr>
              <w:spacing w:after="0"/>
              <w:rPr>
                <w:sz w:val="21"/>
                <w:szCs w:val="21"/>
                <w:color w:val="auto"/>
              </w:rPr>
            </w:pPr>
          </w:p>
        </w:tc>
        <w:tc>
          <w:tcPr>
            <w:tcW w:w="440" w:type="dxa"/>
            <w:vAlign w:val="bottom"/>
            <w:tcBorders>
              <w:top w:val="single" w:sz="8" w:color="CFF0FC"/>
            </w:tcBorders>
            <w:gridSpan w:val="2"/>
          </w:tcPr>
          <w:p>
            <w:pPr>
              <w:jc w:val="right"/>
              <w:ind w:right="163"/>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1,465.9</w:t>
            </w:r>
          </w:p>
        </w:tc>
        <w:tc>
          <w:tcPr>
            <w:tcW w:w="180" w:type="dxa"/>
            <w:vAlign w:val="bottom"/>
            <w:tcBorders>
              <w:top w:val="single" w:sz="8" w:color="CFF0FC"/>
            </w:tcBorders>
          </w:tcPr>
          <w:p>
            <w:pPr>
              <w:spacing w:after="0"/>
              <w:rPr>
                <w:sz w:val="21"/>
                <w:szCs w:val="21"/>
                <w:color w:val="auto"/>
              </w:rPr>
            </w:pPr>
          </w:p>
        </w:tc>
        <w:tc>
          <w:tcPr>
            <w:tcW w:w="600" w:type="dxa"/>
            <w:vAlign w:val="bottom"/>
            <w:tcBorders>
              <w:top w:val="single" w:sz="8" w:color="CFF0FC"/>
            </w:tcBorders>
            <w:gridSpan w:val="2"/>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1,500.8</w:t>
            </w:r>
          </w:p>
        </w:tc>
        <w:tc>
          <w:tcPr>
            <w:tcW w:w="120" w:type="dxa"/>
            <w:vAlign w:val="bottom"/>
            <w:tcBorders>
              <w:top w:val="single" w:sz="8" w:color="CFF0FC"/>
            </w:tcBorders>
          </w:tcPr>
          <w:p>
            <w:pPr>
              <w:spacing w:after="0"/>
              <w:rPr>
                <w:sz w:val="21"/>
                <w:szCs w:val="21"/>
                <w:color w:val="auto"/>
              </w:rPr>
            </w:pPr>
          </w:p>
        </w:tc>
      </w:tr>
      <w:tr>
        <w:trPr>
          <w:trHeight w:val="243"/>
        </w:trPr>
        <w:tc>
          <w:tcPr>
            <w:tcW w:w="41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711.2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773.4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1,904.2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1,922.7</w:t>
            </w:r>
          </w:p>
        </w:tc>
        <w:tc>
          <w:tcPr>
            <w:tcW w:w="120" w:type="dxa"/>
            <w:vAlign w:val="bottom"/>
            <w:shd w:val="clear" w:color="auto" w:fill="CFF0FC"/>
          </w:tcPr>
          <w:p>
            <w:pPr>
              <w:spacing w:after="0"/>
              <w:rPr>
                <w:sz w:val="21"/>
                <w:szCs w:val="21"/>
                <w:color w:val="auto"/>
              </w:rPr>
            </w:pPr>
          </w:p>
        </w:tc>
      </w:tr>
      <w:tr>
        <w:trPr>
          <w:trHeight w:val="237"/>
        </w:trPr>
        <w:tc>
          <w:tcPr>
            <w:tcW w:w="4160" w:type="dxa"/>
            <w:vAlign w:val="bottom"/>
            <w:gridSpan w:val="4"/>
          </w:tcPr>
          <w:p>
            <w:pPr>
              <w:spacing w:after="0"/>
              <w:rPr>
                <w:sz w:val="20"/>
                <w:szCs w:val="20"/>
                <w:color w:val="auto"/>
              </w:rPr>
            </w:pPr>
            <w:r>
              <w:rPr>
                <w:rFonts w:ascii="Arial" w:cs="Arial" w:eastAsia="Arial" w:hAnsi="Arial"/>
                <w:sz w:val="20"/>
                <w:szCs w:val="20"/>
                <w:color w:val="auto"/>
              </w:rPr>
              <w:t>Total Building Materials Business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1,260.5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1,355.4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3,370.1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3,423.5</w:t>
            </w:r>
          </w:p>
        </w:tc>
        <w:tc>
          <w:tcPr>
            <w:tcW w:w="120" w:type="dxa"/>
            <w:vAlign w:val="bottom"/>
          </w:tcPr>
          <w:p>
            <w:pPr>
              <w:spacing w:after="0"/>
              <w:rPr>
                <w:sz w:val="20"/>
                <w:szCs w:val="20"/>
                <w:color w:val="auto"/>
              </w:rPr>
            </w:pPr>
          </w:p>
        </w:tc>
      </w:tr>
      <w:tr>
        <w:trPr>
          <w:trHeight w:val="243"/>
        </w:trPr>
        <w:tc>
          <w:tcPr>
            <w:tcW w:w="41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60.9</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180.2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215.2</w:t>
            </w:r>
          </w:p>
        </w:tc>
        <w:tc>
          <w:tcPr>
            <w:tcW w:w="120" w:type="dxa"/>
            <w:vAlign w:val="bottom"/>
            <w:shd w:val="clear" w:color="auto" w:fill="CFF0FC"/>
          </w:tcPr>
          <w:p>
            <w:pPr>
              <w:spacing w:after="0"/>
              <w:rPr>
                <w:sz w:val="21"/>
                <w:szCs w:val="21"/>
                <w:color w:val="auto"/>
              </w:rPr>
            </w:pPr>
          </w:p>
        </w:tc>
      </w:tr>
      <w:tr>
        <w:trPr>
          <w:trHeight w:val="277"/>
        </w:trPr>
        <w:tc>
          <w:tcPr>
            <w:tcW w:w="416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Total</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1,321.4</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1,420.2</w:t>
            </w: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3,550.3</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3,638.7</w:t>
            </w:r>
          </w:p>
        </w:tc>
        <w:tc>
          <w:tcPr>
            <w:tcW w:w="120" w:type="dxa"/>
            <w:vAlign w:val="bottom"/>
            <w:tcBorders>
              <w:bottom w:val="single" w:sz="8" w:color="CFF0FC"/>
            </w:tcBorders>
          </w:tcPr>
          <w:p>
            <w:pPr>
              <w:spacing w:after="0"/>
              <w:rPr>
                <w:sz w:val="24"/>
                <w:szCs w:val="24"/>
                <w:color w:val="auto"/>
              </w:rPr>
            </w:pPr>
          </w:p>
        </w:tc>
      </w:tr>
      <w:tr>
        <w:trPr>
          <w:trHeight w:val="223"/>
        </w:trPr>
        <w:tc>
          <w:tcPr>
            <w:tcW w:w="1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3"/>
        </w:trPr>
        <w:tc>
          <w:tcPr>
            <w:tcW w:w="4160" w:type="dxa"/>
            <w:vAlign w:val="bottom"/>
            <w:gridSpan w:val="4"/>
          </w:tcPr>
          <w:p>
            <w:pPr>
              <w:spacing w:after="0" w:line="203" w:lineRule="exact"/>
              <w:rPr>
                <w:sz w:val="20"/>
                <w:szCs w:val="20"/>
                <w:color w:val="auto"/>
              </w:rPr>
            </w:pPr>
            <w:r>
              <w:rPr>
                <w:rFonts w:ascii="Arial" w:cs="Arial" w:eastAsia="Arial" w:hAnsi="Arial"/>
                <w:sz w:val="20"/>
                <w:szCs w:val="20"/>
                <w:color w:val="auto"/>
              </w:rPr>
              <w:t>Products and services revenues: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41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East Group</w:t>
            </w: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514.1</w:t>
            </w:r>
          </w:p>
        </w:tc>
        <w:tc>
          <w:tcPr>
            <w:tcW w:w="1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539.8</w:t>
            </w:r>
          </w:p>
        </w:tc>
        <w:tc>
          <w:tcPr>
            <w:tcW w:w="1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63"/>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1,371.8</w:t>
            </w:r>
          </w:p>
        </w:tc>
        <w:tc>
          <w:tcPr>
            <w:tcW w:w="1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1,398.6</w:t>
            </w:r>
          </w:p>
        </w:tc>
        <w:tc>
          <w:tcPr>
            <w:tcW w:w="120" w:type="dxa"/>
            <w:vAlign w:val="bottom"/>
            <w:shd w:val="clear" w:color="auto" w:fill="CFF0FC"/>
          </w:tcPr>
          <w:p>
            <w:pPr>
              <w:spacing w:after="0"/>
              <w:rPr>
                <w:sz w:val="21"/>
                <w:szCs w:val="21"/>
                <w:color w:val="auto"/>
              </w:rPr>
            </w:pPr>
          </w:p>
        </w:tc>
      </w:tr>
      <w:tr>
        <w:trPr>
          <w:trHeight w:val="243"/>
        </w:trPr>
        <w:tc>
          <w:tcPr>
            <w:tcW w:w="416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671.4</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724.1</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1,785.4</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1,800.1</w:t>
            </w:r>
          </w:p>
        </w:tc>
        <w:tc>
          <w:tcPr>
            <w:tcW w:w="120" w:type="dxa"/>
            <w:vAlign w:val="bottom"/>
            <w:tcBorders>
              <w:bottom w:val="single" w:sz="8" w:color="CFF0FC"/>
            </w:tcBorders>
          </w:tcPr>
          <w:p>
            <w:pPr>
              <w:spacing w:after="0"/>
              <w:rPr>
                <w:sz w:val="21"/>
                <w:szCs w:val="21"/>
                <w:color w:val="auto"/>
              </w:rPr>
            </w:pPr>
          </w:p>
        </w:tc>
      </w:tr>
      <w:tr>
        <w:trPr>
          <w:trHeight w:val="237"/>
        </w:trPr>
        <w:tc>
          <w:tcPr>
            <w:tcW w:w="41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1,185.5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1,263.9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3,157.2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3,198.7</w:t>
            </w:r>
          </w:p>
        </w:tc>
        <w:tc>
          <w:tcPr>
            <w:tcW w:w="120" w:type="dxa"/>
            <w:vAlign w:val="bottom"/>
            <w:shd w:val="clear" w:color="auto" w:fill="CFF0FC"/>
          </w:tcPr>
          <w:p>
            <w:pPr>
              <w:spacing w:after="0"/>
              <w:rPr>
                <w:sz w:val="20"/>
                <w:szCs w:val="20"/>
                <w:color w:val="auto"/>
              </w:rPr>
            </w:pPr>
          </w:p>
        </w:tc>
      </w:tr>
      <w:tr>
        <w:trPr>
          <w:trHeight w:val="243"/>
        </w:trPr>
        <w:tc>
          <w:tcPr>
            <w:tcW w:w="416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164.0</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198.9</w:t>
            </w:r>
          </w:p>
        </w:tc>
        <w:tc>
          <w:tcPr>
            <w:tcW w:w="120" w:type="dxa"/>
            <w:vAlign w:val="bottom"/>
            <w:tcBorders>
              <w:bottom w:val="single" w:sz="8" w:color="CFF0FC"/>
            </w:tcBorders>
          </w:tcPr>
          <w:p>
            <w:pPr>
              <w:spacing w:after="0"/>
              <w:rPr>
                <w:sz w:val="21"/>
                <w:szCs w:val="21"/>
                <w:color w:val="auto"/>
              </w:rPr>
            </w:pPr>
          </w:p>
        </w:tc>
      </w:tr>
      <w:tr>
        <w:trPr>
          <w:trHeight w:val="237"/>
        </w:trPr>
        <w:tc>
          <w:tcPr>
            <w:tcW w:w="416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1,240.7</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1,323.2</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3,321.2</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3,397.6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16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258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East Group</w:t>
            </w:r>
          </w:p>
        </w:tc>
        <w:tc>
          <w:tcPr>
            <w:tcW w:w="1580" w:type="dxa"/>
            <w:vAlign w:val="bottom"/>
            <w:tcBorders>
              <w:top w:val="single" w:sz="8" w:color="CFF0FC"/>
            </w:tcBorders>
          </w:tcPr>
          <w:p>
            <w:pPr>
              <w:spacing w:after="0"/>
              <w:rPr>
                <w:sz w:val="21"/>
                <w:szCs w:val="21"/>
                <w:color w:val="auto"/>
              </w:rPr>
            </w:pPr>
          </w:p>
        </w:tc>
        <w:tc>
          <w:tcPr>
            <w:tcW w:w="340" w:type="dxa"/>
            <w:vAlign w:val="bottom"/>
            <w:tcBorders>
              <w:top w:val="single" w:sz="8" w:color="CFF0FC"/>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181.4</w:t>
            </w:r>
          </w:p>
        </w:tc>
        <w:tc>
          <w:tcPr>
            <w:tcW w:w="160" w:type="dxa"/>
            <w:vAlign w:val="bottom"/>
            <w:tcBorders>
              <w:top w:val="single" w:sz="8" w:color="CFF0FC"/>
            </w:tcBorders>
          </w:tcPr>
          <w:p>
            <w:pPr>
              <w:spacing w:after="0"/>
              <w:rPr>
                <w:sz w:val="21"/>
                <w:szCs w:val="21"/>
                <w:color w:val="auto"/>
              </w:rPr>
            </w:pPr>
          </w:p>
        </w:tc>
        <w:tc>
          <w:tcPr>
            <w:tcW w:w="600" w:type="dxa"/>
            <w:vAlign w:val="bottom"/>
            <w:tcBorders>
              <w:top w:val="single" w:sz="8" w:color="CFF0FC"/>
            </w:tcBorders>
            <w:gridSpan w:val="2"/>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190.8</w:t>
            </w:r>
          </w:p>
        </w:tc>
        <w:tc>
          <w:tcPr>
            <w:tcW w:w="160" w:type="dxa"/>
            <w:vAlign w:val="bottom"/>
            <w:tcBorders>
              <w:top w:val="single" w:sz="8" w:color="CFF0FC"/>
            </w:tcBorders>
          </w:tcPr>
          <w:p>
            <w:pPr>
              <w:spacing w:after="0"/>
              <w:rPr>
                <w:sz w:val="21"/>
                <w:szCs w:val="21"/>
                <w:color w:val="auto"/>
              </w:rPr>
            </w:pPr>
          </w:p>
        </w:tc>
        <w:tc>
          <w:tcPr>
            <w:tcW w:w="440" w:type="dxa"/>
            <w:vAlign w:val="bottom"/>
            <w:tcBorders>
              <w:top w:val="single" w:sz="8" w:color="CFF0FC"/>
            </w:tcBorders>
            <w:gridSpan w:val="2"/>
          </w:tcPr>
          <w:p>
            <w:pPr>
              <w:jc w:val="right"/>
              <w:ind w:right="163"/>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386.1</w:t>
            </w:r>
          </w:p>
        </w:tc>
        <w:tc>
          <w:tcPr>
            <w:tcW w:w="180" w:type="dxa"/>
            <w:vAlign w:val="bottom"/>
            <w:tcBorders>
              <w:top w:val="single" w:sz="8" w:color="CFF0FC"/>
            </w:tcBorders>
          </w:tcPr>
          <w:p>
            <w:pPr>
              <w:spacing w:after="0"/>
              <w:rPr>
                <w:sz w:val="21"/>
                <w:szCs w:val="21"/>
                <w:color w:val="auto"/>
              </w:rPr>
            </w:pPr>
          </w:p>
        </w:tc>
        <w:tc>
          <w:tcPr>
            <w:tcW w:w="600" w:type="dxa"/>
            <w:vAlign w:val="bottom"/>
            <w:tcBorders>
              <w:top w:val="single" w:sz="8" w:color="CFF0FC"/>
            </w:tcBorders>
            <w:gridSpan w:val="2"/>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416.5</w:t>
            </w:r>
          </w:p>
        </w:tc>
        <w:tc>
          <w:tcPr>
            <w:tcW w:w="120" w:type="dxa"/>
            <w:vAlign w:val="bottom"/>
            <w:tcBorders>
              <w:top w:val="single" w:sz="8" w:color="CFF0FC"/>
            </w:tcBorders>
          </w:tcPr>
          <w:p>
            <w:pPr>
              <w:spacing w:after="0"/>
              <w:rPr>
                <w:sz w:val="21"/>
                <w:szCs w:val="21"/>
                <w:color w:val="auto"/>
              </w:rPr>
            </w:pPr>
          </w:p>
        </w:tc>
      </w:tr>
      <w:tr>
        <w:trPr>
          <w:trHeight w:val="243"/>
        </w:trPr>
        <w:tc>
          <w:tcPr>
            <w:tcW w:w="41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r>
              <w:rPr>
                <w:rFonts w:ascii="Arial" w:cs="Arial" w:eastAsia="Arial" w:hAnsi="Arial"/>
                <w:sz w:val="16"/>
                <w:szCs w:val="16"/>
                <w:color w:val="auto"/>
              </w:rPr>
              <w:t>(1)</w:t>
            </w: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212.3</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156.8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368.2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287.7</w:t>
            </w:r>
          </w:p>
        </w:tc>
        <w:tc>
          <w:tcPr>
            <w:tcW w:w="120" w:type="dxa"/>
            <w:vAlign w:val="bottom"/>
            <w:shd w:val="clear" w:color="auto" w:fill="CFF0FC"/>
          </w:tcPr>
          <w:p>
            <w:pPr>
              <w:spacing w:after="0"/>
              <w:rPr>
                <w:sz w:val="21"/>
                <w:szCs w:val="21"/>
                <w:color w:val="auto"/>
              </w:rPr>
            </w:pPr>
          </w:p>
        </w:tc>
      </w:tr>
      <w:tr>
        <w:trPr>
          <w:trHeight w:val="237"/>
        </w:trPr>
        <w:tc>
          <w:tcPr>
            <w:tcW w:w="4160" w:type="dxa"/>
            <w:vAlign w:val="bottom"/>
            <w:gridSpan w:val="4"/>
          </w:tcPr>
          <w:p>
            <w:pPr>
              <w:spacing w:after="0"/>
              <w:rPr>
                <w:sz w:val="20"/>
                <w:szCs w:val="20"/>
                <w:color w:val="auto"/>
              </w:rPr>
            </w:pPr>
            <w:r>
              <w:rPr>
                <w:rFonts w:ascii="Arial" w:cs="Arial" w:eastAsia="Arial" w:hAnsi="Arial"/>
                <w:sz w:val="20"/>
                <w:szCs w:val="20"/>
                <w:color w:val="auto"/>
              </w:rPr>
              <w:t>Total Building Materials Business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754.3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704.2</w:t>
            </w:r>
          </w:p>
        </w:tc>
        <w:tc>
          <w:tcPr>
            <w:tcW w:w="120" w:type="dxa"/>
            <w:vAlign w:val="bottom"/>
          </w:tcPr>
          <w:p>
            <w:pPr>
              <w:spacing w:after="0"/>
              <w:rPr>
                <w:sz w:val="20"/>
                <w:szCs w:val="20"/>
                <w:color w:val="auto"/>
              </w:rPr>
            </w:pPr>
          </w:p>
        </w:tc>
      </w:tr>
      <w:tr>
        <w:trPr>
          <w:trHeight w:val="243"/>
        </w:trPr>
        <w:tc>
          <w:tcPr>
            <w:tcW w:w="41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68.0</w:t>
            </w:r>
          </w:p>
        </w:tc>
        <w:tc>
          <w:tcPr>
            <w:tcW w:w="120" w:type="dxa"/>
            <w:vAlign w:val="bottom"/>
            <w:shd w:val="clear" w:color="auto" w:fill="CFF0FC"/>
          </w:tcPr>
          <w:p>
            <w:pPr>
              <w:spacing w:after="0"/>
              <w:rPr>
                <w:sz w:val="21"/>
                <w:szCs w:val="21"/>
                <w:color w:val="auto"/>
              </w:rPr>
            </w:pPr>
          </w:p>
        </w:tc>
      </w:tr>
      <w:tr>
        <w:trPr>
          <w:trHeight w:val="243"/>
        </w:trPr>
        <w:tc>
          <w:tcPr>
            <w:tcW w:w="4160" w:type="dxa"/>
            <w:vAlign w:val="bottom"/>
            <w:gridSpan w:val="4"/>
          </w:tcPr>
          <w:p>
            <w:pPr>
              <w:spacing w:after="0"/>
              <w:rPr>
                <w:sz w:val="20"/>
                <w:szCs w:val="20"/>
                <w:color w:val="auto"/>
              </w:rPr>
            </w:pPr>
            <w:r>
              <w:rPr>
                <w:rFonts w:ascii="Arial" w:cs="Arial" w:eastAsia="Arial" w:hAnsi="Arial"/>
                <w:sz w:val="20"/>
                <w:szCs w:val="20"/>
                <w:color w:val="auto"/>
              </w:rPr>
              <w:t>Corporate</w:t>
            </w:r>
          </w:p>
        </w:tc>
        <w:tc>
          <w:tcPr>
            <w:tcW w:w="3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(22.4)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20"/>
                <w:szCs w:val="20"/>
                <w:color w:val="auto"/>
              </w:rPr>
              <w:t>(40.7)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(71.8)</w:t>
            </w:r>
          </w:p>
        </w:tc>
      </w:tr>
      <w:tr>
        <w:trPr>
          <w:trHeight w:val="237"/>
        </w:trPr>
        <w:tc>
          <w:tcPr>
            <w:tcW w:w="416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400.6</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345.3</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764.8</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700.4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8"/>
          <w:szCs w:val="18"/>
          <w:i w:val="1"/>
          <w:iCs w:val="1"/>
          <w:color w:val="auto"/>
        </w:rPr>
        <w:t>2020 amounts include nonrecurring gains on sales of investment land and divested assets of $69.9 million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4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201"/>
              <w:spacing w:after="0"/>
              <w:rPr>
                <w:sz w:val="20"/>
                <w:szCs w:val="20"/>
                <w:color w:val="auto"/>
              </w:rPr>
            </w:pPr>
            <w:r>
              <w:rPr>
                <w:rFonts w:ascii="Arial" w:cs="Arial" w:eastAsia="Arial" w:hAnsi="Arial"/>
                <w:sz w:val="20"/>
                <w:szCs w:val="20"/>
                <w:color w:val="auto"/>
                <w:w w:val="91"/>
              </w:rPr>
              <w:t>September 30, 2020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gridSpan w:val="2"/>
          </w:tcPr>
          <w:p>
            <w:pPr>
              <w:ind w:left="160"/>
              <w:spacing w:after="0"/>
              <w:rPr>
                <w:sz w:val="20"/>
                <w:szCs w:val="20"/>
                <w:color w:val="auto"/>
              </w:rPr>
            </w:pPr>
            <w:r>
              <w:rPr>
                <w:rFonts w:ascii="Arial" w:cs="Arial" w:eastAsia="Arial" w:hAnsi="Arial"/>
                <w:sz w:val="20"/>
                <w:szCs w:val="20"/>
                <w:color w:val="auto"/>
              </w:rPr>
              <w:t>December 31, 2019</w:t>
            </w:r>
          </w:p>
        </w:tc>
      </w:tr>
      <w:tr>
        <w:trPr>
          <w:trHeight w:val="196"/>
        </w:trPr>
        <w:tc>
          <w:tcPr>
            <w:tcW w:w="6160" w:type="dxa"/>
            <w:vAlign w:val="bottom"/>
            <w:gridSpan w:val="2"/>
          </w:tcPr>
          <w:p>
            <w:pPr>
              <w:spacing w:after="0" w:line="196" w:lineRule="exact"/>
              <w:rPr>
                <w:sz w:val="20"/>
                <w:szCs w:val="20"/>
                <w:color w:val="auto"/>
              </w:rPr>
            </w:pPr>
            <w:r>
              <w:rPr>
                <w:rFonts w:ascii="Arial" w:cs="Arial" w:eastAsia="Arial" w:hAnsi="Arial"/>
                <w:sz w:val="20"/>
                <w:szCs w:val="20"/>
                <w:color w:val="auto"/>
              </w:rPr>
              <w:t>Assets employed:</w:t>
            </w:r>
          </w:p>
        </w:tc>
        <w:tc>
          <w:tcPr>
            <w:tcW w:w="20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gridSpan w:val="4"/>
          </w:tcPr>
          <w:p>
            <w:pPr>
              <w:jc w:val="right"/>
              <w:ind w:right="1561"/>
              <w:spacing w:after="0" w:line="196" w:lineRule="exact"/>
              <w:rPr>
                <w:sz w:val="20"/>
                <w:szCs w:val="20"/>
                <w:color w:val="auto"/>
              </w:rPr>
            </w:pPr>
            <w:r>
              <w:rPr>
                <w:rFonts w:ascii="Arial" w:cs="Arial" w:eastAsia="Arial" w:hAnsi="Arial"/>
                <w:sz w:val="20"/>
                <w:szCs w:val="20"/>
                <w:i w:val="1"/>
                <w:iCs w:val="1"/>
                <w:color w:val="auto"/>
              </w:rPr>
              <w:t>(Dollars in Millions)</w:t>
            </w:r>
          </w:p>
        </w:tc>
        <w:tc>
          <w:tcPr>
            <w:tcW w:w="120" w:type="dxa"/>
            <w:vAlign w:val="bottom"/>
          </w:tcPr>
          <w:p>
            <w:pPr>
              <w:spacing w:after="0"/>
              <w:rPr>
                <w:sz w:val="17"/>
                <w:szCs w:val="17"/>
                <w:color w:val="auto"/>
              </w:rPr>
            </w:pPr>
          </w:p>
        </w:tc>
      </w:tr>
      <w:tr>
        <w:trPr>
          <w:trHeight w:val="263"/>
        </w:trPr>
        <w:tc>
          <w:tcPr>
            <w:tcW w:w="14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East Group</w:t>
            </w:r>
          </w:p>
        </w:tc>
        <w:tc>
          <w:tcPr>
            <w:tcW w:w="476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980" w:type="dxa"/>
            <w:vAlign w:val="bottom"/>
          </w:tcPr>
          <w:p>
            <w:pPr>
              <w:jc w:val="right"/>
              <w:spacing w:after="0"/>
              <w:rPr>
                <w:sz w:val="20"/>
                <w:szCs w:val="20"/>
                <w:color w:val="auto"/>
              </w:rPr>
            </w:pPr>
            <w:r>
              <w:rPr>
                <w:rFonts w:ascii="Arial" w:cs="Arial" w:eastAsia="Arial" w:hAnsi="Arial"/>
                <w:sz w:val="20"/>
                <w:szCs w:val="20"/>
                <w:color w:val="auto"/>
              </w:rPr>
              <w:t>4,373.9</w:t>
            </w:r>
          </w:p>
        </w:tc>
        <w:tc>
          <w:tcPr>
            <w:tcW w:w="60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2180" w:type="dxa"/>
            <w:vAlign w:val="bottom"/>
          </w:tcPr>
          <w:p>
            <w:pPr>
              <w:jc w:val="right"/>
              <w:spacing w:after="0"/>
              <w:rPr>
                <w:sz w:val="20"/>
                <w:szCs w:val="20"/>
                <w:color w:val="auto"/>
              </w:rPr>
            </w:pPr>
            <w:r>
              <w:rPr>
                <w:rFonts w:ascii="Arial" w:cs="Arial" w:eastAsia="Arial" w:hAnsi="Arial"/>
                <w:sz w:val="20"/>
                <w:szCs w:val="20"/>
                <w:color w:val="auto"/>
              </w:rPr>
              <w:t>4,320.6</w:t>
            </w:r>
          </w:p>
        </w:tc>
        <w:tc>
          <w:tcPr>
            <w:tcW w:w="120" w:type="dxa"/>
            <w:vAlign w:val="bottom"/>
          </w:tcPr>
          <w:p>
            <w:pPr>
              <w:spacing w:after="0"/>
              <w:rPr>
                <w:sz w:val="22"/>
                <w:szCs w:val="22"/>
                <w:color w:val="auto"/>
              </w:rPr>
            </w:pPr>
          </w:p>
        </w:tc>
      </w:tr>
      <w:tr>
        <w:trPr>
          <w:trHeight w:val="243"/>
        </w:trPr>
        <w:tc>
          <w:tcPr>
            <w:tcW w:w="6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West Group</w:t>
            </w:r>
          </w:p>
        </w:tc>
        <w:tc>
          <w:tcPr>
            <w:tcW w:w="20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5,390.3</w:t>
            </w:r>
          </w:p>
        </w:tc>
        <w:tc>
          <w:tcPr>
            <w:tcW w:w="32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5,321.9</w:t>
            </w:r>
          </w:p>
        </w:tc>
        <w:tc>
          <w:tcPr>
            <w:tcW w:w="120" w:type="dxa"/>
            <w:vAlign w:val="bottom"/>
            <w:shd w:val="clear" w:color="auto" w:fill="CFF0FC"/>
          </w:tcPr>
          <w:p>
            <w:pPr>
              <w:spacing w:after="0"/>
              <w:rPr>
                <w:sz w:val="21"/>
                <w:szCs w:val="21"/>
                <w:color w:val="auto"/>
              </w:rPr>
            </w:pPr>
          </w:p>
        </w:tc>
      </w:tr>
      <w:tr>
        <w:trPr>
          <w:trHeight w:val="237"/>
        </w:trPr>
        <w:tc>
          <w:tcPr>
            <w:tcW w:w="616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9,764.2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9,642.5</w:t>
            </w:r>
          </w:p>
        </w:tc>
        <w:tc>
          <w:tcPr>
            <w:tcW w:w="120" w:type="dxa"/>
            <w:vAlign w:val="bottom"/>
          </w:tcPr>
          <w:p>
            <w:pPr>
              <w:spacing w:after="0"/>
              <w:rPr>
                <w:sz w:val="20"/>
                <w:szCs w:val="20"/>
                <w:color w:val="auto"/>
              </w:rPr>
            </w:pPr>
          </w:p>
        </w:tc>
      </w:tr>
      <w:tr>
        <w:trPr>
          <w:trHeight w:val="243"/>
        </w:trPr>
        <w:tc>
          <w:tcPr>
            <w:tcW w:w="6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0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163.5</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176.2</w:t>
            </w:r>
          </w:p>
        </w:tc>
        <w:tc>
          <w:tcPr>
            <w:tcW w:w="120" w:type="dxa"/>
            <w:vAlign w:val="bottom"/>
            <w:shd w:val="clear" w:color="auto" w:fill="CFF0FC"/>
          </w:tcPr>
          <w:p>
            <w:pPr>
              <w:spacing w:after="0"/>
              <w:rPr>
                <w:sz w:val="21"/>
                <w:szCs w:val="21"/>
                <w:color w:val="auto"/>
              </w:rPr>
            </w:pPr>
          </w:p>
        </w:tc>
      </w:tr>
      <w:tr>
        <w:trPr>
          <w:trHeight w:val="243"/>
        </w:trPr>
        <w:tc>
          <w:tcPr>
            <w:tcW w:w="616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Corporate</w:t>
            </w: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507.7</w:t>
            </w:r>
          </w:p>
        </w:tc>
        <w:tc>
          <w:tcPr>
            <w:tcW w:w="3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312.9</w:t>
            </w:r>
          </w:p>
        </w:tc>
        <w:tc>
          <w:tcPr>
            <w:tcW w:w="120" w:type="dxa"/>
            <w:vAlign w:val="bottom"/>
            <w:tcBorders>
              <w:bottom w:val="single" w:sz="8" w:color="CFF0FC"/>
            </w:tcBorders>
          </w:tcPr>
          <w:p>
            <w:pPr>
              <w:spacing w:after="0"/>
              <w:rPr>
                <w:sz w:val="21"/>
                <w:szCs w:val="21"/>
                <w:color w:val="auto"/>
              </w:rPr>
            </w:pPr>
          </w:p>
        </w:tc>
      </w:tr>
      <w:tr>
        <w:trPr>
          <w:trHeight w:val="237"/>
        </w:trPr>
        <w:tc>
          <w:tcPr>
            <w:tcW w:w="6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w:t>
            </w: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10,435.4</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10,131.6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4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1"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Profit</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880" w:type="dxa"/>
            <w:vAlign w:val="bottom"/>
            <w:gridSpan w:val="5"/>
          </w:tcPr>
          <w:p>
            <w:pPr>
              <w:jc w:val="right"/>
              <w:ind w:right="201"/>
              <w:spacing w:after="0"/>
              <w:rPr>
                <w:sz w:val="20"/>
                <w:szCs w:val="20"/>
                <w:color w:val="auto"/>
              </w:rPr>
            </w:pPr>
            <w:r>
              <w:rPr>
                <w:rFonts w:ascii="Arial" w:cs="Arial" w:eastAsia="Arial" w:hAnsi="Arial"/>
                <w:sz w:val="20"/>
                <w:szCs w:val="20"/>
                <w:color w:val="auto"/>
              </w:rPr>
              <w:t>Three Months Ended</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4"/>
          </w:tcPr>
          <w:p>
            <w:pPr>
              <w:jc w:val="right"/>
              <w:ind w:right="281"/>
              <w:spacing w:after="0"/>
              <w:rPr>
                <w:sz w:val="20"/>
                <w:szCs w:val="20"/>
                <w:color w:val="auto"/>
              </w:rPr>
            </w:pPr>
            <w:r>
              <w:rPr>
                <w:rFonts w:ascii="Arial" w:cs="Arial" w:eastAsia="Arial" w:hAnsi="Arial"/>
                <w:sz w:val="20"/>
                <w:szCs w:val="20"/>
                <w:color w:val="auto"/>
              </w:rPr>
              <w:t>Nine Months Ended</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20"/>
                <w:szCs w:val="20"/>
                <w:color w:val="auto"/>
                <w:w w:val="97"/>
              </w:rPr>
              <w:t>September 30,</w:t>
            </w: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20"/>
                <w:szCs w:val="20"/>
                <w:color w:val="auto"/>
                <w:w w:val="99"/>
              </w:rPr>
              <w:t>September 30,</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2019</w:t>
            </w: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0" w:type="dxa"/>
            <w:vAlign w:val="bottom"/>
            <w:gridSpan w:val="4"/>
          </w:tcPr>
          <w:p>
            <w:pPr>
              <w:jc w:val="right"/>
              <w:ind w:right="241"/>
              <w:spacing w:after="0"/>
              <w:rPr>
                <w:sz w:val="20"/>
                <w:szCs w:val="20"/>
                <w:color w:val="auto"/>
              </w:rPr>
            </w:pPr>
            <w:r>
              <w:rPr>
                <w:rFonts w:ascii="Arial" w:cs="Arial" w:eastAsia="Arial" w:hAnsi="Arial"/>
                <w:sz w:val="20"/>
                <w:szCs w:val="20"/>
                <w:i w:val="1"/>
                <w:iCs w:val="1"/>
                <w:color w:val="auto"/>
                <w:w w:val="97"/>
              </w:rPr>
              <w:t>(Dollars in Millions)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20"/>
                <w:szCs w:val="20"/>
                <w:color w:val="auto"/>
                <w:w w:val="87"/>
              </w:rPr>
              <w:t>Total revenues:</w:t>
            </w:r>
          </w:p>
        </w:tc>
        <w:tc>
          <w:tcPr>
            <w:tcW w:w="2480" w:type="dxa"/>
            <w:vAlign w:val="bottom"/>
            <w:tcBorders>
              <w:bottom w:val="single" w:sz="8" w:color="CFF0FC"/>
            </w:tcBorders>
            <w:gridSpan w:val="2"/>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spacing w:after="0"/>
              <w:rPr>
                <w:sz w:val="20"/>
                <w:szCs w:val="20"/>
                <w:color w:val="auto"/>
              </w:rPr>
            </w:pPr>
            <w:r>
              <w:rPr>
                <w:rFonts w:ascii="Arial" w:cs="Arial" w:eastAsia="Arial" w:hAnsi="Arial"/>
                <w:sz w:val="20"/>
                <w:szCs w:val="20"/>
                <w:color w:val="auto"/>
              </w:rPr>
              <w:t>Building Materials Business: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Products and services: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260"/>
              <w:spacing w:after="0"/>
              <w:rPr>
                <w:sz w:val="20"/>
                <w:szCs w:val="20"/>
                <w:color w:val="auto"/>
              </w:rPr>
            </w:pPr>
            <w:r>
              <w:rPr>
                <w:rFonts w:ascii="Arial" w:cs="Arial" w:eastAsia="Arial" w:hAnsi="Arial"/>
                <w:sz w:val="20"/>
                <w:szCs w:val="20"/>
                <w:color w:val="auto"/>
              </w:rPr>
              <w:t>Aggregates</w:t>
            </w:r>
          </w:p>
        </w:tc>
        <w:tc>
          <w:tcPr>
            <w:tcW w:w="1000" w:type="dxa"/>
            <w:vAlign w:val="bottom"/>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766.9</w:t>
            </w:r>
          </w:p>
        </w:tc>
        <w:tc>
          <w:tcPr>
            <w:tcW w:w="180" w:type="dxa"/>
            <w:vAlign w:val="bottom"/>
          </w:tcPr>
          <w:p>
            <w:pPr>
              <w:spacing w:after="0"/>
              <w:rPr>
                <w:sz w:val="21"/>
                <w:szCs w:val="21"/>
                <w:color w:val="auto"/>
              </w:rPr>
            </w:pPr>
          </w:p>
        </w:tc>
        <w:tc>
          <w:tcPr>
            <w:tcW w:w="1100" w:type="dxa"/>
            <w:vAlign w:val="bottom"/>
            <w:gridSpan w:val="2"/>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818.7</w:t>
            </w:r>
          </w:p>
        </w:tc>
        <w:tc>
          <w:tcPr>
            <w:tcW w:w="220" w:type="dxa"/>
            <w:vAlign w:val="bottom"/>
          </w:tcPr>
          <w:p>
            <w:pPr>
              <w:spacing w:after="0"/>
              <w:rPr>
                <w:sz w:val="21"/>
                <w:szCs w:val="21"/>
                <w:color w:val="auto"/>
              </w:rPr>
            </w:pPr>
          </w:p>
        </w:tc>
        <w:tc>
          <w:tcPr>
            <w:tcW w:w="1180" w:type="dxa"/>
            <w:vAlign w:val="bottom"/>
            <w:gridSpan w:val="2"/>
          </w:tcPr>
          <w:p>
            <w:pPr>
              <w:jc w:val="right"/>
              <w:ind w:right="82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6"/>
              </w:rPr>
              <w:t>2,092.1</w:t>
            </w:r>
          </w:p>
        </w:tc>
        <w:tc>
          <w:tcPr>
            <w:tcW w:w="280" w:type="dxa"/>
            <w:vAlign w:val="bottom"/>
          </w:tcPr>
          <w:p>
            <w:pPr>
              <w:spacing w:after="0"/>
              <w:rPr>
                <w:sz w:val="21"/>
                <w:szCs w:val="21"/>
                <w:color w:val="auto"/>
              </w:rPr>
            </w:pPr>
          </w:p>
        </w:tc>
        <w:tc>
          <w:tcPr>
            <w:tcW w:w="1040" w:type="dxa"/>
            <w:vAlign w:val="bottom"/>
          </w:tcPr>
          <w:p>
            <w:pPr>
              <w:jc w:val="right"/>
              <w:ind w:right="84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6"/>
              </w:rPr>
              <w:t>2,121.4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Cement</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115.6</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331.7</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260"/>
              <w:spacing w:after="0"/>
              <w:rPr>
                <w:sz w:val="20"/>
                <w:szCs w:val="20"/>
                <w:color w:val="auto"/>
              </w:rPr>
            </w:pPr>
            <w:r>
              <w:rPr>
                <w:rFonts w:ascii="Arial" w:cs="Arial" w:eastAsia="Arial" w:hAnsi="Arial"/>
                <w:sz w:val="20"/>
                <w:szCs w:val="20"/>
                <w:color w:val="auto"/>
              </w:rPr>
              <w:t>Ready mixed concrete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254.6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271.8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689.4</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724.2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Asphalt and paving services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254.9</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260"/>
              <w:spacing w:after="0"/>
              <w:rPr>
                <w:sz w:val="20"/>
                <w:szCs w:val="20"/>
                <w:color w:val="auto"/>
              </w:rPr>
            </w:pPr>
            <w:r>
              <w:rPr>
                <w:rFonts w:ascii="Arial" w:cs="Arial" w:eastAsia="Arial" w:hAnsi="Arial"/>
                <w:sz w:val="20"/>
                <w:szCs w:val="20"/>
                <w:color w:val="auto"/>
              </w:rPr>
              <w:t>Less: interproduct revenues</w:t>
            </w:r>
          </w:p>
        </w:tc>
        <w:tc>
          <w:tcPr>
            <w:tcW w:w="10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20"/>
                <w:szCs w:val="20"/>
                <w:color w:val="auto"/>
              </w:rPr>
              <w:t>(81.4)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(77.3)</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0"/>
                <w:szCs w:val="20"/>
                <w:color w:val="auto"/>
              </w:rPr>
              <w:t>(210.9)</w:t>
            </w:r>
          </w:p>
        </w:tc>
        <w:tc>
          <w:tcPr>
            <w:tcW w:w="10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(203.6)</w:t>
            </w:r>
          </w:p>
        </w:tc>
        <w:tc>
          <w:tcPr>
            <w:tcW w:w="0" w:type="dxa"/>
            <w:vAlign w:val="bottom"/>
          </w:tcPr>
          <w:p>
            <w:pPr>
              <w:spacing w:after="0"/>
              <w:rPr>
                <w:sz w:val="1"/>
                <w:szCs w:val="1"/>
                <w:color w:val="auto"/>
              </w:rPr>
            </w:pPr>
          </w:p>
        </w:tc>
      </w:tr>
      <w:tr>
        <w:trPr>
          <w:trHeight w:val="237"/>
        </w:trPr>
        <w:tc>
          <w:tcPr>
            <w:tcW w:w="3700" w:type="dxa"/>
            <w:vAlign w:val="bottom"/>
            <w:tcBorders>
              <w:top w:val="single" w:sz="8" w:color="CFF0FC"/>
            </w:tcBorders>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3"/>
              </w:rPr>
              <w:t>1,185.5</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3"/>
              </w:rPr>
              <w:t>1,263.9</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3,157.2</w:t>
            </w:r>
          </w:p>
        </w:tc>
        <w:tc>
          <w:tcPr>
            <w:tcW w:w="28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3,198.7</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75.0</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91.5</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212.9</w:t>
            </w:r>
          </w:p>
        </w:tc>
        <w:tc>
          <w:tcPr>
            <w:tcW w:w="28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224.8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1,260.5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1,355.4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6"/>
              </w:rPr>
              <w:t>3,370.1</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6"/>
              </w:rPr>
              <w:t>3,423.5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164.0</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w:t>
            </w:r>
          </w:p>
        </w:tc>
        <w:tc>
          <w:tcPr>
            <w:tcW w:w="28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10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180.2</w:t>
            </w:r>
          </w:p>
        </w:tc>
        <w:tc>
          <w:tcPr>
            <w:tcW w:w="28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00" w:type="dxa"/>
            <w:vAlign w:val="bottom"/>
            <w:gridSpan w:val="3"/>
          </w:tcPr>
          <w:p>
            <w:pPr>
              <w:spacing w:after="0"/>
              <w:rPr>
                <w:sz w:val="20"/>
                <w:szCs w:val="20"/>
                <w:color w:val="auto"/>
              </w:rPr>
            </w:pPr>
            <w:r>
              <w:rPr>
                <w:rFonts w:ascii="Arial" w:cs="Arial" w:eastAsia="Arial" w:hAnsi="Arial"/>
                <w:sz w:val="20"/>
                <w:szCs w:val="20"/>
                <w:color w:val="auto"/>
              </w:rPr>
              <w:t>Total</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1,321.4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1,420.2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auto"/>
            </w:tcBorders>
          </w:tcPr>
          <w:p>
            <w:pPr>
              <w:jc w:val="right"/>
              <w:ind w:right="821"/>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6"/>
              </w:rPr>
              <w:t>3,550.3</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6"/>
              </w:rPr>
              <w:t>3,638.7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0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spacing w:after="0"/>
              <w:rPr>
                <w:sz w:val="20"/>
                <w:szCs w:val="20"/>
                <w:color w:val="auto"/>
              </w:rPr>
            </w:pPr>
            <w:r>
              <w:rPr>
                <w:rFonts w:ascii="Arial" w:cs="Arial" w:eastAsia="Arial" w:hAnsi="Arial"/>
                <w:sz w:val="20"/>
                <w:szCs w:val="20"/>
                <w:color w:val="auto"/>
              </w:rPr>
              <w:t>Products and services: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Aggregates</w:t>
            </w:r>
          </w:p>
        </w:tc>
        <w:tc>
          <w:tcPr>
            <w:tcW w:w="1000" w:type="dxa"/>
            <w:vAlign w:val="bottom"/>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279.1</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287.1</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640.4</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4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260"/>
              <w:spacing w:after="0"/>
              <w:rPr>
                <w:sz w:val="20"/>
                <w:szCs w:val="20"/>
                <w:color w:val="auto"/>
              </w:rPr>
            </w:pPr>
            <w:r>
              <w:rPr>
                <w:rFonts w:ascii="Arial" w:cs="Arial" w:eastAsia="Arial" w:hAnsi="Arial"/>
                <w:sz w:val="20"/>
                <w:szCs w:val="20"/>
                <w:color w:val="auto"/>
              </w:rPr>
              <w:t>Cement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46.5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117.2</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Ready mixed concrete</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56.7</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3"/>
          </w:tcPr>
          <w:p>
            <w:pPr>
              <w:ind w:left="260"/>
              <w:spacing w:after="0"/>
              <w:rPr>
                <w:sz w:val="20"/>
                <w:szCs w:val="20"/>
                <w:color w:val="auto"/>
              </w:rPr>
            </w:pPr>
            <w:r>
              <w:rPr>
                <w:rFonts w:ascii="Arial" w:cs="Arial" w:eastAsia="Arial" w:hAnsi="Arial"/>
                <w:sz w:val="20"/>
                <w:szCs w:val="20"/>
                <w:color w:val="auto"/>
              </w:rPr>
              <w:t>Asphalt and paving services</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46.4</w:t>
            </w:r>
          </w:p>
        </w:tc>
        <w:tc>
          <w:tcPr>
            <w:tcW w:w="28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382.9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395.7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860.7</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28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383.8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395.9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861.0</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65.3</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140"/>
              <w:spacing w:after="0"/>
              <w:rPr>
                <w:sz w:val="20"/>
                <w:szCs w:val="20"/>
                <w:color w:val="auto"/>
              </w:rPr>
            </w:pPr>
            <w:r>
              <w:rPr>
                <w:rFonts w:ascii="Arial" w:cs="Arial" w:eastAsia="Arial" w:hAnsi="Arial"/>
                <w:sz w:val="20"/>
                <w:szCs w:val="20"/>
                <w:color w:val="auto"/>
              </w:rPr>
              <w:t>Freight</w:t>
            </w:r>
          </w:p>
        </w:tc>
        <w:tc>
          <w:tcPr>
            <w:tcW w:w="10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(1.0)</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0"/>
                <w:szCs w:val="20"/>
                <w:color w:val="auto"/>
              </w:rPr>
              <w:t>(3.2)</w:t>
            </w:r>
          </w:p>
        </w:tc>
        <w:tc>
          <w:tcPr>
            <w:tcW w:w="10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37"/>
        </w:trPr>
        <w:tc>
          <w:tcPr>
            <w:tcW w:w="37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23.0</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62.1</w:t>
            </w:r>
          </w:p>
        </w:tc>
        <w:tc>
          <w:tcPr>
            <w:tcW w:w="28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76.6</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3"/>
          </w:tcPr>
          <w:p>
            <w:pPr>
              <w:spacing w:after="0"/>
              <w:rPr>
                <w:sz w:val="20"/>
                <w:szCs w:val="20"/>
                <w:color w:val="auto"/>
              </w:rPr>
            </w:pPr>
            <w:r>
              <w:rPr>
                <w:rFonts w:ascii="Arial" w:cs="Arial" w:eastAsia="Arial" w:hAnsi="Arial"/>
                <w:sz w:val="20"/>
                <w:szCs w:val="20"/>
                <w:color w:val="auto"/>
              </w:rPr>
              <w:t>Corporate</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28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100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404.5</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420.6</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927.4</w:t>
            </w: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41"/>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920.4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20" w:type="dxa"/>
            <w:vAlign w:val="bottom"/>
          </w:tcPr>
          <w:p>
            <w:pPr>
              <w:spacing w:after="0"/>
              <w:rPr>
                <w:sz w:val="20"/>
                <w:szCs w:val="20"/>
                <w:color w:val="auto"/>
              </w:rPr>
            </w:pPr>
            <w:r>
              <w:rPr>
                <w:rFonts w:ascii="Arial" w:cs="Arial" w:eastAsia="Arial" w:hAnsi="Arial"/>
                <w:sz w:val="20"/>
                <w:szCs w:val="20"/>
                <w:b w:val="1"/>
                <w:bCs w:val="1"/>
                <w:color w:val="auto"/>
              </w:rPr>
              <w:t>12. Supplemental Cash Flow Information</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8"/>
        </w:trPr>
        <w:tc>
          <w:tcPr>
            <w:tcW w:w="722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7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20"/>
                <w:szCs w:val="20"/>
                <w:color w:val="auto"/>
              </w:rPr>
              <w:t>September 30,</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color w:val="auto"/>
              </w:rPr>
              <w:t>2020</w:t>
            </w: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w w:val="94"/>
              </w:rPr>
              <w:t>2019</w:t>
            </w:r>
          </w:p>
        </w:tc>
        <w:tc>
          <w:tcPr>
            <w:tcW w:w="100" w:type="dxa"/>
            <w:vAlign w:val="bottom"/>
          </w:tcPr>
          <w:p>
            <w:pPr>
              <w:spacing w:after="0"/>
              <w:rPr>
                <w:sz w:val="20"/>
                <w:szCs w:val="20"/>
                <w:color w:val="auto"/>
              </w:rPr>
            </w:pPr>
          </w:p>
        </w:tc>
      </w:tr>
      <w:tr>
        <w:trPr>
          <w:trHeight w:val="236"/>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gridSpan w:val="3"/>
          </w:tcPr>
          <w:p>
            <w:pPr>
              <w:jc w:val="right"/>
              <w:ind w:right="981"/>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220" w:type="dxa"/>
            <w:vAlign w:val="bottom"/>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21"/>
              <w:spacing w:after="0"/>
              <w:rPr>
                <w:sz w:val="20"/>
                <w:szCs w:val="20"/>
                <w:color w:val="auto"/>
              </w:rPr>
            </w:pPr>
            <w:r>
              <w:rPr>
                <w:rFonts w:ascii="Arial" w:cs="Arial" w:eastAsia="Arial" w:hAnsi="Arial"/>
                <w:sz w:val="20"/>
                <w:szCs w:val="20"/>
                <w:color w:val="auto"/>
              </w:rPr>
              <w:t>30.5</w:t>
            </w:r>
          </w:p>
        </w:tc>
        <w:tc>
          <w:tcPr>
            <w:tcW w:w="8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28.8</w:t>
            </w:r>
          </w:p>
        </w:tc>
        <w:tc>
          <w:tcPr>
            <w:tcW w:w="100" w:type="dxa"/>
            <w:vAlign w:val="bottom"/>
          </w:tcPr>
          <w:p>
            <w:pPr>
              <w:spacing w:after="0"/>
              <w:rPr>
                <w:sz w:val="21"/>
                <w:szCs w:val="21"/>
                <w:color w:val="auto"/>
              </w:rPr>
            </w:pPr>
          </w:p>
        </w:tc>
      </w:tr>
      <w:tr>
        <w:trPr>
          <w:trHeight w:val="226"/>
        </w:trPr>
        <w:tc>
          <w:tcPr>
            <w:tcW w:w="722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Right-of-use assets obtained in exchange for new</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72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operating lease liabilities</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29.3</w:t>
            </w:r>
          </w:p>
        </w:tc>
        <w:tc>
          <w:tcPr>
            <w:tcW w:w="800" w:type="dxa"/>
            <w:vAlign w:val="bottom"/>
            <w:shd w:val="clear" w:color="auto" w:fill="CFF0FC"/>
          </w:tcPr>
          <w:p>
            <w:pPr>
              <w:jc w:val="right"/>
              <w:ind w:right="46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36.4</w:t>
            </w:r>
          </w:p>
        </w:tc>
        <w:tc>
          <w:tcPr>
            <w:tcW w:w="100" w:type="dxa"/>
            <w:vAlign w:val="bottom"/>
            <w:shd w:val="clear" w:color="auto" w:fill="CFF0FC"/>
          </w:tcPr>
          <w:p>
            <w:pPr>
              <w:spacing w:after="0"/>
              <w:rPr>
                <w:sz w:val="21"/>
                <w:szCs w:val="21"/>
                <w:color w:val="auto"/>
              </w:rPr>
            </w:pPr>
          </w:p>
        </w:tc>
      </w:tr>
      <w:tr>
        <w:trPr>
          <w:trHeight w:val="226"/>
        </w:trPr>
        <w:tc>
          <w:tcPr>
            <w:tcW w:w="7220" w:type="dxa"/>
            <w:vAlign w:val="bottom"/>
          </w:tcPr>
          <w:p>
            <w:pPr>
              <w:ind w:left="260"/>
              <w:spacing w:after="0" w:line="227" w:lineRule="exact"/>
              <w:rPr>
                <w:sz w:val="20"/>
                <w:szCs w:val="20"/>
                <w:color w:val="auto"/>
              </w:rPr>
            </w:pPr>
            <w:r>
              <w:rPr>
                <w:rFonts w:ascii="Arial" w:cs="Arial" w:eastAsia="Arial" w:hAnsi="Arial"/>
                <w:sz w:val="20"/>
                <w:szCs w:val="20"/>
                <w:color w:val="auto"/>
              </w:rPr>
              <w:t>Right-of-use assets obtained in exchange for</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7220" w:type="dxa"/>
            <w:vAlign w:val="bottom"/>
          </w:tcPr>
          <w:p>
            <w:pPr>
              <w:ind w:left="400"/>
              <w:spacing w:after="0"/>
              <w:rPr>
                <w:sz w:val="20"/>
                <w:szCs w:val="20"/>
                <w:color w:val="auto"/>
              </w:rPr>
            </w:pPr>
            <w:r>
              <w:rPr>
                <w:rFonts w:ascii="Arial" w:cs="Arial" w:eastAsia="Arial" w:hAnsi="Arial"/>
                <w:sz w:val="20"/>
                <w:szCs w:val="20"/>
                <w:color w:val="auto"/>
              </w:rPr>
              <w:t>new finance lease liabilities</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21"/>
              <w:spacing w:after="0"/>
              <w:rPr>
                <w:sz w:val="20"/>
                <w:szCs w:val="20"/>
                <w:color w:val="auto"/>
              </w:rPr>
            </w:pPr>
            <w:r>
              <w:rPr>
                <w:rFonts w:ascii="Arial" w:cs="Arial" w:eastAsia="Arial" w:hAnsi="Arial"/>
                <w:sz w:val="20"/>
                <w:szCs w:val="20"/>
                <w:color w:val="auto"/>
              </w:rPr>
              <w:t>15.0</w:t>
            </w:r>
          </w:p>
        </w:tc>
        <w:tc>
          <w:tcPr>
            <w:tcW w:w="8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0.2</w:t>
            </w:r>
          </w:p>
        </w:tc>
        <w:tc>
          <w:tcPr>
            <w:tcW w:w="100" w:type="dxa"/>
            <w:vAlign w:val="bottom"/>
          </w:tcPr>
          <w:p>
            <w:pPr>
              <w:spacing w:after="0"/>
              <w:rPr>
                <w:sz w:val="21"/>
                <w:szCs w:val="21"/>
                <w:color w:val="auto"/>
              </w:rPr>
            </w:pPr>
          </w:p>
        </w:tc>
      </w:tr>
      <w:tr>
        <w:trPr>
          <w:trHeight w:val="243"/>
        </w:trPr>
        <w:tc>
          <w:tcPr>
            <w:tcW w:w="72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Remeasurement of operating lease right-of-use assets</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1.9</w:t>
            </w:r>
          </w:p>
        </w:tc>
        <w:tc>
          <w:tcPr>
            <w:tcW w:w="800" w:type="dxa"/>
            <w:vAlign w:val="bottom"/>
            <w:shd w:val="clear" w:color="auto" w:fill="CFF0FC"/>
          </w:tcPr>
          <w:p>
            <w:pPr>
              <w:jc w:val="right"/>
              <w:ind w:right="461"/>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7220" w:type="dxa"/>
            <w:vAlign w:val="bottom"/>
          </w:tcPr>
          <w:p>
            <w:pPr>
              <w:ind w:left="260"/>
              <w:spacing w:after="0"/>
              <w:rPr>
                <w:sz w:val="20"/>
                <w:szCs w:val="20"/>
                <w:color w:val="auto"/>
              </w:rPr>
            </w:pPr>
            <w:r>
              <w:rPr>
                <w:rFonts w:ascii="Arial" w:cs="Arial" w:eastAsia="Arial" w:hAnsi="Arial"/>
                <w:sz w:val="20"/>
                <w:szCs w:val="20"/>
                <w:color w:val="auto"/>
              </w:rPr>
              <w:t>Acquisition of assets through swap</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1"/>
                <w:szCs w:val="21"/>
                <w:color w:val="auto"/>
              </w:rPr>
            </w:pPr>
          </w:p>
        </w:tc>
      </w:tr>
      <w:tr>
        <w:trPr>
          <w:trHeight w:val="456"/>
        </w:trPr>
        <w:tc>
          <w:tcPr>
            <w:tcW w:w="722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7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color w:val="auto"/>
              </w:rPr>
              <w:t>September 30,</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color w:val="auto"/>
              </w:rPr>
              <w:t>2020</w:t>
            </w: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89"/>
              </w:rPr>
              <w:t>2019</w:t>
            </w:r>
          </w:p>
        </w:tc>
        <w:tc>
          <w:tcPr>
            <w:tcW w:w="100" w:type="dxa"/>
            <w:vAlign w:val="bottom"/>
          </w:tcPr>
          <w:p>
            <w:pPr>
              <w:spacing w:after="0"/>
              <w:rPr>
                <w:sz w:val="20"/>
                <w:szCs w:val="20"/>
                <w:color w:val="auto"/>
              </w:rPr>
            </w:pPr>
          </w:p>
        </w:tc>
      </w:tr>
      <w:tr>
        <w:trPr>
          <w:trHeight w:val="237"/>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gridSpan w:val="2"/>
          </w:tcPr>
          <w:p>
            <w:pPr>
              <w:jc w:val="right"/>
              <w:spacing w:after="0"/>
              <w:rPr>
                <w:sz w:val="20"/>
                <w:szCs w:val="20"/>
                <w:color w:val="auto"/>
              </w:rPr>
            </w:pPr>
            <w:r>
              <w:rPr>
                <w:rFonts w:ascii="Arial" w:cs="Arial" w:eastAsia="Arial" w:hAnsi="Arial"/>
                <w:sz w:val="20"/>
                <w:szCs w:val="20"/>
                <w:i w:val="1"/>
                <w:iCs w:val="1"/>
                <w:color w:val="auto"/>
              </w:rPr>
              <w:t>(Dollars 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74.7</w:t>
            </w:r>
          </w:p>
        </w:tc>
        <w:tc>
          <w:tcPr>
            <w:tcW w:w="800" w:type="dxa"/>
            <w:vAlign w:val="bottom"/>
            <w:shd w:val="clear" w:color="auto" w:fill="CFF0FC"/>
          </w:tcPr>
          <w:p>
            <w:pPr>
              <w:jc w:val="right"/>
              <w:ind w:right="48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82.3</w:t>
            </w:r>
          </w:p>
        </w:tc>
        <w:tc>
          <w:tcPr>
            <w:tcW w:w="100" w:type="dxa"/>
            <w:vAlign w:val="bottom"/>
            <w:shd w:val="clear" w:color="auto" w:fill="CFF0FC"/>
          </w:tcPr>
          <w:p>
            <w:pPr>
              <w:spacing w:after="0"/>
              <w:rPr>
                <w:sz w:val="21"/>
                <w:szCs w:val="21"/>
                <w:color w:val="auto"/>
              </w:rPr>
            </w:pPr>
          </w:p>
        </w:tc>
      </w:tr>
      <w:tr>
        <w:trPr>
          <w:trHeight w:val="250"/>
        </w:trPr>
        <w:tc>
          <w:tcPr>
            <w:tcW w:w="7220" w:type="dxa"/>
            <w:vAlign w:val="bottom"/>
          </w:tcPr>
          <w:p>
            <w:pPr>
              <w:spacing w:after="0"/>
              <w:rPr>
                <w:sz w:val="20"/>
                <w:szCs w:val="20"/>
                <w:color w:val="auto"/>
              </w:rPr>
            </w:pPr>
            <w:r>
              <w:rPr>
                <w:rFonts w:ascii="Arial" w:cs="Arial" w:eastAsia="Arial" w:hAnsi="Arial"/>
                <w:sz w:val="20"/>
                <w:szCs w:val="20"/>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300" w:type="dxa"/>
            <w:vAlign w:val="bottom"/>
          </w:tcPr>
          <w:p>
            <w:pPr>
              <w:spacing w:after="0"/>
              <w:rPr>
                <w:sz w:val="21"/>
                <w:szCs w:val="21"/>
                <w:color w:val="auto"/>
              </w:rPr>
            </w:pPr>
          </w:p>
        </w:tc>
        <w:tc>
          <w:tcPr>
            <w:tcW w:w="1540" w:type="dxa"/>
            <w:vAlign w:val="bottom"/>
          </w:tcPr>
          <w:p>
            <w:pPr>
              <w:jc w:val="right"/>
              <w:ind w:right="181"/>
              <w:spacing w:after="0"/>
              <w:rPr>
                <w:sz w:val="20"/>
                <w:szCs w:val="20"/>
                <w:color w:val="auto"/>
              </w:rPr>
            </w:pPr>
            <w:r>
              <w:rPr>
                <w:rFonts w:ascii="Arial" w:cs="Arial" w:eastAsia="Arial" w:hAnsi="Arial"/>
                <w:sz w:val="20"/>
                <w:szCs w:val="20"/>
                <w:color w:val="auto"/>
              </w:rPr>
              <w:t>68.9</w:t>
            </w:r>
          </w:p>
        </w:tc>
        <w:tc>
          <w:tcPr>
            <w:tcW w:w="80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62.2</w:t>
            </w:r>
          </w:p>
        </w:tc>
        <w:tc>
          <w:tcPr>
            <w:tcW w:w="100" w:type="dxa"/>
            <w:vAlign w:val="bottom"/>
          </w:tcPr>
          <w:p>
            <w:pPr>
              <w:spacing w:after="0"/>
              <w:rPr>
                <w:sz w:val="21"/>
                <w:szCs w:val="21"/>
                <w:color w:val="auto"/>
              </w:rPr>
            </w:pPr>
          </w:p>
        </w:tc>
      </w:tr>
    </w:tbl>
    <w:p>
      <w:pPr>
        <w:spacing w:after="0" w:line="192"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the nine months ended September 30, 2020, the Company repaid $13.7 million of loans related to its company-owned life insurance policies. The repayment is included in the ‘Investments in life insurance contracts, net’ in the investing activities of the consolidated statement of cash flows.</w:t>
      </w:r>
    </w:p>
    <w:p>
      <w:pPr>
        <w:spacing w:after="0" w:line="288"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Income, Net</w:t>
      </w:r>
    </w:p>
    <w:p>
      <w:pPr>
        <w:spacing w:after="0" w:line="113" w:lineRule="exact"/>
        <w:rPr>
          <w:rFonts w:ascii="Arial" w:cs="Arial" w:eastAsia="Arial" w:hAnsi="Arial"/>
          <w:sz w:val="20"/>
          <w:szCs w:val="20"/>
          <w:b w:val="1"/>
          <w:bCs w:val="1"/>
          <w:color w:val="auto"/>
        </w:rPr>
      </w:pPr>
    </w:p>
    <w:p>
      <w:pPr>
        <w:jc w:val="both"/>
        <w:ind w:left="3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Other operating income, net, for the three and nine months ended September 30, 2020 includes $69.9 million of nonrecurring gains on the sales of investment land and divested assets in Austin, Texas; Riverside, California; and Augusta, Kansas, which collectively provided pretax cash proceeds of $122.4 million. These gains are recorded in the West Group.</w:t>
      </w:r>
    </w:p>
    <w:p>
      <w:pPr>
        <w:spacing w:after="0" w:line="61"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For the nine months ended September 30, 2019, other operating income, net, reflected the reversal of $6.9 million of accruals for sales tax and unclaimed property contingencies.</w:t>
      </w:r>
    </w:p>
    <w:p>
      <w:pPr>
        <w:spacing w:after="0" w:line="278" w:lineRule="exact"/>
        <w:rPr>
          <w:rFonts w:ascii="Arial" w:cs="Arial" w:eastAsia="Arial" w:hAnsi="Arial"/>
          <w:sz w:val="20"/>
          <w:szCs w:val="20"/>
          <w:b w:val="1"/>
          <w:bCs w:val="1"/>
          <w:color w:val="auto"/>
        </w:rPr>
      </w:pPr>
    </w:p>
    <w:p>
      <w:pPr>
        <w:ind w:left="360" w:hanging="352"/>
        <w:spacing w:after="0"/>
        <w:tabs>
          <w:tab w:leader="none" w:pos="3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Other Nonoperating (Income) and Expenses, Net</w:t>
      </w:r>
    </w:p>
    <w:p>
      <w:pPr>
        <w:spacing w:after="0" w:line="114" w:lineRule="exact"/>
        <w:rPr>
          <w:sz w:val="20"/>
          <w:szCs w:val="20"/>
          <w:color w:val="auto"/>
        </w:rPr>
      </w:pPr>
    </w:p>
    <w:p>
      <w:pPr>
        <w:jc w:val="both"/>
        <w:ind w:left="380"/>
        <w:spacing w:after="0" w:line="278" w:lineRule="auto"/>
        <w:rPr>
          <w:sz w:val="20"/>
          <w:szCs w:val="20"/>
          <w:color w:val="auto"/>
        </w:rPr>
      </w:pPr>
      <w:r>
        <w:rPr>
          <w:rFonts w:ascii="Arial" w:cs="Arial" w:eastAsia="Arial" w:hAnsi="Arial"/>
          <w:sz w:val="18"/>
          <w:szCs w:val="18"/>
          <w:color w:val="auto"/>
        </w:rPr>
        <w:t>For the nine months ended September 30, 2020, other nonoperating (income) and expenses, net, included $5.6 million of third-party railroad track maintenance expense. Additionally, other nonoperating (income) and expenses, net, for the nine months ended September 30, 2020 reflects an $8.9 million reduction in pension expense compared with the prior-year period. For the nine months ended September 30, 2019, other nonoperating (income) and expenses, net, included a $15.7 million ($12.0 million net of tax) out-of-period correction of a Company-identified overstatement of the investment balance for a nonconsolidated equity affiliate.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The Company supplies aggregates (crushed stone, sand and gravel) through its network of approximately 290 quarries, mines and distribution yards in 27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Effective July 1, 2020, the Company made organizational changes, including consolidating its operational management and operating divisions, in connection with the retirement of two senior executives as of the end of the second quarter. Notably, the Mid-Atlantic Division and Southeast Division have been combined into the newly formed East Division. Additionally, the Southwest Aggregates Division and the Cement and Southwest Ready Mix Division have been combined into the newly formed Southwest Division. Subsequent to these changes, the Building Materials business consists of four divisions, which also includes the Central and West Divisions. Each division, as well as the Magnesia Specialties business, represents an operating segment.</w:t>
      </w:r>
    </w:p>
    <w:p>
      <w:pPr>
        <w:spacing w:after="0" w:line="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Company’s Building Materials business includes two reportable segments: the East Group and the West Group. The East Group, whose operations were previously reported in the Mid-America and Southeast Groups, consists of the East and Central Divisions. Prior-period reportable segment information for the Mid-America and Southeast Groups have been combined into the East Group. The West Group, which reflects no changes in operations included in this reportable segment, is comprised of the Southwest and West Divisions. There were no changes to the Magnesia Specialties reportable segment.</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Effective January 1, 2020, the Company moved the management of its one quarry in the state of Washington from the East Group to the West Group, resulting in an immaterial change to its reportable segments.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FORM 10-Q</w:t>
      </w:r>
    </w:p>
    <w:p>
      <w:pPr>
        <w:jc w:val="center"/>
        <w:ind w:right="60"/>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RESULTS OF OPERATIONS</w:t>
      </w:r>
    </w:p>
    <w:p>
      <w:pPr>
        <w:jc w:val="center"/>
        <w:ind w:right="60"/>
        <w:spacing w:after="0"/>
        <w:rPr>
          <w:sz w:val="20"/>
          <w:szCs w:val="20"/>
          <w:color w:val="auto"/>
        </w:rPr>
      </w:pPr>
      <w:r>
        <w:rPr>
          <w:rFonts w:ascii="Arial" w:cs="Arial" w:eastAsia="Arial" w:hAnsi="Arial"/>
          <w:sz w:val="20"/>
          <w:szCs w:val="20"/>
          <w:color w:val="auto"/>
        </w:rPr>
        <w:t>Third Quarter Ended September 30, 2020</w:t>
      </w:r>
    </w:p>
    <w:p>
      <w:pPr>
        <w:jc w:val="center"/>
        <w:ind w:right="60"/>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6"/>
              </w:rPr>
              <w:t>Reportable Segments</w:t>
            </w:r>
          </w:p>
        </w:tc>
        <w:tc>
          <w:tcPr>
            <w:tcW w:w="46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8"/>
              </w:rPr>
              <w:t>East Group</w:t>
            </w: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West Group</w:t>
            </w:r>
          </w:p>
        </w:tc>
      </w:tr>
      <w:tr>
        <w:trPr>
          <w:trHeight w:val="206"/>
        </w:trPr>
        <w:tc>
          <w:tcPr>
            <w:tcW w:w="21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0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Alabama, Florida, Georgia, Indiana, Iowa, Kansas,</w:t>
            </w:r>
          </w:p>
        </w:tc>
        <w:tc>
          <w:tcPr>
            <w:tcW w:w="120" w:type="dxa"/>
            <w:vAlign w:val="bottom"/>
          </w:tcPr>
          <w:p>
            <w:pPr>
              <w:spacing w:after="0"/>
              <w:rPr>
                <w:sz w:val="17"/>
                <w:szCs w:val="17"/>
                <w:color w:val="auto"/>
              </w:rPr>
            </w:pPr>
          </w:p>
        </w:tc>
        <w:tc>
          <w:tcPr>
            <w:tcW w:w="44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Louisiana, western Nebraska,</w:t>
            </w: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Kentucky, Maryland, Minnesota, Missouri, eastern</w:t>
            </w:r>
          </w:p>
        </w:tc>
        <w:tc>
          <w:tcPr>
            <w:tcW w:w="4440" w:type="dxa"/>
            <w:vAlign w:val="bottom"/>
          </w:tcPr>
          <w:p>
            <w:pPr>
              <w:jc w:val="center"/>
              <w:spacing w:after="0"/>
              <w:rPr>
                <w:sz w:val="20"/>
                <w:szCs w:val="20"/>
                <w:color w:val="auto"/>
              </w:rPr>
            </w:pPr>
            <w:r>
              <w:rPr>
                <w:rFonts w:ascii="Arial" w:cs="Arial" w:eastAsia="Arial" w:hAnsi="Arial"/>
                <w:sz w:val="20"/>
                <w:szCs w:val="20"/>
                <w:color w:val="auto"/>
                <w:w w:val="88"/>
              </w:rPr>
              <w:t>Nevada, Oklahoma, Texas, Utah, Washington and</w:t>
            </w: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ind w:left="1820"/>
              <w:spacing w:after="0"/>
              <w:rPr>
                <w:sz w:val="20"/>
                <w:szCs w:val="20"/>
                <w:color w:val="auto"/>
              </w:rPr>
            </w:pPr>
            <w:r>
              <w:rPr>
                <w:rFonts w:ascii="Arial" w:cs="Arial" w:eastAsia="Arial" w:hAnsi="Arial"/>
                <w:sz w:val="20"/>
                <w:szCs w:val="20"/>
                <w:color w:val="auto"/>
              </w:rPr>
              <w:t>Nebraska,</w:t>
            </w:r>
          </w:p>
        </w:tc>
        <w:tc>
          <w:tcPr>
            <w:tcW w:w="4440" w:type="dxa"/>
            <w:vAlign w:val="bottom"/>
          </w:tcPr>
          <w:p>
            <w:pPr>
              <w:jc w:val="center"/>
              <w:spacing w:after="0"/>
              <w:rPr>
                <w:sz w:val="20"/>
                <w:szCs w:val="20"/>
                <w:color w:val="auto"/>
              </w:rPr>
            </w:pPr>
            <w:r>
              <w:rPr>
                <w:rFonts w:ascii="Arial" w:cs="Arial" w:eastAsia="Arial" w:hAnsi="Arial"/>
                <w:sz w:val="20"/>
                <w:szCs w:val="20"/>
                <w:color w:val="auto"/>
                <w:w w:val="91"/>
              </w:rPr>
              <w:t>Wyoming</w:t>
            </w: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North Carolina, Ohio, Pennsylvania, South Carolina,</w:t>
            </w:r>
          </w:p>
        </w:tc>
        <w:tc>
          <w:tcPr>
            <w:tcW w:w="4440" w:type="dxa"/>
            <w:vAlign w:val="bottom"/>
          </w:tcPr>
          <w:p>
            <w:pPr>
              <w:spacing w:after="0"/>
              <w:rPr>
                <w:sz w:val="19"/>
                <w:szCs w:val="19"/>
                <w:color w:val="auto"/>
              </w:rPr>
            </w:pP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Tennessee, Virginia, West Virginia, Nova Scotia and</w:t>
            </w:r>
          </w:p>
        </w:tc>
        <w:tc>
          <w:tcPr>
            <w:tcW w:w="4440" w:type="dxa"/>
            <w:vAlign w:val="bottom"/>
          </w:tcPr>
          <w:p>
            <w:pPr>
              <w:spacing w:after="0"/>
              <w:rPr>
                <w:sz w:val="19"/>
                <w:szCs w:val="19"/>
                <w:color w:val="auto"/>
              </w:rPr>
            </w:pP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86"/>
              </w:rPr>
              <w:t>The Bahamas</w:t>
            </w:r>
          </w:p>
        </w:tc>
        <w:tc>
          <w:tcPr>
            <w:tcW w:w="4440" w:type="dxa"/>
            <w:vAlign w:val="bottom"/>
          </w:tcPr>
          <w:p>
            <w:pPr>
              <w:spacing w:after="0"/>
              <w:rPr>
                <w:sz w:val="21"/>
                <w:szCs w:val="21"/>
                <w:color w:val="auto"/>
              </w:rPr>
            </w:pPr>
          </w:p>
        </w:tc>
      </w:tr>
      <w:tr>
        <w:trPr>
          <w:trHeight w:val="357"/>
        </w:trPr>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Product Lines</w:t>
            </w: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w:t>
            </w:r>
          </w:p>
        </w:tc>
        <w:tc>
          <w:tcPr>
            <w:tcW w:w="4440" w:type="dxa"/>
            <w:vAlign w:val="bottom"/>
          </w:tcPr>
          <w:p>
            <w:pPr>
              <w:jc w:val="center"/>
              <w:spacing w:after="0"/>
              <w:rPr>
                <w:sz w:val="20"/>
                <w:szCs w:val="20"/>
                <w:color w:val="auto"/>
              </w:rPr>
            </w:pPr>
            <w:r>
              <w:rPr>
                <w:rFonts w:ascii="Arial" w:cs="Arial" w:eastAsia="Arial" w:hAnsi="Arial"/>
                <w:sz w:val="20"/>
                <w:szCs w:val="20"/>
                <w:color w:val="auto"/>
                <w:w w:val="87"/>
              </w:rPr>
              <w:t>Aggregates, Cement, Ready</w:t>
            </w: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0"/>
              </w:rPr>
              <w:t>Mixed Concrete, Asphalt and</w:t>
            </w: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1"/>
              </w:rPr>
              <w:t>Paving</w:t>
            </w:r>
          </w:p>
        </w:tc>
      </w:tr>
      <w:tr>
        <w:trPr>
          <w:trHeight w:val="357"/>
        </w:trPr>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Plant Types</w:t>
            </w: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Quarries, Mines and Distribution Facilities</w:t>
            </w:r>
          </w:p>
        </w:tc>
        <w:tc>
          <w:tcPr>
            <w:tcW w:w="4440" w:type="dxa"/>
            <w:vAlign w:val="bottom"/>
          </w:tcPr>
          <w:p>
            <w:pPr>
              <w:jc w:val="center"/>
              <w:spacing w:after="0"/>
              <w:rPr>
                <w:sz w:val="20"/>
                <w:szCs w:val="20"/>
                <w:color w:val="auto"/>
              </w:rPr>
            </w:pPr>
            <w:r>
              <w:rPr>
                <w:rFonts w:ascii="Arial" w:cs="Arial" w:eastAsia="Arial" w:hAnsi="Arial"/>
                <w:sz w:val="20"/>
                <w:szCs w:val="20"/>
                <w:color w:val="auto"/>
                <w:w w:val="89"/>
              </w:rPr>
              <w:t>Quarries, Mines, Plants and</w:t>
            </w: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3"/>
              </w:rPr>
              <w:t>Distribution Facilities</w:t>
            </w:r>
          </w:p>
        </w:tc>
      </w:tr>
      <w:tr>
        <w:trPr>
          <w:trHeight w:val="392"/>
        </w:trPr>
        <w:tc>
          <w:tcPr>
            <w:tcW w:w="2260" w:type="dxa"/>
            <w:vAlign w:val="bottom"/>
            <w:gridSpan w:val="2"/>
          </w:tcPr>
          <w:p>
            <w:pPr>
              <w:ind w:left="140"/>
              <w:spacing w:after="0"/>
              <w:rPr>
                <w:sz w:val="20"/>
                <w:szCs w:val="20"/>
                <w:color w:val="auto"/>
              </w:rPr>
            </w:pPr>
            <w:r>
              <w:rPr>
                <w:rFonts w:ascii="Arial" w:cs="Arial" w:eastAsia="Arial" w:hAnsi="Arial"/>
                <w:sz w:val="20"/>
                <w:szCs w:val="20"/>
                <w:color w:val="auto"/>
                <w:w w:val="96"/>
              </w:rPr>
              <w:t>Modes of Transportation</w:t>
            </w: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Railcar and Ship</w:t>
            </w:r>
          </w:p>
        </w:tc>
        <w:tc>
          <w:tcPr>
            <w:tcW w:w="4440" w:type="dxa"/>
            <w:vAlign w:val="bottom"/>
          </w:tcPr>
          <w:p>
            <w:pPr>
              <w:jc w:val="center"/>
              <w:spacing w:after="0"/>
              <w:rPr>
                <w:sz w:val="20"/>
                <w:szCs w:val="20"/>
                <w:color w:val="auto"/>
              </w:rPr>
            </w:pPr>
            <w:r>
              <w:rPr>
                <w:rFonts w:ascii="Arial" w:cs="Arial" w:eastAsia="Arial" w:hAnsi="Arial"/>
                <w:sz w:val="20"/>
                <w:szCs w:val="20"/>
                <w:color w:val="auto"/>
                <w:w w:val="91"/>
              </w:rPr>
              <w:t>Truck and Railcar</w:t>
            </w:r>
          </w:p>
        </w:tc>
      </w:tr>
    </w:tbl>
    <w:p>
      <w:pPr>
        <w:spacing w:after="0" w:line="128" w:lineRule="exact"/>
        <w:rPr>
          <w:sz w:val="20"/>
          <w:szCs w:val="20"/>
          <w:color w:val="auto"/>
        </w:rPr>
      </w:pPr>
    </w:p>
    <w:p>
      <w:pPr>
        <w:jc w:val="both"/>
        <w:ind w:right="60"/>
        <w:spacing w:after="0" w:line="260" w:lineRule="auto"/>
        <w:rPr>
          <w:sz w:val="20"/>
          <w:szCs w:val="20"/>
          <w:color w:val="auto"/>
        </w:rPr>
      </w:pPr>
      <w:r>
        <w:rPr>
          <w:rFonts w:ascii="Arial" w:cs="Arial" w:eastAsia="Arial" w:hAnsi="Arial"/>
          <w:sz w:val="20"/>
          <w:szCs w:val="20"/>
          <w:color w:val="auto"/>
        </w:rPr>
        <w:t>The Company’s Magnesia Specialties business produces magnesia-based chemicals products used in industrial, agricultural and environmental applications and dolomitic lime sold primarily to customers in the steel and mining industries.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ind w:right="60"/>
        <w:spacing w:after="0" w:line="287" w:lineRule="auto"/>
        <w:rPr>
          <w:sz w:val="20"/>
          <w:szCs w:val="20"/>
          <w:color w:val="auto"/>
        </w:rPr>
      </w:pPr>
      <w:r>
        <w:rPr>
          <w:rFonts w:ascii="Arial" w:cs="Arial" w:eastAsia="Arial" w:hAnsi="Arial"/>
          <w:sz w:val="19"/>
          <w:szCs w:val="19"/>
          <w:color w:val="auto"/>
        </w:rPr>
        <w:t>The Company outlined its critical accounting policies in its Annual Report on Form 10-K for the year ended December 31, 2019. There were no changes to the Company’s critical accounting policies during the nine months ended September 30, 2020.</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ind w:right="60"/>
        <w:spacing w:after="0" w:line="272" w:lineRule="auto"/>
        <w:rPr>
          <w:sz w:val="20"/>
          <w:szCs w:val="20"/>
          <w:color w:val="auto"/>
        </w:rPr>
      </w:pPr>
      <w:r>
        <w:rPr>
          <w:rFonts w:ascii="Arial" w:cs="Arial" w:eastAsia="Arial" w:hAnsi="Arial"/>
          <w:sz w:val="18"/>
          <w:szCs w:val="18"/>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Due to the potentially significant impact on the Company’s operations of weather and the coronavirus (COVID-19) pandemic, including governmental responses to prevent further outbreak of COVID-19 and other matters, current period results are not necessarily indicative of expected performance for other interim periods or the full year. Additionally, the Company recognized $69.9 million of gains on the sales of investment land and divestitures of assets in the quarter ended September 30, 2020, which are nonrecurring in nature.</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Page 25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Earnings before interest; income taxes; depreciation, depletion and amortization; and the earnings/loss from nonconsolidated equity affiliates (Adjusted EBITDA) is an indicator used by the Company and investors to evaluate the Company’s operating performance from period to period. Adjusted EBITDA is not defined by accounting principles generally accepted in the United States and, as such, should not be construed as an alternative to net earnings, earnings from operations or cash provided by operating activities. However, the Company’s management believes that Adjusted EBITDA may provide additional information with respect to the Company’s performance and is a measure used by management to evaluate the Company’s performance. Because Adjusted EBITDA excludes some, but not all, items that affect net earnings and may vary among companies, Adjusted EBITDA as presented by the Company may not be comparable with similarly titled measures of other companies.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to consolidated Adjusted EBITDA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4"/>
          </w:tcPr>
          <w:p>
            <w:pPr>
              <w:jc w:val="right"/>
              <w:ind w:right="44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6"/>
          </w:tcPr>
          <w:p>
            <w:pPr>
              <w:jc w:val="center"/>
              <w:ind w:right="380"/>
              <w:spacing w:after="0"/>
              <w:rPr>
                <w:sz w:val="20"/>
                <w:szCs w:val="20"/>
                <w:color w:val="auto"/>
              </w:rPr>
            </w:pPr>
            <w:r>
              <w:rPr>
                <w:rFonts w:ascii="Arial" w:cs="Arial" w:eastAsia="Arial" w:hAnsi="Arial"/>
                <w:sz w:val="20"/>
                <w:szCs w:val="20"/>
                <w:color w:val="auto"/>
                <w:w w:val="89"/>
              </w:rPr>
              <w:t>Nine Months Ended</w:t>
            </w:r>
          </w:p>
        </w:tc>
      </w:tr>
      <w:tr>
        <w:trPr>
          <w:trHeight w:val="246"/>
        </w:trPr>
        <w:tc>
          <w:tcPr>
            <w:tcW w:w="4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4"/>
          </w:tcPr>
          <w:p>
            <w:pPr>
              <w:jc w:val="right"/>
              <w:ind w:right="721"/>
              <w:spacing w:after="0"/>
              <w:rPr>
                <w:sz w:val="20"/>
                <w:szCs w:val="20"/>
                <w:color w:val="auto"/>
              </w:rPr>
            </w:pPr>
            <w:r>
              <w:rPr>
                <w:rFonts w:ascii="Arial" w:cs="Arial" w:eastAsia="Arial" w:hAnsi="Arial"/>
                <w:sz w:val="20"/>
                <w:szCs w:val="20"/>
                <w:color w:val="auto"/>
              </w:rPr>
              <w:t>September 30,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6"/>
          </w:tcPr>
          <w:p>
            <w:pPr>
              <w:jc w:val="center"/>
              <w:ind w:right="380"/>
              <w:spacing w:after="0"/>
              <w:rPr>
                <w:sz w:val="20"/>
                <w:szCs w:val="20"/>
                <w:color w:val="auto"/>
              </w:rPr>
            </w:pPr>
            <w:r>
              <w:rPr>
                <w:rFonts w:ascii="Arial" w:cs="Arial" w:eastAsia="Arial" w:hAnsi="Arial"/>
                <w:sz w:val="20"/>
                <w:szCs w:val="20"/>
                <w:color w:val="auto"/>
                <w:w w:val="86"/>
              </w:rPr>
              <w:t>September 30,</w:t>
            </w:r>
          </w:p>
        </w:tc>
      </w:tr>
      <w:tr>
        <w:trPr>
          <w:trHeight w:val="237"/>
        </w:trPr>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rPr>
              <w:t>2019</w:t>
            </w:r>
          </w:p>
        </w:tc>
        <w:tc>
          <w:tcPr>
            <w:tcW w:w="24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2019</w:t>
            </w:r>
          </w:p>
        </w:tc>
        <w:tc>
          <w:tcPr>
            <w:tcW w:w="100" w:type="dxa"/>
            <w:vAlign w:val="bottom"/>
          </w:tcPr>
          <w:p>
            <w:pPr>
              <w:spacing w:after="0"/>
              <w:rPr>
                <w:sz w:val="20"/>
                <w:szCs w:val="20"/>
                <w:color w:val="auto"/>
              </w:rPr>
            </w:pPr>
          </w:p>
        </w:tc>
      </w:tr>
      <w:tr>
        <w:trPr>
          <w:trHeight w:val="236"/>
        </w:trPr>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ind w:left="300"/>
              <w:spacing w:after="0"/>
              <w:rPr>
                <w:sz w:val="20"/>
                <w:szCs w:val="20"/>
                <w:color w:val="auto"/>
              </w:rPr>
            </w:pPr>
            <w:r>
              <w:rPr>
                <w:rFonts w:ascii="Arial" w:cs="Arial" w:eastAsia="Arial" w:hAnsi="Arial"/>
                <w:sz w:val="20"/>
                <w:szCs w:val="20"/>
                <w:i w:val="1"/>
                <w:iCs w:val="1"/>
                <w:color w:val="auto"/>
              </w:rPr>
              <w:t>(Dollars in Millions)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58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248.6</w:t>
            </w:r>
          </w:p>
        </w:tc>
        <w:tc>
          <w:tcPr>
            <w:tcW w:w="50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538.0</w:t>
            </w:r>
          </w:p>
        </w:tc>
        <w:tc>
          <w:tcPr>
            <w:tcW w:w="2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03"/>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480.9</w:t>
            </w:r>
          </w:p>
        </w:tc>
        <w:tc>
          <w:tcPr>
            <w:tcW w:w="100" w:type="dxa"/>
            <w:vAlign w:val="bottom"/>
            <w:shd w:val="clear" w:color="auto" w:fill="CFF0FC"/>
          </w:tcPr>
          <w:p>
            <w:pPr>
              <w:spacing w:after="0"/>
              <w:rPr>
                <w:sz w:val="21"/>
                <w:szCs w:val="2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20"/>
                <w:szCs w:val="20"/>
                <w:color w:val="auto"/>
              </w:rPr>
              <w:t>Add back:</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 net of interest income</w:t>
            </w: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89.3</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98.4</w:t>
            </w:r>
          </w:p>
        </w:tc>
        <w:tc>
          <w:tcPr>
            <w:tcW w:w="100" w:type="dxa"/>
            <w:vAlign w:val="bottom"/>
            <w:shd w:val="clear" w:color="auto" w:fill="CFF0FC"/>
          </w:tcPr>
          <w:p>
            <w:pPr>
              <w:spacing w:after="0"/>
              <w:rPr>
                <w:sz w:val="21"/>
                <w:szCs w:val="2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81.5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66.2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143.0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111.0</w:t>
            </w:r>
          </w:p>
        </w:tc>
        <w:tc>
          <w:tcPr>
            <w:tcW w:w="100" w:type="dxa"/>
            <w:vAlign w:val="bottom"/>
          </w:tcPr>
          <w:p>
            <w:pPr>
              <w:spacing w:after="0"/>
              <w:rPr>
                <w:sz w:val="21"/>
                <w:szCs w:val="21"/>
                <w:color w:val="auto"/>
              </w:rPr>
            </w:pPr>
          </w:p>
        </w:tc>
      </w:tr>
      <w:tr>
        <w:trPr>
          <w:trHeight w:val="226"/>
        </w:trPr>
        <w:tc>
          <w:tcPr>
            <w:tcW w:w="458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Depreciation, depletion and amortization and</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80" w:type="dxa"/>
            <w:vAlign w:val="bottom"/>
            <w:shd w:val="clear" w:color="auto" w:fill="CFF0FC"/>
          </w:tcPr>
          <w:p>
            <w:pPr>
              <w:ind w:left="400"/>
              <w:spacing w:after="0"/>
              <w:rPr>
                <w:sz w:val="20"/>
                <w:szCs w:val="20"/>
                <w:color w:val="auto"/>
              </w:rPr>
            </w:pPr>
            <w:r>
              <w:rPr>
                <w:rFonts w:ascii="Arial" w:cs="Arial" w:eastAsia="Arial" w:hAnsi="Arial"/>
                <w:sz w:val="20"/>
                <w:szCs w:val="20"/>
                <w:color w:val="auto"/>
              </w:rPr>
              <w:t>earnings/loss from nonconsolidated equity</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4580" w:type="dxa"/>
            <w:vAlign w:val="bottom"/>
            <w:shd w:val="clear" w:color="auto" w:fill="CFF0FC"/>
          </w:tcPr>
          <w:p>
            <w:pPr>
              <w:ind w:left="400"/>
              <w:spacing w:after="0"/>
              <w:rPr>
                <w:sz w:val="20"/>
                <w:szCs w:val="20"/>
                <w:color w:val="auto"/>
              </w:rPr>
            </w:pPr>
            <w:r>
              <w:rPr>
                <w:rFonts w:ascii="Arial" w:cs="Arial" w:eastAsia="Arial" w:hAnsi="Arial"/>
                <w:sz w:val="20"/>
                <w:szCs w:val="20"/>
                <w:color w:val="auto"/>
              </w:rPr>
              <w:t>affiliates</w:t>
            </w:r>
          </w:p>
        </w:tc>
        <w:tc>
          <w:tcPr>
            <w:tcW w:w="7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97.2</w:t>
            </w:r>
          </w:p>
        </w:tc>
        <w:tc>
          <w:tcPr>
            <w:tcW w:w="2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92.0</w:t>
            </w:r>
          </w:p>
        </w:tc>
        <w:tc>
          <w:tcPr>
            <w:tcW w:w="2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287.5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285.5</w:t>
            </w:r>
          </w:p>
        </w:tc>
        <w:tc>
          <w:tcPr>
            <w:tcW w:w="100" w:type="dxa"/>
            <w:vAlign w:val="bottom"/>
            <w:shd w:val="clear" w:color="auto" w:fill="CFF0FC"/>
          </w:tcPr>
          <w:p>
            <w:pPr>
              <w:spacing w:after="0"/>
              <w:rPr>
                <w:sz w:val="21"/>
                <w:szCs w:val="2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20"/>
                <w:szCs w:val="20"/>
                <w:color w:val="auto"/>
              </w:rPr>
              <w:t>Consolidated Adjusted EBITDA</w:t>
            </w:r>
          </w:p>
        </w:tc>
        <w:tc>
          <w:tcPr>
            <w:tcW w:w="760" w:type="dxa"/>
            <w:vAlign w:val="bottom"/>
          </w:tcPr>
          <w:p>
            <w:pPr>
              <w:spacing w:after="0"/>
              <w:rPr>
                <w:sz w:val="20"/>
                <w:szCs w:val="20"/>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501.7</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439.1</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1,057.8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975.8</w:t>
            </w:r>
          </w:p>
        </w:tc>
        <w:tc>
          <w:tcPr>
            <w:tcW w:w="10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Mix-adjusted average selling price (mix-adjusted ASP) excludes the impacts of product, geographic and other mix from the current-period average selling price and is a non-GAAP measure. Mix-adjusted ASP is calculated by assuming current-period shipments reflect the same product, geographic and other mix as the comparable prior period. Management uses this metric to evaluate the effectiveness of the Company’s pricing increases and believes this information is useful to investors as it provides same-on-same pricing trends. The following reconciles reported average selling price to mix-adjusted ASP and corresponding variances.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80" w:type="dxa"/>
            <w:vAlign w:val="bottom"/>
            <w:gridSpan w:val="6"/>
          </w:tcPr>
          <w:p>
            <w:pPr>
              <w:ind w:left="280"/>
              <w:spacing w:after="0"/>
              <w:rPr>
                <w:sz w:val="20"/>
                <w:szCs w:val="20"/>
                <w:color w:val="auto"/>
              </w:rPr>
            </w:pPr>
            <w:r>
              <w:rPr>
                <w:rFonts w:ascii="Arial" w:cs="Arial" w:eastAsia="Arial" w:hAnsi="Arial"/>
                <w:sz w:val="20"/>
                <w:szCs w:val="20"/>
                <w:b w:val="1"/>
                <w:bCs w:val="1"/>
                <w:color w:val="auto"/>
              </w:rPr>
              <w:t>Three Months Ended</w:t>
            </w:r>
          </w:p>
        </w:tc>
        <w:tc>
          <w:tcPr>
            <w:tcW w:w="260" w:type="dxa"/>
            <w:vAlign w:val="bottom"/>
          </w:tcPr>
          <w:p>
            <w:pPr>
              <w:spacing w:after="0"/>
              <w:rPr>
                <w:sz w:val="21"/>
                <w:szCs w:val="21"/>
                <w:color w:val="auto"/>
              </w:rPr>
            </w:pPr>
          </w:p>
        </w:tc>
        <w:tc>
          <w:tcPr>
            <w:tcW w:w="2680" w:type="dxa"/>
            <w:vAlign w:val="bottom"/>
            <w:gridSpan w:val="6"/>
          </w:tcPr>
          <w:p>
            <w:pPr>
              <w:jc w:val="center"/>
              <w:ind w:right="380"/>
              <w:spacing w:after="0"/>
              <w:rPr>
                <w:sz w:val="20"/>
                <w:szCs w:val="20"/>
                <w:color w:val="auto"/>
              </w:rPr>
            </w:pPr>
            <w:r>
              <w:rPr>
                <w:rFonts w:ascii="Arial" w:cs="Arial" w:eastAsia="Arial" w:hAnsi="Arial"/>
                <w:sz w:val="20"/>
                <w:szCs w:val="20"/>
                <w:b w:val="1"/>
                <w:bCs w:val="1"/>
                <w:color w:val="auto"/>
                <w:w w:val="91"/>
              </w:rPr>
              <w:t>Nine Months Ended</w:t>
            </w:r>
          </w:p>
        </w:tc>
        <w:tc>
          <w:tcPr>
            <w:tcW w:w="0" w:type="dxa"/>
            <w:vAlign w:val="bottom"/>
          </w:tcPr>
          <w:p>
            <w:pPr>
              <w:spacing w:after="0"/>
              <w:rPr>
                <w:sz w:val="1"/>
                <w:szCs w:val="1"/>
                <w:color w:val="auto"/>
              </w:rPr>
            </w:pPr>
          </w:p>
        </w:tc>
      </w:tr>
      <w:tr>
        <w:trPr>
          <w:trHeight w:val="252"/>
        </w:trPr>
        <w:tc>
          <w:tcPr>
            <w:tcW w:w="4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4"/>
          </w:tcPr>
          <w:p>
            <w:pPr>
              <w:jc w:val="right"/>
              <w:ind w:right="20"/>
              <w:spacing w:after="0"/>
              <w:rPr>
                <w:sz w:val="20"/>
                <w:szCs w:val="20"/>
                <w:color w:val="auto"/>
              </w:rPr>
            </w:pPr>
            <w:r>
              <w:rPr>
                <w:rFonts w:ascii="Arial" w:cs="Arial" w:eastAsia="Arial" w:hAnsi="Arial"/>
                <w:sz w:val="20"/>
                <w:szCs w:val="20"/>
                <w:b w:val="1"/>
                <w:bCs w:val="1"/>
                <w:color w:val="auto"/>
              </w:rPr>
              <w:t>September 30,</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6"/>
          </w:tcPr>
          <w:p>
            <w:pPr>
              <w:jc w:val="center"/>
              <w:ind w:right="380"/>
              <w:spacing w:after="0"/>
              <w:rPr>
                <w:sz w:val="20"/>
                <w:szCs w:val="20"/>
                <w:color w:val="auto"/>
              </w:rPr>
            </w:pPr>
            <w:r>
              <w:rPr>
                <w:rFonts w:ascii="Arial" w:cs="Arial" w:eastAsia="Arial" w:hAnsi="Arial"/>
                <w:sz w:val="20"/>
                <w:szCs w:val="20"/>
                <w:b w:val="1"/>
                <w:bCs w:val="1"/>
                <w:color w:val="auto"/>
                <w:w w:val="89"/>
              </w:rPr>
              <w:t>September 30,</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2020</w:t>
            </w:r>
          </w:p>
        </w:tc>
        <w:tc>
          <w:tcPr>
            <w:tcW w:w="32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w w:val="85"/>
              </w:rPr>
              <w:t>2019</w:t>
            </w:r>
          </w:p>
        </w:tc>
        <w:tc>
          <w:tcPr>
            <w:tcW w:w="24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2020</w:t>
            </w:r>
          </w:p>
        </w:tc>
        <w:tc>
          <w:tcPr>
            <w:tcW w:w="24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West Group - Aggregates Product Line:</w:t>
            </w: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440" w:type="dxa"/>
            <w:vAlign w:val="bottom"/>
          </w:tcPr>
          <w:p>
            <w:pPr>
              <w:spacing w:after="0"/>
              <w:rPr>
                <w:sz w:val="20"/>
                <w:szCs w:val="20"/>
                <w:color w:val="auto"/>
              </w:rPr>
            </w:pPr>
            <w:r>
              <w:rPr>
                <w:rFonts w:ascii="Arial" w:cs="Arial" w:eastAsia="Arial" w:hAnsi="Arial"/>
                <w:sz w:val="20"/>
                <w:szCs w:val="20"/>
                <w:color w:val="auto"/>
              </w:rPr>
              <w:t>Reported average selling price</w:t>
            </w:r>
          </w:p>
        </w:tc>
        <w:tc>
          <w:tcPr>
            <w:tcW w:w="9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13.95</w:t>
            </w:r>
          </w:p>
        </w:tc>
        <w:tc>
          <w:tcPr>
            <w:tcW w:w="320" w:type="dxa"/>
            <w:vAlign w:val="bottom"/>
          </w:tcPr>
          <w:p>
            <w:pPr>
              <w:spacing w:after="0"/>
              <w:rPr>
                <w:sz w:val="24"/>
                <w:szCs w:val="24"/>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14.04</w:t>
            </w:r>
          </w:p>
        </w:tc>
        <w:tc>
          <w:tcPr>
            <w:tcW w:w="24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13.82</w:t>
            </w:r>
          </w:p>
        </w:tc>
        <w:tc>
          <w:tcPr>
            <w:tcW w:w="24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20"/>
                <w:szCs w:val="20"/>
                <w:color w:val="auto"/>
              </w:rPr>
              <w:t>Adjustment for unfavorable impact of product,</w:t>
            </w:r>
          </w:p>
        </w:tc>
        <w:tc>
          <w:tcPr>
            <w:tcW w:w="7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4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geographic and other mix</w:t>
            </w:r>
          </w:p>
        </w:tc>
        <w:tc>
          <w:tcPr>
            <w:tcW w:w="7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0.64</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0.20</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Mix-adjusted ASP</w:t>
            </w:r>
          </w:p>
        </w:tc>
        <w:tc>
          <w:tcPr>
            <w:tcW w:w="7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14.59</w:t>
            </w:r>
          </w:p>
        </w:tc>
        <w:tc>
          <w:tcPr>
            <w:tcW w:w="3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42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14.02</w:t>
            </w:r>
          </w:p>
        </w:tc>
        <w:tc>
          <w:tcPr>
            <w:tcW w:w="2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0"/>
                <w:szCs w:val="20"/>
                <w:color w:val="auto"/>
              </w:rPr>
            </w:pPr>
            <w:r>
              <w:rPr>
                <w:rFonts w:ascii="Arial" w:cs="Arial" w:eastAsia="Arial" w:hAnsi="Arial"/>
                <w:sz w:val="20"/>
                <w:szCs w:val="20"/>
                <w:color w:val="auto"/>
              </w:rPr>
              <w:t>Reported average selling price variance</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20"/>
                <w:szCs w:val="20"/>
                <w:color w:val="auto"/>
              </w:rPr>
              <w:t>(0.6)%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Mix-adjusted ASP variance</w:t>
            </w: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line="224" w:lineRule="exact"/>
              <w:rPr>
                <w:sz w:val="20"/>
                <w:szCs w:val="20"/>
                <w:color w:val="auto"/>
              </w:rPr>
            </w:pPr>
            <w:r>
              <w:rPr>
                <w:rFonts w:ascii="Arial" w:cs="Arial" w:eastAsia="Arial" w:hAnsi="Arial"/>
                <w:sz w:val="20"/>
                <w:szCs w:val="20"/>
                <w:color w:val="auto"/>
              </w:rPr>
              <w:t>3.9%</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line="224" w:lineRule="exact"/>
              <w:rPr>
                <w:sz w:val="20"/>
                <w:szCs w:val="20"/>
                <w:color w:val="auto"/>
              </w:rPr>
            </w:pPr>
            <w:r>
              <w:rPr>
                <w:rFonts w:ascii="Arial" w:cs="Arial" w:eastAsia="Arial" w:hAnsi="Arial"/>
                <w:sz w:val="20"/>
                <w:szCs w:val="20"/>
                <w:color w:val="auto"/>
              </w:rPr>
              <w:t>4.1%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Aggregates Product Line:</w:t>
            </w: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440" w:type="dxa"/>
            <w:vAlign w:val="bottom"/>
          </w:tcPr>
          <w:p>
            <w:pPr>
              <w:spacing w:after="0"/>
              <w:rPr>
                <w:sz w:val="20"/>
                <w:szCs w:val="20"/>
                <w:color w:val="auto"/>
              </w:rPr>
            </w:pPr>
            <w:r>
              <w:rPr>
                <w:rFonts w:ascii="Arial" w:cs="Arial" w:eastAsia="Arial" w:hAnsi="Arial"/>
                <w:sz w:val="20"/>
                <w:szCs w:val="20"/>
                <w:color w:val="auto"/>
              </w:rPr>
              <w:t>Reported average selling price</w:t>
            </w:r>
          </w:p>
        </w:tc>
        <w:tc>
          <w:tcPr>
            <w:tcW w:w="9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14.75</w:t>
            </w:r>
          </w:p>
        </w:tc>
        <w:tc>
          <w:tcPr>
            <w:tcW w:w="320" w:type="dxa"/>
            <w:vAlign w:val="bottom"/>
          </w:tcPr>
          <w:p>
            <w:pPr>
              <w:spacing w:after="0"/>
              <w:rPr>
                <w:sz w:val="24"/>
                <w:szCs w:val="24"/>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14.37</w:t>
            </w:r>
          </w:p>
        </w:tc>
        <w:tc>
          <w:tcPr>
            <w:tcW w:w="24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14.73</w:t>
            </w:r>
          </w:p>
        </w:tc>
        <w:tc>
          <w:tcPr>
            <w:tcW w:w="24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20"/>
                <w:szCs w:val="20"/>
                <w:color w:val="auto"/>
              </w:rPr>
              <w:t>Adjustment for unfavorable impact of product,</w:t>
            </w:r>
          </w:p>
        </w:tc>
        <w:tc>
          <w:tcPr>
            <w:tcW w:w="7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4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geographic and other mix</w:t>
            </w:r>
          </w:p>
        </w:tc>
        <w:tc>
          <w:tcPr>
            <w:tcW w:w="7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0.19</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0.14</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Mix-adjusted ASP</w:t>
            </w:r>
          </w:p>
        </w:tc>
        <w:tc>
          <w:tcPr>
            <w:tcW w:w="7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14.94</w:t>
            </w:r>
          </w:p>
        </w:tc>
        <w:tc>
          <w:tcPr>
            <w:tcW w:w="3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42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14.87</w:t>
            </w:r>
          </w:p>
        </w:tc>
        <w:tc>
          <w:tcPr>
            <w:tcW w:w="2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0"/>
                <w:szCs w:val="20"/>
                <w:color w:val="auto"/>
              </w:rPr>
            </w:pPr>
            <w:r>
              <w:rPr>
                <w:rFonts w:ascii="Arial" w:cs="Arial" w:eastAsia="Arial" w:hAnsi="Arial"/>
                <w:sz w:val="20"/>
                <w:szCs w:val="20"/>
                <w:color w:val="auto"/>
              </w:rPr>
              <w:t>Reported average selling price variance</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Mix-adjusted ASP variance</w:t>
            </w: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line="224" w:lineRule="exact"/>
              <w:rPr>
                <w:sz w:val="20"/>
                <w:szCs w:val="20"/>
                <w:color w:val="auto"/>
              </w:rPr>
            </w:pPr>
            <w:r>
              <w:rPr>
                <w:rFonts w:ascii="Arial" w:cs="Arial" w:eastAsia="Arial" w:hAnsi="Arial"/>
                <w:sz w:val="20"/>
                <w:szCs w:val="20"/>
                <w:color w:val="auto"/>
              </w:rPr>
              <w:t>4.0%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line="224" w:lineRule="exact"/>
              <w:rPr>
                <w:sz w:val="20"/>
                <w:szCs w:val="20"/>
                <w:color w:val="auto"/>
              </w:rPr>
            </w:pPr>
            <w:r>
              <w:rPr>
                <w:rFonts w:ascii="Arial" w:cs="Arial" w:eastAsia="Arial" w:hAnsi="Arial"/>
                <w:sz w:val="20"/>
                <w:szCs w:val="20"/>
                <w:color w:val="auto"/>
              </w:rPr>
              <w:t>3.9%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Cement Product Line:</w:t>
            </w: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440" w:type="dxa"/>
            <w:vAlign w:val="bottom"/>
          </w:tcPr>
          <w:p>
            <w:pPr>
              <w:spacing w:after="0"/>
              <w:rPr>
                <w:sz w:val="20"/>
                <w:szCs w:val="20"/>
                <w:color w:val="auto"/>
              </w:rPr>
            </w:pPr>
            <w:r>
              <w:rPr>
                <w:rFonts w:ascii="Arial" w:cs="Arial" w:eastAsia="Arial" w:hAnsi="Arial"/>
                <w:sz w:val="20"/>
                <w:szCs w:val="20"/>
                <w:color w:val="auto"/>
              </w:rPr>
              <w:t>Reported average selling price</w:t>
            </w:r>
          </w:p>
        </w:tc>
        <w:tc>
          <w:tcPr>
            <w:tcW w:w="9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113.41</w:t>
            </w:r>
          </w:p>
        </w:tc>
        <w:tc>
          <w:tcPr>
            <w:tcW w:w="320" w:type="dxa"/>
            <w:vAlign w:val="bottom"/>
          </w:tcPr>
          <w:p>
            <w:pPr>
              <w:spacing w:after="0"/>
              <w:rPr>
                <w:sz w:val="24"/>
                <w:szCs w:val="24"/>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112.36</w:t>
            </w:r>
          </w:p>
        </w:tc>
        <w:tc>
          <w:tcPr>
            <w:tcW w:w="24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113.83</w:t>
            </w:r>
          </w:p>
        </w:tc>
        <w:tc>
          <w:tcPr>
            <w:tcW w:w="24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112.53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20"/>
                <w:szCs w:val="20"/>
                <w:color w:val="auto"/>
              </w:rPr>
              <w:t>Adjustment for unfavorable impact of product,</w:t>
            </w:r>
          </w:p>
        </w:tc>
        <w:tc>
          <w:tcPr>
            <w:tcW w:w="7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4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geographic and other mix</w:t>
            </w:r>
          </w:p>
        </w:tc>
        <w:tc>
          <w:tcPr>
            <w:tcW w:w="7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2.82</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2.41</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Mix-adjusted ASP</w:t>
            </w:r>
          </w:p>
        </w:tc>
        <w:tc>
          <w:tcPr>
            <w:tcW w:w="7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116.23</w:t>
            </w:r>
          </w:p>
        </w:tc>
        <w:tc>
          <w:tcPr>
            <w:tcW w:w="3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42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116.24</w:t>
            </w:r>
          </w:p>
        </w:tc>
        <w:tc>
          <w:tcPr>
            <w:tcW w:w="2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0"/>
                <w:szCs w:val="20"/>
                <w:color w:val="auto"/>
              </w:rPr>
            </w:pPr>
            <w:r>
              <w:rPr>
                <w:rFonts w:ascii="Arial" w:cs="Arial" w:eastAsia="Arial" w:hAnsi="Arial"/>
                <w:sz w:val="20"/>
                <w:szCs w:val="20"/>
                <w:color w:val="auto"/>
              </w:rPr>
              <w:t>Reported average selling price variance</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0"/>
                <w:szCs w:val="20"/>
                <w:color w:val="auto"/>
              </w:rPr>
              <w:t>0.9%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Mix-adjusted ASP variance</w:t>
            </w: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line="224" w:lineRule="exact"/>
              <w:rPr>
                <w:sz w:val="20"/>
                <w:szCs w:val="20"/>
                <w:color w:val="auto"/>
              </w:rPr>
            </w:pPr>
            <w:r>
              <w:rPr>
                <w:rFonts w:ascii="Arial" w:cs="Arial" w:eastAsia="Arial" w:hAnsi="Arial"/>
                <w:sz w:val="20"/>
                <w:szCs w:val="20"/>
                <w:color w:val="auto"/>
              </w:rPr>
              <w:t>3.4%</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line="224" w:lineRule="exact"/>
              <w:rPr>
                <w:sz w:val="20"/>
                <w:szCs w:val="20"/>
                <w:color w:val="auto"/>
              </w:rPr>
            </w:pPr>
            <w:r>
              <w:rPr>
                <w:rFonts w:ascii="Arial" w:cs="Arial" w:eastAsia="Arial" w:hAnsi="Arial"/>
                <w:sz w:val="20"/>
                <w:szCs w:val="20"/>
                <w:color w:val="auto"/>
              </w:rPr>
              <w:t>3.3%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presents ready mixed concrete shipment data and volume variances excluding four ready mixed concrete operations acquired in the third quarter of 2020 and excluding the Arkansas, Louisiana and eastern Texas ready mix business (ArkLaTex business) that was divested in January 2020 during the period of Martin Marietta's ownership to provide a more comparable analysis of ready mixed concrete volume variance: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Pr>
          <w:p>
            <w:pPr>
              <w:spacing w:after="0"/>
              <w:rPr>
                <w:sz w:val="21"/>
                <w:szCs w:val="21"/>
                <w:color w:val="auto"/>
              </w:rPr>
            </w:pPr>
          </w:p>
        </w:tc>
        <w:tc>
          <w:tcPr>
            <w:tcW w:w="2500" w:type="dxa"/>
            <w:vAlign w:val="bottom"/>
            <w:gridSpan w:val="4"/>
          </w:tcPr>
          <w:p>
            <w:pPr>
              <w:jc w:val="center"/>
              <w:ind w:left="241"/>
              <w:spacing w:after="0"/>
              <w:rPr>
                <w:sz w:val="20"/>
                <w:szCs w:val="20"/>
                <w:color w:val="auto"/>
              </w:rPr>
            </w:pPr>
            <w:r>
              <w:rPr>
                <w:rFonts w:ascii="Arial" w:cs="Arial" w:eastAsia="Arial" w:hAnsi="Arial"/>
                <w:sz w:val="20"/>
                <w:szCs w:val="20"/>
                <w:b w:val="1"/>
                <w:bCs w:val="1"/>
                <w:color w:val="auto"/>
                <w:w w:val="90"/>
              </w:rPr>
              <w:t>Three Months Ended</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5"/>
          </w:tcPr>
          <w:p>
            <w:pPr>
              <w:jc w:val="center"/>
              <w:ind w:right="120"/>
              <w:spacing w:after="0"/>
              <w:rPr>
                <w:sz w:val="20"/>
                <w:szCs w:val="20"/>
                <w:color w:val="auto"/>
              </w:rPr>
            </w:pPr>
            <w:r>
              <w:rPr>
                <w:rFonts w:ascii="Arial" w:cs="Arial" w:eastAsia="Arial" w:hAnsi="Arial"/>
                <w:sz w:val="20"/>
                <w:szCs w:val="20"/>
                <w:b w:val="1"/>
                <w:bCs w:val="1"/>
                <w:color w:val="auto"/>
                <w:w w:val="91"/>
              </w:rPr>
              <w:t>Nine Months Ended</w:t>
            </w:r>
          </w:p>
        </w:tc>
      </w:tr>
      <w:tr>
        <w:trPr>
          <w:trHeight w:val="252"/>
        </w:trPr>
        <w:tc>
          <w:tcPr>
            <w:tcW w:w="51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right="361"/>
              <w:spacing w:after="0"/>
              <w:rPr>
                <w:sz w:val="20"/>
                <w:szCs w:val="20"/>
                <w:color w:val="auto"/>
              </w:rPr>
            </w:pPr>
            <w:r>
              <w:rPr>
                <w:rFonts w:ascii="Arial" w:cs="Arial" w:eastAsia="Arial" w:hAnsi="Arial"/>
                <w:sz w:val="20"/>
                <w:szCs w:val="20"/>
                <w:b w:val="1"/>
                <w:bCs w:val="1"/>
                <w:color w:val="auto"/>
                <w:w w:val="89"/>
              </w:rPr>
              <w:t>September 30,</w:t>
            </w:r>
          </w:p>
        </w:tc>
        <w:tc>
          <w:tcPr>
            <w:tcW w:w="3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b w:val="1"/>
                <w:bCs w:val="1"/>
                <w:color w:val="auto"/>
                <w:w w:val="89"/>
              </w:rPr>
              <w:t>September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1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2019</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2020</w:t>
            </w: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w w:val="85"/>
              </w:rPr>
              <w:t>2019</w:t>
            </w:r>
          </w:p>
        </w:tc>
        <w:tc>
          <w:tcPr>
            <w:tcW w:w="100" w:type="dxa"/>
            <w:vAlign w:val="bottom"/>
          </w:tcPr>
          <w:p>
            <w:pPr>
              <w:spacing w:after="0"/>
              <w:rPr>
                <w:sz w:val="20"/>
                <w:szCs w:val="20"/>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20"/>
                <w:szCs w:val="20"/>
                <w:b w:val="1"/>
                <w:bCs w:val="1"/>
                <w:color w:val="auto"/>
              </w:rPr>
              <w:t>Shipments</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20" w:type="dxa"/>
            <w:vAlign w:val="bottom"/>
            <w:gridSpan w:val="6"/>
          </w:tcPr>
          <w:p>
            <w:pPr>
              <w:ind w:left="340"/>
              <w:spacing w:after="0"/>
              <w:rPr>
                <w:sz w:val="20"/>
                <w:szCs w:val="20"/>
                <w:color w:val="auto"/>
              </w:rPr>
            </w:pPr>
            <w:r>
              <w:rPr>
                <w:rFonts w:ascii="Arial" w:cs="Arial" w:eastAsia="Arial" w:hAnsi="Arial"/>
                <w:sz w:val="20"/>
                <w:szCs w:val="20"/>
                <w:i w:val="1"/>
                <w:iCs w:val="1"/>
                <w:color w:val="auto"/>
              </w:rPr>
              <w:t>(Cubic Yards 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Reported ready mixed concrete shipments</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w:t>
            </w: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100" w:type="dxa"/>
            <w:vAlign w:val="bottom"/>
            <w:shd w:val="clear" w:color="auto" w:fill="CFF0FC"/>
          </w:tcPr>
          <w:p>
            <w:pPr>
              <w:spacing w:after="0"/>
              <w:rPr>
                <w:sz w:val="21"/>
                <w:szCs w:val="21"/>
                <w:color w:val="auto"/>
              </w:rPr>
            </w:pPr>
          </w:p>
        </w:tc>
      </w:tr>
      <w:tr>
        <w:trPr>
          <w:trHeight w:val="226"/>
        </w:trPr>
        <w:tc>
          <w:tcPr>
            <w:tcW w:w="5960" w:type="dxa"/>
            <w:vAlign w:val="bottom"/>
            <w:gridSpan w:val="2"/>
          </w:tcPr>
          <w:p>
            <w:pPr>
              <w:spacing w:after="0" w:line="227" w:lineRule="exact"/>
              <w:rPr>
                <w:sz w:val="20"/>
                <w:szCs w:val="20"/>
                <w:color w:val="auto"/>
              </w:rPr>
            </w:pPr>
            <w:r>
              <w:rPr>
                <w:rFonts w:ascii="Arial" w:cs="Arial" w:eastAsia="Arial" w:hAnsi="Arial"/>
                <w:sz w:val="20"/>
                <w:szCs w:val="20"/>
                <w:color w:val="auto"/>
              </w:rPr>
              <w:t>Less: ready mixed concrete shipments of</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960" w:type="dxa"/>
            <w:vAlign w:val="bottom"/>
            <w:gridSpan w:val="2"/>
          </w:tcPr>
          <w:p>
            <w:pPr>
              <w:ind w:left="160"/>
              <w:spacing w:after="0"/>
              <w:rPr>
                <w:sz w:val="20"/>
                <w:szCs w:val="20"/>
                <w:color w:val="auto"/>
              </w:rPr>
            </w:pPr>
            <w:r>
              <w:rPr>
                <w:rFonts w:ascii="Arial" w:cs="Arial" w:eastAsia="Arial" w:hAnsi="Arial"/>
                <w:sz w:val="20"/>
                <w:szCs w:val="20"/>
                <w:color w:val="auto"/>
              </w:rPr>
              <w:t>acquired operations</w:t>
            </w:r>
          </w:p>
        </w:tc>
        <w:tc>
          <w:tcPr>
            <w:tcW w:w="820" w:type="dxa"/>
            <w:vAlign w:val="bottom"/>
            <w:gridSpan w:val="2"/>
          </w:tcPr>
          <w:p>
            <w:pPr>
              <w:jc w:val="right"/>
              <w:ind w:right="340"/>
              <w:spacing w:after="0"/>
              <w:rPr>
                <w:sz w:val="20"/>
                <w:szCs w:val="20"/>
                <w:color w:val="auto"/>
              </w:rPr>
            </w:pPr>
            <w:r>
              <w:rPr>
                <w:rFonts w:ascii="Arial" w:cs="Arial" w:eastAsia="Arial" w:hAnsi="Arial"/>
                <w:sz w:val="20"/>
                <w:szCs w:val="20"/>
                <w:color w:val="auto"/>
              </w:rPr>
              <w:t>(0.1)</w:t>
            </w:r>
          </w:p>
        </w:tc>
        <w:tc>
          <w:tcPr>
            <w:tcW w:w="8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20"/>
                <w:szCs w:val="20"/>
                <w:color w:val="auto"/>
              </w:rPr>
              <w:t>(0.1)</w:t>
            </w:r>
          </w:p>
        </w:tc>
        <w:tc>
          <w:tcPr>
            <w:tcW w:w="4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26"/>
        </w:trPr>
        <w:tc>
          <w:tcPr>
            <w:tcW w:w="5960" w:type="dxa"/>
            <w:vAlign w:val="bottom"/>
            <w:gridSpan w:val="2"/>
            <w:shd w:val="clear" w:color="auto" w:fill="CFF0FC"/>
          </w:tcPr>
          <w:p>
            <w:pPr>
              <w:spacing w:after="0" w:line="227" w:lineRule="exact"/>
              <w:rPr>
                <w:sz w:val="20"/>
                <w:szCs w:val="20"/>
                <w:color w:val="auto"/>
              </w:rPr>
            </w:pPr>
            <w:r>
              <w:rPr>
                <w:rFonts w:ascii="Arial" w:cs="Arial" w:eastAsia="Arial" w:hAnsi="Arial"/>
                <w:sz w:val="20"/>
                <w:szCs w:val="20"/>
                <w:color w:val="auto"/>
              </w:rPr>
              <w:t>Less: ready mixed concrete shipments for the</w:t>
            </w:r>
          </w:p>
        </w:tc>
        <w:tc>
          <w:tcPr>
            <w:tcW w:w="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ArkLaTex business during the period of Martin</w:t>
            </w:r>
          </w:p>
        </w:tc>
        <w:tc>
          <w:tcPr>
            <w:tcW w:w="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96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Marietta ownership</w:t>
            </w:r>
          </w:p>
        </w:tc>
        <w:tc>
          <w:tcPr>
            <w:tcW w:w="1680" w:type="dxa"/>
            <w:vAlign w:val="bottom"/>
            <w:gridSpan w:val="3"/>
            <w:shd w:val="clear" w:color="auto" w:fill="CFF0FC"/>
          </w:tcPr>
          <w:p>
            <w:pPr>
              <w:jc w:val="right"/>
              <w:ind w:right="1181"/>
              <w:spacing w:after="0"/>
              <w:rPr>
                <w:sz w:val="20"/>
                <w:szCs w:val="20"/>
                <w:color w:val="auto"/>
              </w:rPr>
            </w:pPr>
            <w:r>
              <w:rPr>
                <w:rFonts w:ascii="Arial" w:cs="Arial" w:eastAsia="Arial" w:hAnsi="Arial"/>
                <w:sz w:val="20"/>
                <w:szCs w:val="20"/>
                <w:color w:val="auto"/>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(0.1)</w:t>
            </w:r>
          </w:p>
        </w:tc>
        <w:tc>
          <w:tcPr>
            <w:tcW w:w="2040" w:type="dxa"/>
            <w:vAlign w:val="bottom"/>
            <w:gridSpan w:val="3"/>
            <w:shd w:val="clear" w:color="auto" w:fill="CFF0FC"/>
          </w:tcPr>
          <w:p>
            <w:pPr>
              <w:jc w:val="right"/>
              <w:ind w:right="820"/>
              <w:spacing w:after="0"/>
              <w:rPr>
                <w:sz w:val="20"/>
                <w:szCs w:val="20"/>
                <w:color w:val="auto"/>
              </w:rPr>
            </w:pPr>
            <w:r>
              <w:rPr>
                <w:rFonts w:ascii="Arial" w:cs="Arial" w:eastAsia="Arial" w:hAnsi="Arial"/>
                <w:sz w:val="20"/>
                <w:szCs w:val="20"/>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(0.4)</w:t>
            </w:r>
          </w:p>
        </w:tc>
      </w:tr>
      <w:tr>
        <w:trPr>
          <w:trHeight w:val="276"/>
        </w:trPr>
        <w:tc>
          <w:tcPr>
            <w:tcW w:w="51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Adjusted ready mixed concrete shipments</w:t>
            </w:r>
          </w:p>
        </w:tc>
        <w:tc>
          <w:tcPr>
            <w:tcW w:w="8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400" w:type="dxa"/>
            <w:vAlign w:val="bottom"/>
            <w:tcBorders>
              <w:bottom w:val="single" w:sz="8" w:color="CFF0FC"/>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240" w:type="dxa"/>
            <w:vAlign w:val="bottom"/>
            <w:tcBorders>
              <w:bottom w:val="single" w:sz="8" w:color="CFF0FC"/>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380" w:type="dxa"/>
            <w:vAlign w:val="bottom"/>
            <w:tcBorders>
              <w:bottom w:val="single" w:sz="8" w:color="CFF0FC"/>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6.1</w:t>
            </w:r>
          </w:p>
        </w:tc>
        <w:tc>
          <w:tcPr>
            <w:tcW w:w="100" w:type="dxa"/>
            <w:vAlign w:val="bottom"/>
            <w:tcBorders>
              <w:bottom w:val="single" w:sz="8" w:color="CFF0FC"/>
            </w:tcBorders>
          </w:tcPr>
          <w:p>
            <w:pPr>
              <w:spacing w:after="0"/>
              <w:rPr>
                <w:sz w:val="24"/>
                <w:szCs w:val="24"/>
                <w:color w:val="auto"/>
              </w:rPr>
            </w:pPr>
          </w:p>
        </w:tc>
      </w:tr>
      <w:tr>
        <w:trPr>
          <w:trHeight w:val="224"/>
        </w:trPr>
        <w:tc>
          <w:tcPr>
            <w:tcW w:w="5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83"/>
        </w:trPr>
        <w:tc>
          <w:tcPr>
            <w:tcW w:w="5960" w:type="dxa"/>
            <w:vAlign w:val="bottom"/>
            <w:gridSpan w:val="2"/>
          </w:tcPr>
          <w:p>
            <w:pPr>
              <w:spacing w:after="0"/>
              <w:rPr>
                <w:sz w:val="20"/>
                <w:szCs w:val="20"/>
                <w:color w:val="auto"/>
              </w:rPr>
            </w:pPr>
            <w:r>
              <w:rPr>
                <w:rFonts w:ascii="Arial" w:cs="Arial" w:eastAsia="Arial" w:hAnsi="Arial"/>
                <w:sz w:val="20"/>
                <w:szCs w:val="20"/>
                <w:color w:val="auto"/>
              </w:rPr>
              <w:t>Reported ready mixed concrete volume variance</w:t>
            </w: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(8.3)%</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(7.2)%</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5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5960" w:type="dxa"/>
            <w:vAlign w:val="bottom"/>
            <w:gridSpan w:val="2"/>
          </w:tcPr>
          <w:p>
            <w:pPr>
              <w:spacing w:after="0"/>
              <w:rPr>
                <w:sz w:val="20"/>
                <w:szCs w:val="20"/>
                <w:color w:val="auto"/>
              </w:rPr>
            </w:pPr>
            <w:r>
              <w:rPr>
                <w:rFonts w:ascii="Arial" w:cs="Arial" w:eastAsia="Arial" w:hAnsi="Arial"/>
                <w:sz w:val="20"/>
                <w:szCs w:val="20"/>
                <w:color w:val="auto"/>
              </w:rPr>
              <w:t>Adjusted ready mixed concrete volume variance</w:t>
            </w: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(4.0)%</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(1.5)%</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Financial highlights for the quarter ended September 30, 2020 (unless noted, all comparisons are versus the prior-year quarter):</w:t>
      </w:r>
    </w:p>
    <w:p>
      <w:pPr>
        <w:spacing w:after="0" w:line="119"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total revenues of $1,321.4 million compared with $1,420.2 million</w:t>
      </w:r>
    </w:p>
    <w:p>
      <w:pPr>
        <w:spacing w:after="0" w:line="15" w:lineRule="exact"/>
        <w:rPr>
          <w:rFonts w:ascii="Arial" w:cs="Arial" w:eastAsia="Arial" w:hAnsi="Arial"/>
          <w:sz w:val="20"/>
          <w:szCs w:val="20"/>
          <w:color w:val="007DC6"/>
        </w:rPr>
      </w:pP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$1,185.5 million compared with $1,263.9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Magnesia Specialties products revenues of $55.2 million compared with $59.3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gross profit of $404.5 million compared with $420.6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earnings from operations of $400.6 million</w:t>
      </w:r>
      <w:r>
        <w:rPr>
          <w:rFonts w:ascii="Arial" w:cs="Arial" w:eastAsia="Arial" w:hAnsi="Arial"/>
          <w:sz w:val="16"/>
          <w:szCs w:val="16"/>
          <w:color w:val="auto"/>
        </w:rPr>
        <w:t>(1)</w:t>
      </w:r>
      <w:r>
        <w:rPr>
          <w:rFonts w:ascii="Arial" w:cs="Arial" w:eastAsia="Arial" w:hAnsi="Arial"/>
          <w:sz w:val="20"/>
          <w:szCs w:val="20"/>
          <w:color w:val="auto"/>
        </w:rPr>
        <w:t xml:space="preserve"> compared with $345.3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$294.4 million</w:t>
      </w:r>
      <w:r>
        <w:rPr>
          <w:rFonts w:ascii="Arial" w:cs="Arial" w:eastAsia="Arial" w:hAnsi="Arial"/>
          <w:sz w:val="16"/>
          <w:szCs w:val="16"/>
          <w:color w:val="auto"/>
        </w:rPr>
        <w:t>(2)</w:t>
      </w:r>
      <w:r>
        <w:rPr>
          <w:rFonts w:ascii="Arial" w:cs="Arial" w:eastAsia="Arial" w:hAnsi="Arial"/>
          <w:sz w:val="20"/>
          <w:szCs w:val="20"/>
          <w:color w:val="auto"/>
        </w:rPr>
        <w:t xml:space="preserve"> compared with $248.6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Adjusted EBITDA of $501.7 million</w:t>
      </w:r>
      <w:r>
        <w:rPr>
          <w:rFonts w:ascii="Arial" w:cs="Arial" w:eastAsia="Arial" w:hAnsi="Arial"/>
          <w:sz w:val="16"/>
          <w:szCs w:val="16"/>
          <w:color w:val="auto"/>
        </w:rPr>
        <w:t>(1)</w:t>
      </w:r>
      <w:r>
        <w:rPr>
          <w:rFonts w:ascii="Arial" w:cs="Arial" w:eastAsia="Arial" w:hAnsi="Arial"/>
          <w:sz w:val="20"/>
          <w:szCs w:val="20"/>
          <w:color w:val="auto"/>
        </w:rPr>
        <w:t xml:space="preserve"> compared with $439.1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Earnings per diluted share of $4.71</w:t>
      </w:r>
      <w:r>
        <w:rPr>
          <w:rFonts w:ascii="Arial" w:cs="Arial" w:eastAsia="Arial" w:hAnsi="Arial"/>
          <w:sz w:val="16"/>
          <w:szCs w:val="16"/>
          <w:color w:val="auto"/>
        </w:rPr>
        <w:t>(2)</w:t>
      </w:r>
      <w:r>
        <w:rPr>
          <w:rFonts w:ascii="Arial" w:cs="Arial" w:eastAsia="Arial" w:hAnsi="Arial"/>
          <w:sz w:val="20"/>
          <w:szCs w:val="20"/>
          <w:color w:val="auto"/>
        </w:rPr>
        <w:t xml:space="preserve"> compared with $3.96</w:t>
      </w:r>
    </w:p>
    <w:p>
      <w:pPr>
        <w:spacing w:after="0" w:line="40" w:lineRule="exact"/>
        <w:rPr>
          <w:rFonts w:ascii="Arial" w:cs="Arial" w:eastAsia="Arial" w:hAnsi="Arial"/>
          <w:sz w:val="20"/>
          <w:szCs w:val="20"/>
          <w:color w:val="007DC6"/>
        </w:rPr>
      </w:pPr>
    </w:p>
    <w:p>
      <w:pPr>
        <w:ind w:left="600" w:hanging="218"/>
        <w:spacing w:after="0"/>
        <w:tabs>
          <w:tab w:leader="none" w:pos="600" w:val="left"/>
        </w:tabs>
        <w:numPr>
          <w:ilvl w:val="1"/>
          <w:numId w:val="12"/>
        </w:numPr>
        <w:rPr>
          <w:rFonts w:ascii="Arial" w:cs="Arial" w:eastAsia="Arial" w:hAnsi="Arial"/>
          <w:sz w:val="15"/>
          <w:szCs w:val="15"/>
          <w:i w:val="1"/>
          <w:iCs w:val="1"/>
          <w:color w:val="auto"/>
        </w:rPr>
      </w:pPr>
      <w:r>
        <w:rPr>
          <w:rFonts w:ascii="Arial" w:cs="Arial" w:eastAsia="Arial" w:hAnsi="Arial"/>
          <w:sz w:val="18"/>
          <w:szCs w:val="18"/>
          <w:i w:val="1"/>
          <w:iCs w:val="1"/>
          <w:color w:val="auto"/>
        </w:rPr>
        <w:t>Includes nonrecurring gains on sales of investment land and divested assets of $69.9 million</w:t>
      </w:r>
    </w:p>
    <w:p>
      <w:pPr>
        <w:spacing w:after="0" w:line="23" w:lineRule="exact"/>
        <w:rPr>
          <w:rFonts w:ascii="Arial" w:cs="Arial" w:eastAsia="Arial" w:hAnsi="Arial"/>
          <w:sz w:val="15"/>
          <w:szCs w:val="15"/>
          <w:i w:val="1"/>
          <w:iCs w:val="1"/>
          <w:color w:val="auto"/>
        </w:rPr>
      </w:pPr>
    </w:p>
    <w:p>
      <w:pPr>
        <w:ind w:left="600" w:hanging="218"/>
        <w:spacing w:after="0"/>
        <w:tabs>
          <w:tab w:leader="none" w:pos="600" w:val="left"/>
        </w:tabs>
        <w:numPr>
          <w:ilvl w:val="1"/>
          <w:numId w:val="12"/>
        </w:numPr>
        <w:rPr>
          <w:rFonts w:ascii="Arial" w:cs="Arial" w:eastAsia="Arial" w:hAnsi="Arial"/>
          <w:sz w:val="15"/>
          <w:szCs w:val="15"/>
          <w:i w:val="1"/>
          <w:iCs w:val="1"/>
          <w:color w:val="auto"/>
        </w:rPr>
      </w:pPr>
      <w:r>
        <w:rPr>
          <w:rFonts w:ascii="Arial" w:cs="Arial" w:eastAsia="Arial" w:hAnsi="Arial"/>
          <w:sz w:val="18"/>
          <w:szCs w:val="18"/>
          <w:i w:val="1"/>
          <w:iCs w:val="1"/>
          <w:color w:val="auto"/>
        </w:rPr>
        <w:t>Includes nonrecurring gains on sales of investment land and divested assets, net of tax, of $54.1 million, or $0.87 per diluted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following tables present total revenues, gross profit (loss), selling, general and administrative (SG&amp;A) expenses and earnings (loss) from operations data for the Company and its reportable segments by product line for the three months ended September 30, 2020 and 2019. In each case, the data is stated as a percentage of revenues of the Company or the relevant segment or product line, as the case may be. Prior-year segment information has been reclassified to conform to changes to the reportable segments effective January 1, 2020 and July 1, 2020 (see Note 1 to financial statements).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9"/>
                <w:szCs w:val="19"/>
                <w:color w:val="auto"/>
                <w:w w:val="89"/>
              </w:rPr>
              <w:t>Three Months Ended September 30,</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2020</w:t>
            </w:r>
          </w:p>
        </w:tc>
        <w:tc>
          <w:tcPr>
            <w:tcW w:w="1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2019</w:t>
            </w:r>
          </w:p>
        </w:tc>
        <w:tc>
          <w:tcPr>
            <w:tcW w:w="1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9"/>
                <w:szCs w:val="19"/>
                <w:color w:val="auto"/>
              </w:rPr>
              <w:t>Amount</w:t>
            </w: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w w:val="96"/>
              </w:rPr>
              <w:t>% of Revenues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9"/>
                <w:szCs w:val="19"/>
                <w:color w:val="auto"/>
              </w:rPr>
              <w:t>Amount</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w w:val="96"/>
              </w:rPr>
              <w:t>% of Revenues</w:t>
            </w:r>
          </w:p>
        </w:tc>
        <w:tc>
          <w:tcPr>
            <w:tcW w:w="120" w:type="dxa"/>
            <w:vAlign w:val="bottom"/>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gridSpan w:val="5"/>
          </w:tcPr>
          <w:p>
            <w:pPr>
              <w:jc w:val="right"/>
              <w:ind w:right="1040"/>
              <w:spacing w:after="0"/>
              <w:rPr>
                <w:sz w:val="20"/>
                <w:szCs w:val="20"/>
                <w:color w:val="auto"/>
              </w:rPr>
            </w:pPr>
            <w:r>
              <w:rPr>
                <w:rFonts w:ascii="Arial" w:cs="Arial" w:eastAsia="Arial" w:hAnsi="Arial"/>
                <w:sz w:val="19"/>
                <w:szCs w:val="19"/>
                <w:i w:val="1"/>
                <w:iCs w:val="1"/>
                <w:color w:val="auto"/>
              </w:rPr>
              <w:t>(Dollars in Millions)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9"/>
                <w:szCs w:val="19"/>
                <w:b w:val="1"/>
                <w:bCs w:val="1"/>
                <w:color w:val="auto"/>
              </w:rPr>
              <w:t>Total revenues: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9"/>
                <w:szCs w:val="19"/>
                <w:color w:val="auto"/>
              </w:rPr>
              <w:t>Building Materials Business: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8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40" w:type="dxa"/>
            <w:vAlign w:val="bottom"/>
          </w:tcPr>
          <w:p>
            <w:pPr>
              <w:ind w:left="380"/>
              <w:spacing w:after="0"/>
              <w:rPr>
                <w:sz w:val="20"/>
                <w:szCs w:val="20"/>
                <w:color w:val="auto"/>
              </w:rPr>
            </w:pPr>
            <w:r>
              <w:rPr>
                <w:rFonts w:ascii="Arial" w:cs="Arial" w:eastAsia="Arial" w:hAnsi="Arial"/>
                <w:sz w:val="19"/>
                <w:szCs w:val="19"/>
                <w:color w:val="auto"/>
              </w:rPr>
              <w:t>East Group</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840" w:type="dxa"/>
            <w:vAlign w:val="bottom"/>
            <w:shd w:val="clear" w:color="auto" w:fill="CFF0FC"/>
          </w:tcPr>
          <w:p>
            <w:pPr>
              <w:ind w:left="620"/>
              <w:spacing w:after="0"/>
              <w:rPr>
                <w:sz w:val="20"/>
                <w:szCs w:val="20"/>
                <w:color w:val="auto"/>
              </w:rPr>
            </w:pPr>
            <w:r>
              <w:rPr>
                <w:rFonts w:ascii="Arial" w:cs="Arial" w:eastAsia="Arial" w:hAnsi="Arial"/>
                <w:sz w:val="19"/>
                <w:szCs w:val="19"/>
                <w:color w:val="auto"/>
              </w:rPr>
              <w:t>Aggregates</w:t>
            </w:r>
          </w:p>
        </w:tc>
        <w:tc>
          <w:tcPr>
            <w:tcW w:w="1300" w:type="dxa"/>
            <w:vAlign w:val="bottom"/>
            <w:gridSpan w:val="2"/>
            <w:shd w:val="clear" w:color="auto" w:fill="CFF0FC"/>
          </w:tcPr>
          <w:p>
            <w:pPr>
              <w:jc w:val="right"/>
              <w:ind w:right="46"/>
              <w:spacing w:after="0"/>
              <w:rPr>
                <w:sz w:val="20"/>
                <w:szCs w:val="20"/>
                <w:color w:val="auto"/>
              </w:rPr>
            </w:pPr>
            <w:r>
              <w:rPr>
                <w:rFonts w:ascii="Arial" w:cs="Arial" w:eastAsia="Arial" w:hAnsi="Arial"/>
                <w:sz w:val="19"/>
                <w:szCs w:val="19"/>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514.1</w:t>
            </w:r>
          </w:p>
        </w:tc>
        <w:tc>
          <w:tcPr>
            <w:tcW w:w="38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26"/>
              <w:spacing w:after="0"/>
              <w:rPr>
                <w:sz w:val="20"/>
                <w:szCs w:val="20"/>
                <w:color w:val="auto"/>
              </w:rPr>
            </w:pPr>
            <w:r>
              <w:rPr>
                <w:rFonts w:ascii="Arial" w:cs="Arial" w:eastAsia="Arial" w:hAnsi="Arial"/>
                <w:sz w:val="19"/>
                <w:szCs w:val="19"/>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539.8</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Pr>
          <w:p>
            <w:pPr>
              <w:ind w:left="380"/>
              <w:spacing w:after="0"/>
              <w:rPr>
                <w:sz w:val="20"/>
                <w:szCs w:val="20"/>
                <w:color w:val="auto"/>
              </w:rPr>
            </w:pPr>
            <w:r>
              <w:rPr>
                <w:rFonts w:ascii="Arial" w:cs="Arial" w:eastAsia="Arial" w:hAnsi="Arial"/>
                <w:sz w:val="19"/>
                <w:szCs w:val="19"/>
                <w:color w:val="auto"/>
              </w:rPr>
              <w:t>West Group</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840" w:type="dxa"/>
            <w:vAlign w:val="bottom"/>
            <w:shd w:val="clear" w:color="auto" w:fill="CFF0FC"/>
          </w:tcPr>
          <w:p>
            <w:pPr>
              <w:ind w:left="620"/>
              <w:spacing w:after="0"/>
              <w:rPr>
                <w:sz w:val="20"/>
                <w:szCs w:val="20"/>
                <w:color w:val="auto"/>
              </w:rPr>
            </w:pPr>
            <w:r>
              <w:rPr>
                <w:rFonts w:ascii="Arial" w:cs="Arial" w:eastAsia="Arial" w:hAnsi="Arial"/>
                <w:sz w:val="19"/>
                <w:szCs w:val="19"/>
                <w:color w:val="auto"/>
              </w:rPr>
              <w:t>Aggregates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252.8</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278.9</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Pr>
          <w:p>
            <w:pPr>
              <w:ind w:left="620"/>
              <w:spacing w:after="0"/>
              <w:rPr>
                <w:sz w:val="20"/>
                <w:szCs w:val="20"/>
                <w:color w:val="auto"/>
              </w:rPr>
            </w:pPr>
            <w:r>
              <w:rPr>
                <w:rFonts w:ascii="Arial" w:cs="Arial" w:eastAsia="Arial" w:hAnsi="Arial"/>
                <w:sz w:val="19"/>
                <w:szCs w:val="19"/>
                <w:color w:val="auto"/>
              </w:rPr>
              <w:t>Cement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115.6</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119.6</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840" w:type="dxa"/>
            <w:vAlign w:val="bottom"/>
            <w:shd w:val="clear" w:color="auto" w:fill="CFF0FC"/>
          </w:tcPr>
          <w:p>
            <w:pPr>
              <w:ind w:left="620"/>
              <w:spacing w:after="0"/>
              <w:rPr>
                <w:sz w:val="20"/>
                <w:szCs w:val="20"/>
                <w:color w:val="auto"/>
              </w:rPr>
            </w:pPr>
            <w:r>
              <w:rPr>
                <w:rFonts w:ascii="Arial" w:cs="Arial" w:eastAsia="Arial" w:hAnsi="Arial"/>
                <w:sz w:val="19"/>
                <w:szCs w:val="19"/>
                <w:color w:val="auto"/>
              </w:rPr>
              <w:t>Ready mixed concrete</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254.6</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271.8</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Pr>
          <w:p>
            <w:pPr>
              <w:ind w:left="620"/>
              <w:spacing w:after="0"/>
              <w:rPr>
                <w:sz w:val="20"/>
                <w:szCs w:val="20"/>
                <w:color w:val="auto"/>
              </w:rPr>
            </w:pPr>
            <w:r>
              <w:rPr>
                <w:rFonts w:ascii="Arial" w:cs="Arial" w:eastAsia="Arial" w:hAnsi="Arial"/>
                <w:sz w:val="19"/>
                <w:szCs w:val="19"/>
                <w:color w:val="auto"/>
              </w:rPr>
              <w:t>Asphalt and paving</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129.8</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131.1</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840" w:type="dxa"/>
            <w:vAlign w:val="bottom"/>
            <w:shd w:val="clear" w:color="auto" w:fill="CFF0FC"/>
          </w:tcPr>
          <w:p>
            <w:pPr>
              <w:ind w:left="380"/>
              <w:spacing w:after="0"/>
              <w:rPr>
                <w:sz w:val="20"/>
                <w:szCs w:val="20"/>
                <w:color w:val="auto"/>
              </w:rPr>
            </w:pPr>
            <w:r>
              <w:rPr>
                <w:rFonts w:ascii="Arial" w:cs="Arial" w:eastAsia="Arial" w:hAnsi="Arial"/>
                <w:sz w:val="19"/>
                <w:szCs w:val="19"/>
                <w:color w:val="auto"/>
              </w:rPr>
              <w:t>Less: Interproduct revenues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9"/>
                <w:szCs w:val="19"/>
                <w:color w:val="auto"/>
              </w:rPr>
              <w:t>(81.4)</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9"/>
                <w:szCs w:val="19"/>
                <w:color w:val="auto"/>
              </w:rPr>
              <w:t>(77.3)</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3840" w:type="dxa"/>
            <w:vAlign w:val="bottom"/>
            <w:tcBorders>
              <w:bottom w:val="single" w:sz="8" w:color="CFF0FC"/>
            </w:tcBorders>
          </w:tcPr>
          <w:p>
            <w:pPr>
              <w:ind w:left="380"/>
              <w:spacing w:after="0"/>
              <w:rPr>
                <w:sz w:val="20"/>
                <w:szCs w:val="20"/>
                <w:color w:val="auto"/>
              </w:rPr>
            </w:pPr>
            <w:r>
              <w:rPr>
                <w:rFonts w:ascii="Arial" w:cs="Arial" w:eastAsia="Arial" w:hAnsi="Arial"/>
                <w:sz w:val="19"/>
                <w:szCs w:val="19"/>
                <w:color w:val="auto"/>
              </w:rPr>
              <w:t>West Group Total</w:t>
            </w:r>
          </w:p>
        </w:tc>
        <w:tc>
          <w:tcPr>
            <w:tcW w:w="10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671.4</w:t>
            </w:r>
          </w:p>
        </w:tc>
        <w:tc>
          <w:tcPr>
            <w:tcW w:w="3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724.1</w:t>
            </w:r>
          </w:p>
        </w:tc>
        <w:tc>
          <w:tcPr>
            <w:tcW w:w="3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38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1,185.5</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1,263.9</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Borders>
              <w:bottom w:val="single" w:sz="8" w:color="CFF0FC"/>
            </w:tcBorders>
          </w:tcPr>
          <w:p>
            <w:pPr>
              <w:ind w:left="140"/>
              <w:spacing w:after="0"/>
              <w:rPr>
                <w:sz w:val="20"/>
                <w:szCs w:val="20"/>
                <w:color w:val="auto"/>
              </w:rPr>
            </w:pPr>
            <w:r>
              <w:rPr>
                <w:rFonts w:ascii="Arial" w:cs="Arial" w:eastAsia="Arial" w:hAnsi="Arial"/>
                <w:sz w:val="19"/>
                <w:szCs w:val="19"/>
                <w:color w:val="auto"/>
              </w:rPr>
              <w:t>Freight</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75.0</w:t>
            </w:r>
          </w:p>
        </w:tc>
        <w:tc>
          <w:tcPr>
            <w:tcW w:w="3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91.5</w:t>
            </w:r>
          </w:p>
        </w:tc>
        <w:tc>
          <w:tcPr>
            <w:tcW w:w="3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10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1,260.5</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1,355.4</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9"/>
                <w:szCs w:val="19"/>
                <w:color w:val="auto"/>
              </w:rPr>
              <w:t>Magnesia Specialties Business: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8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Products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55.2</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59.3</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40" w:type="dxa"/>
            <w:vAlign w:val="bottom"/>
            <w:tcBorders>
              <w:bottom w:val="single" w:sz="8" w:color="CFF0FC"/>
            </w:tcBorders>
          </w:tcPr>
          <w:p>
            <w:pPr>
              <w:ind w:left="140"/>
              <w:spacing w:after="0"/>
              <w:rPr>
                <w:sz w:val="20"/>
                <w:szCs w:val="20"/>
                <w:color w:val="auto"/>
              </w:rPr>
            </w:pPr>
            <w:r>
              <w:rPr>
                <w:rFonts w:ascii="Arial" w:cs="Arial" w:eastAsia="Arial" w:hAnsi="Arial"/>
                <w:sz w:val="19"/>
                <w:szCs w:val="19"/>
                <w:color w:val="auto"/>
              </w:rPr>
              <w:t>Freight</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w:t>
            </w:r>
          </w:p>
        </w:tc>
        <w:tc>
          <w:tcPr>
            <w:tcW w:w="3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w:t>
            </w:r>
          </w:p>
        </w:tc>
        <w:tc>
          <w:tcPr>
            <w:tcW w:w="3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9"/>
                <w:szCs w:val="19"/>
                <w:color w:val="auto"/>
              </w:rPr>
              <w:t>Total Magnesia Specialties Business</w:t>
            </w:r>
          </w:p>
        </w:tc>
        <w:tc>
          <w:tcPr>
            <w:tcW w:w="10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60.9</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64.8</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9"/>
                <w:szCs w:val="19"/>
                <w:color w:val="auto"/>
              </w:rPr>
              <w:t>Total</w:t>
            </w:r>
          </w:p>
        </w:tc>
        <w:tc>
          <w:tcPr>
            <w:tcW w:w="1060" w:type="dxa"/>
            <w:vAlign w:val="bottom"/>
          </w:tcPr>
          <w:p>
            <w:pPr>
              <w:spacing w:after="0"/>
              <w:rPr>
                <w:sz w:val="19"/>
                <w:szCs w:val="19"/>
                <w:color w:val="auto"/>
              </w:rPr>
            </w:pP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w w:val="7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1,321.4</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1,420.2</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9"/>
                <w:szCs w:val="19"/>
                <w:color w:val="auto"/>
                <w:w w:val="89"/>
              </w:rPr>
              <w:t>Three Months Ended September 30,</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2020</w:t>
            </w:r>
          </w:p>
        </w:tc>
        <w:tc>
          <w:tcPr>
            <w:tcW w:w="1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9"/>
                <w:szCs w:val="19"/>
                <w:color w:val="auto"/>
              </w:rPr>
              <w:t>2019</w:t>
            </w:r>
          </w:p>
        </w:tc>
        <w:tc>
          <w:tcPr>
            <w:tcW w:w="12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9"/>
                <w:szCs w:val="19"/>
                <w:color w:val="auto"/>
              </w:rPr>
              <w:t>Amount</w:t>
            </w: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w w:val="89"/>
              </w:rPr>
              <w:t>% of Revenues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9"/>
                <w:szCs w:val="19"/>
                <w:color w:val="auto"/>
              </w:rPr>
              <w:t>Amount</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w w:val="96"/>
              </w:rPr>
              <w:t>% of Revenues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00" w:type="dxa"/>
            <w:vAlign w:val="bottom"/>
            <w:vMerge w:val="restart"/>
          </w:tcPr>
          <w:p>
            <w:pPr>
              <w:spacing w:after="0"/>
              <w:rPr>
                <w:sz w:val="20"/>
                <w:szCs w:val="20"/>
                <w:color w:val="auto"/>
              </w:rPr>
            </w:pPr>
            <w:r>
              <w:rPr>
                <w:rFonts w:ascii="Arial" w:cs="Arial" w:eastAsia="Arial" w:hAnsi="Arial"/>
                <w:sz w:val="19"/>
                <w:szCs w:val="19"/>
                <w:b w:val="1"/>
                <w:bCs w:val="1"/>
                <w:color w:val="auto"/>
              </w:rPr>
              <w:t>Gross profit (loss):</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gridSpan w:val="7"/>
          </w:tcPr>
          <w:p>
            <w:pPr>
              <w:jc w:val="right"/>
              <w:ind w:right="1040"/>
              <w:spacing w:after="0"/>
              <w:rPr>
                <w:sz w:val="20"/>
                <w:szCs w:val="20"/>
                <w:color w:val="auto"/>
              </w:rPr>
            </w:pPr>
            <w:r>
              <w:rPr>
                <w:rFonts w:ascii="Arial" w:cs="Arial" w:eastAsia="Arial" w:hAnsi="Arial"/>
                <w:sz w:val="19"/>
                <w:szCs w:val="19"/>
                <w:i w:val="1"/>
                <w:iCs w:val="1"/>
                <w:color w:val="auto"/>
              </w:rPr>
              <w:t>(Dollars in Millions)</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r>
              <w:rPr>
                <w:rFonts w:ascii="Arial" w:cs="Arial" w:eastAsia="Arial" w:hAnsi="Arial"/>
                <w:sz w:val="19"/>
                <w:szCs w:val="19"/>
                <w:color w:val="auto"/>
              </w:rPr>
              <w:t>Building Materials Business:</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380"/>
              <w:spacing w:after="0"/>
              <w:rPr>
                <w:sz w:val="20"/>
                <w:szCs w:val="20"/>
                <w:color w:val="auto"/>
              </w:rPr>
            </w:pPr>
            <w:r>
              <w:rPr>
                <w:rFonts w:ascii="Arial" w:cs="Arial" w:eastAsia="Arial" w:hAnsi="Arial"/>
                <w:sz w:val="19"/>
                <w:szCs w:val="19"/>
                <w:color w:val="auto"/>
              </w:rPr>
              <w:t>East Group</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620"/>
              <w:spacing w:after="0"/>
              <w:rPr>
                <w:sz w:val="20"/>
                <w:szCs w:val="20"/>
                <w:color w:val="auto"/>
              </w:rPr>
            </w:pPr>
            <w:r>
              <w:rPr>
                <w:rFonts w:ascii="Arial" w:cs="Arial" w:eastAsia="Arial" w:hAnsi="Arial"/>
                <w:sz w:val="19"/>
                <w:szCs w:val="19"/>
                <w:color w:val="auto"/>
              </w:rPr>
              <w:t>Aggregates</w:t>
            </w:r>
          </w:p>
        </w:tc>
        <w:tc>
          <w:tcPr>
            <w:tcW w:w="1320" w:type="dxa"/>
            <w:vAlign w:val="bottom"/>
            <w:gridSpan w:val="2"/>
            <w:shd w:val="clear" w:color="auto" w:fill="CFF0FC"/>
          </w:tcPr>
          <w:p>
            <w:pPr>
              <w:jc w:val="right"/>
              <w:ind w:right="526"/>
              <w:spacing w:after="0"/>
              <w:rPr>
                <w:sz w:val="20"/>
                <w:szCs w:val="20"/>
                <w:color w:val="auto"/>
              </w:rPr>
            </w:pPr>
            <w:r>
              <w:rPr>
                <w:rFonts w:ascii="Arial" w:cs="Arial" w:eastAsia="Arial" w:hAnsi="Arial"/>
                <w:sz w:val="19"/>
                <w:szCs w:val="19"/>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206.1</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26"/>
              <w:spacing w:after="0"/>
              <w:rPr>
                <w:sz w:val="20"/>
                <w:szCs w:val="20"/>
                <w:color w:val="auto"/>
              </w:rPr>
            </w:pPr>
            <w:r>
              <w:rPr>
                <w:rFonts w:ascii="Arial" w:cs="Arial" w:eastAsia="Arial" w:hAnsi="Arial"/>
                <w:sz w:val="19"/>
                <w:szCs w:val="19"/>
                <w:color w:val="auto"/>
                <w:w w:val="75"/>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9"/>
                <w:szCs w:val="19"/>
                <w:color w:val="auto"/>
              </w:rPr>
              <w:t>211.0</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ind w:left="940"/>
              <w:spacing w:after="0"/>
              <w:rPr>
                <w:sz w:val="20"/>
                <w:szCs w:val="20"/>
                <w:color w:val="auto"/>
              </w:rPr>
            </w:pPr>
            <w:r>
              <w:rPr>
                <w:rFonts w:ascii="Arial" w:cs="Arial" w:eastAsia="Arial" w:hAnsi="Arial"/>
                <w:sz w:val="19"/>
                <w:szCs w:val="19"/>
                <w:color w:val="auto"/>
                <w:w w:val="86"/>
              </w:rPr>
              <w:t>39.1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80"/>
              <w:spacing w:after="0"/>
              <w:rPr>
                <w:sz w:val="20"/>
                <w:szCs w:val="20"/>
                <w:color w:val="auto"/>
              </w:rPr>
            </w:pPr>
            <w:r>
              <w:rPr>
                <w:rFonts w:ascii="Arial" w:cs="Arial" w:eastAsia="Arial" w:hAnsi="Arial"/>
                <w:sz w:val="19"/>
                <w:szCs w:val="19"/>
                <w:color w:val="auto"/>
              </w:rPr>
              <w:t>West Group</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620"/>
              <w:spacing w:after="0"/>
              <w:rPr>
                <w:sz w:val="20"/>
                <w:szCs w:val="20"/>
                <w:color w:val="auto"/>
              </w:rPr>
            </w:pPr>
            <w:r>
              <w:rPr>
                <w:rFonts w:ascii="Arial" w:cs="Arial" w:eastAsia="Arial" w:hAnsi="Arial"/>
                <w:sz w:val="19"/>
                <w:szCs w:val="19"/>
                <w:color w:val="auto"/>
              </w:rPr>
              <w:t>Aggregates</w:t>
            </w:r>
          </w:p>
        </w:tc>
        <w:tc>
          <w:tcPr>
            <w:tcW w:w="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73.0</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28.9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9"/>
                <w:szCs w:val="19"/>
                <w:color w:val="auto"/>
              </w:rPr>
              <w:t>76.1</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ind w:left="940"/>
              <w:spacing w:after="0"/>
              <w:rPr>
                <w:sz w:val="20"/>
                <w:szCs w:val="20"/>
                <w:color w:val="auto"/>
              </w:rPr>
            </w:pPr>
            <w:r>
              <w:rPr>
                <w:rFonts w:ascii="Arial" w:cs="Arial" w:eastAsia="Arial" w:hAnsi="Arial"/>
                <w:sz w:val="19"/>
                <w:szCs w:val="19"/>
                <w:color w:val="auto"/>
                <w:w w:val="86"/>
              </w:rPr>
              <w:t>27.3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620"/>
              <w:spacing w:after="0"/>
              <w:rPr>
                <w:sz w:val="20"/>
                <w:szCs w:val="20"/>
                <w:color w:val="auto"/>
              </w:rPr>
            </w:pPr>
            <w:r>
              <w:rPr>
                <w:rFonts w:ascii="Arial" w:cs="Arial" w:eastAsia="Arial" w:hAnsi="Arial"/>
                <w:sz w:val="19"/>
                <w:szCs w:val="19"/>
                <w:color w:val="auto"/>
              </w:rPr>
              <w:t>Cement</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46.5</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color w:val="auto"/>
              </w:rPr>
              <w:t>48.5</w:t>
            </w:r>
          </w:p>
        </w:tc>
        <w:tc>
          <w:tcPr>
            <w:tcW w:w="320" w:type="dxa"/>
            <w:vAlign w:val="bottom"/>
          </w:tcPr>
          <w:p>
            <w:pPr>
              <w:spacing w:after="0"/>
              <w:rPr>
                <w:sz w:val="19"/>
                <w:szCs w:val="19"/>
                <w:color w:val="auto"/>
              </w:rPr>
            </w:pPr>
          </w:p>
        </w:tc>
        <w:tc>
          <w:tcPr>
            <w:tcW w:w="1280" w:type="dxa"/>
            <w:vAlign w:val="bottom"/>
          </w:tcPr>
          <w:p>
            <w:pPr>
              <w:ind w:left="940"/>
              <w:spacing w:after="0"/>
              <w:rPr>
                <w:sz w:val="20"/>
                <w:szCs w:val="20"/>
                <w:color w:val="auto"/>
              </w:rPr>
            </w:pPr>
            <w:r>
              <w:rPr>
                <w:rFonts w:ascii="Arial" w:cs="Arial" w:eastAsia="Arial" w:hAnsi="Arial"/>
                <w:sz w:val="19"/>
                <w:szCs w:val="19"/>
                <w:color w:val="auto"/>
                <w:w w:val="86"/>
              </w:rPr>
              <w:t>40.6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620"/>
              <w:spacing w:after="0"/>
              <w:rPr>
                <w:sz w:val="20"/>
                <w:szCs w:val="20"/>
                <w:color w:val="auto"/>
              </w:rPr>
            </w:pPr>
            <w:r>
              <w:rPr>
                <w:rFonts w:ascii="Arial" w:cs="Arial" w:eastAsia="Arial" w:hAnsi="Arial"/>
                <w:sz w:val="19"/>
                <w:szCs w:val="19"/>
                <w:color w:val="auto"/>
              </w:rPr>
              <w:t>Ready mixed concrete</w:t>
            </w:r>
          </w:p>
        </w:tc>
        <w:tc>
          <w:tcPr>
            <w:tcW w:w="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24.7</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9"/>
                <w:szCs w:val="19"/>
                <w:color w:val="auto"/>
              </w:rPr>
              <w:t>29.0</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ind w:left="940"/>
              <w:spacing w:after="0"/>
              <w:rPr>
                <w:sz w:val="20"/>
                <w:szCs w:val="20"/>
                <w:color w:val="auto"/>
              </w:rPr>
            </w:pPr>
            <w:r>
              <w:rPr>
                <w:rFonts w:ascii="Arial" w:cs="Arial" w:eastAsia="Arial" w:hAnsi="Arial"/>
                <w:sz w:val="19"/>
                <w:szCs w:val="19"/>
                <w:color w:val="auto"/>
                <w:w w:val="86"/>
              </w:rPr>
              <w:t>10.6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ind w:left="620"/>
              <w:spacing w:after="0"/>
              <w:rPr>
                <w:sz w:val="20"/>
                <w:szCs w:val="20"/>
                <w:color w:val="auto"/>
              </w:rPr>
            </w:pPr>
            <w:r>
              <w:rPr>
                <w:rFonts w:ascii="Arial" w:cs="Arial" w:eastAsia="Arial" w:hAnsi="Arial"/>
                <w:sz w:val="19"/>
                <w:szCs w:val="19"/>
                <w:color w:val="auto"/>
              </w:rPr>
              <w:t>Asphalt and paving</w:t>
            </w:r>
          </w:p>
        </w:tc>
        <w:tc>
          <w:tcPr>
            <w:tcW w:w="6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32.6</w:t>
            </w:r>
          </w:p>
        </w:tc>
        <w:tc>
          <w:tcPr>
            <w:tcW w:w="3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9"/>
                <w:szCs w:val="19"/>
                <w:color w:val="auto"/>
              </w:rPr>
              <w:t>25.1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31.1</w:t>
            </w:r>
          </w:p>
        </w:tc>
        <w:tc>
          <w:tcPr>
            <w:tcW w:w="3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ind w:left="940"/>
              <w:spacing w:after="0"/>
              <w:rPr>
                <w:sz w:val="20"/>
                <w:szCs w:val="20"/>
                <w:color w:val="auto"/>
              </w:rPr>
            </w:pPr>
            <w:r>
              <w:rPr>
                <w:rFonts w:ascii="Arial" w:cs="Arial" w:eastAsia="Arial" w:hAnsi="Arial"/>
                <w:sz w:val="19"/>
                <w:szCs w:val="19"/>
                <w:color w:val="auto"/>
                <w:w w:val="86"/>
              </w:rPr>
              <w:t>23.7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380"/>
              <w:spacing w:after="0"/>
              <w:rPr>
                <w:sz w:val="20"/>
                <w:szCs w:val="20"/>
                <w:color w:val="auto"/>
              </w:rPr>
            </w:pPr>
            <w:r>
              <w:rPr>
                <w:rFonts w:ascii="Arial" w:cs="Arial" w:eastAsia="Arial" w:hAnsi="Arial"/>
                <w:sz w:val="19"/>
                <w:szCs w:val="19"/>
                <w:color w:val="auto"/>
              </w:rPr>
              <w:t>West Group Total</w:t>
            </w:r>
          </w:p>
        </w:tc>
        <w:tc>
          <w:tcPr>
            <w:tcW w:w="6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176.8</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9"/>
                <w:szCs w:val="19"/>
                <w:color w:val="auto"/>
              </w:rPr>
              <w:t>184.7</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ind w:left="940"/>
              <w:spacing w:after="0"/>
              <w:rPr>
                <w:sz w:val="20"/>
                <w:szCs w:val="20"/>
                <w:color w:val="auto"/>
              </w:rPr>
            </w:pPr>
            <w:r>
              <w:rPr>
                <w:rFonts w:ascii="Arial" w:cs="Arial" w:eastAsia="Arial" w:hAnsi="Arial"/>
                <w:sz w:val="19"/>
                <w:szCs w:val="19"/>
                <w:color w:val="auto"/>
                <w:w w:val="86"/>
              </w:rPr>
              <w:t>25.5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40"/>
              <w:spacing w:after="0"/>
              <w:rPr>
                <w:sz w:val="20"/>
                <w:szCs w:val="20"/>
                <w:color w:val="auto"/>
              </w:rPr>
            </w:pPr>
            <w:r>
              <w:rPr>
                <w:rFonts w:ascii="Arial" w:cs="Arial" w:eastAsia="Arial" w:hAnsi="Arial"/>
                <w:sz w:val="19"/>
                <w:szCs w:val="19"/>
                <w:color w:val="auto"/>
              </w:rPr>
              <w:t>Products and services</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382.9</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color w:val="auto"/>
              </w:rPr>
              <w:t>395.7</w:t>
            </w:r>
          </w:p>
        </w:tc>
        <w:tc>
          <w:tcPr>
            <w:tcW w:w="320" w:type="dxa"/>
            <w:vAlign w:val="bottom"/>
          </w:tcPr>
          <w:p>
            <w:pPr>
              <w:spacing w:after="0"/>
              <w:rPr>
                <w:sz w:val="19"/>
                <w:szCs w:val="19"/>
                <w:color w:val="auto"/>
              </w:rPr>
            </w:pPr>
          </w:p>
        </w:tc>
        <w:tc>
          <w:tcPr>
            <w:tcW w:w="1280" w:type="dxa"/>
            <w:vAlign w:val="bottom"/>
          </w:tcPr>
          <w:p>
            <w:pPr>
              <w:ind w:left="940"/>
              <w:spacing w:after="0"/>
              <w:rPr>
                <w:sz w:val="20"/>
                <w:szCs w:val="20"/>
                <w:color w:val="auto"/>
              </w:rPr>
            </w:pPr>
            <w:r>
              <w:rPr>
                <w:rFonts w:ascii="Arial" w:cs="Arial" w:eastAsia="Arial" w:hAnsi="Arial"/>
                <w:sz w:val="19"/>
                <w:szCs w:val="19"/>
                <w:color w:val="auto"/>
                <w:w w:val="86"/>
              </w:rPr>
              <w:t>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Freight</w:t>
            </w:r>
          </w:p>
        </w:tc>
        <w:tc>
          <w:tcPr>
            <w:tcW w:w="6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0.9</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9"/>
                <w:szCs w:val="19"/>
                <w:color w:val="auto"/>
              </w:rPr>
              <w:t>0.2</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Total Building Materials Business</w:t>
            </w:r>
          </w:p>
        </w:tc>
        <w:tc>
          <w:tcPr>
            <w:tcW w:w="6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383.8</w:t>
            </w:r>
          </w:p>
        </w:tc>
        <w:tc>
          <w:tcPr>
            <w:tcW w:w="3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9"/>
                <w:szCs w:val="19"/>
                <w:color w:val="auto"/>
              </w:rPr>
              <w:t>30.4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395.9</w:t>
            </w:r>
          </w:p>
        </w:tc>
        <w:tc>
          <w:tcPr>
            <w:tcW w:w="3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ind w:left="940"/>
              <w:spacing w:after="0"/>
              <w:rPr>
                <w:sz w:val="20"/>
                <w:szCs w:val="20"/>
                <w:color w:val="auto"/>
              </w:rPr>
            </w:pPr>
            <w:r>
              <w:rPr>
                <w:rFonts w:ascii="Arial" w:cs="Arial" w:eastAsia="Arial" w:hAnsi="Arial"/>
                <w:sz w:val="19"/>
                <w:szCs w:val="19"/>
                <w:color w:val="auto"/>
                <w:w w:val="86"/>
              </w:rPr>
              <w:t>29.2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9"/>
                <w:szCs w:val="19"/>
                <w:color w:val="auto"/>
              </w:rPr>
              <w:t>Magnesia Specialties Business:</w:t>
            </w:r>
          </w:p>
        </w:tc>
        <w:tc>
          <w:tcPr>
            <w:tcW w:w="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9"/>
                <w:szCs w:val="19"/>
                <w:color w:val="auto"/>
              </w:rPr>
              <w:t>Products</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21.0</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color w:val="auto"/>
              </w:rPr>
              <w:t>24.0</w:t>
            </w:r>
          </w:p>
        </w:tc>
        <w:tc>
          <w:tcPr>
            <w:tcW w:w="320" w:type="dxa"/>
            <w:vAlign w:val="bottom"/>
          </w:tcPr>
          <w:p>
            <w:pPr>
              <w:spacing w:after="0"/>
              <w:rPr>
                <w:sz w:val="19"/>
                <w:szCs w:val="19"/>
                <w:color w:val="auto"/>
              </w:rPr>
            </w:pPr>
          </w:p>
        </w:tc>
        <w:tc>
          <w:tcPr>
            <w:tcW w:w="1280" w:type="dxa"/>
            <w:vAlign w:val="bottom"/>
          </w:tcPr>
          <w:p>
            <w:pPr>
              <w:ind w:left="940"/>
              <w:spacing w:after="0"/>
              <w:rPr>
                <w:sz w:val="20"/>
                <w:szCs w:val="20"/>
                <w:color w:val="auto"/>
              </w:rPr>
            </w:pPr>
            <w:r>
              <w:rPr>
                <w:rFonts w:ascii="Arial" w:cs="Arial" w:eastAsia="Arial" w:hAnsi="Arial"/>
                <w:sz w:val="19"/>
                <w:szCs w:val="19"/>
                <w:color w:val="auto"/>
                <w:w w:val="86"/>
              </w:rPr>
              <w:t>40.4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Freight</w:t>
            </w:r>
          </w:p>
        </w:tc>
        <w:tc>
          <w:tcPr>
            <w:tcW w:w="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9"/>
                <w:szCs w:val="19"/>
                <w:color w:val="auto"/>
              </w:rPr>
              <w:t>(1.0)</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260"/>
              <w:spacing w:after="0"/>
              <w:rPr>
                <w:sz w:val="20"/>
                <w:szCs w:val="20"/>
                <w:color w:val="auto"/>
              </w:rPr>
            </w:pPr>
            <w:r>
              <w:rPr>
                <w:rFonts w:ascii="Arial" w:cs="Arial" w:eastAsia="Arial" w:hAnsi="Arial"/>
                <w:sz w:val="19"/>
                <w:szCs w:val="19"/>
                <w:color w:val="auto"/>
              </w:rPr>
              <w:t>(1.0)</w:t>
            </w: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Total Magnesia Specialties Business</w:t>
            </w:r>
          </w:p>
        </w:tc>
        <w:tc>
          <w:tcPr>
            <w:tcW w:w="6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20.0</w:t>
            </w:r>
          </w:p>
        </w:tc>
        <w:tc>
          <w:tcPr>
            <w:tcW w:w="3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9"/>
                <w:szCs w:val="19"/>
                <w:color w:val="auto"/>
              </w:rPr>
              <w:t>32.9</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9"/>
                <w:szCs w:val="19"/>
                <w:color w:val="auto"/>
              </w:rPr>
              <w:t>23.0</w:t>
            </w:r>
          </w:p>
        </w:tc>
        <w:tc>
          <w:tcPr>
            <w:tcW w:w="3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ind w:left="940"/>
              <w:spacing w:after="0"/>
              <w:rPr>
                <w:sz w:val="20"/>
                <w:szCs w:val="20"/>
                <w:color w:val="auto"/>
              </w:rPr>
            </w:pPr>
            <w:r>
              <w:rPr>
                <w:rFonts w:ascii="Arial" w:cs="Arial" w:eastAsia="Arial" w:hAnsi="Arial"/>
                <w:sz w:val="19"/>
                <w:szCs w:val="19"/>
                <w:color w:val="auto"/>
                <w:w w:val="86"/>
              </w:rPr>
              <w:t>35.5</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9"/>
                <w:szCs w:val="19"/>
                <w:color w:val="auto"/>
              </w:rPr>
              <w:t>Corporate</w:t>
            </w:r>
          </w:p>
        </w:tc>
        <w:tc>
          <w:tcPr>
            <w:tcW w:w="6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0.7</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9"/>
                <w:szCs w:val="19"/>
                <w:color w:val="auto"/>
              </w:rPr>
              <w:t>1.7</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9"/>
                <w:szCs w:val="19"/>
                <w:color w:val="auto"/>
              </w:rPr>
              <w:t>Total</w:t>
            </w:r>
          </w:p>
        </w:tc>
        <w:tc>
          <w:tcPr>
            <w:tcW w:w="600" w:type="dxa"/>
            <w:vAlign w:val="bottom"/>
          </w:tcPr>
          <w:p>
            <w:pPr>
              <w:spacing w:after="0"/>
              <w:rPr>
                <w:sz w:val="19"/>
                <w:szCs w:val="19"/>
                <w:color w:val="auto"/>
              </w:rPr>
            </w:pPr>
          </w:p>
        </w:tc>
        <w:tc>
          <w:tcPr>
            <w:tcW w:w="720" w:type="dxa"/>
            <w:vAlign w:val="bottom"/>
            <w:tcBorders>
              <w:bottom w:val="single" w:sz="8" w:color="auto"/>
            </w:tcBorders>
          </w:tcPr>
          <w:p>
            <w:pPr>
              <w:jc w:val="right"/>
              <w:ind w:right="526"/>
              <w:spacing w:after="0"/>
              <w:rPr>
                <w:sz w:val="20"/>
                <w:szCs w:val="20"/>
                <w:color w:val="auto"/>
              </w:rPr>
            </w:pPr>
            <w:r>
              <w:rPr>
                <w:rFonts w:ascii="Arial" w:cs="Arial" w:eastAsia="Arial" w:hAnsi="Arial"/>
                <w:sz w:val="19"/>
                <w:szCs w:val="19"/>
                <w:color w:val="auto"/>
                <w:w w:val="7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404.5</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30.6</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420.6</w:t>
            </w:r>
          </w:p>
        </w:tc>
        <w:tc>
          <w:tcPr>
            <w:tcW w:w="320" w:type="dxa"/>
            <w:vAlign w:val="bottom"/>
          </w:tcPr>
          <w:p>
            <w:pPr>
              <w:spacing w:after="0"/>
              <w:rPr>
                <w:sz w:val="19"/>
                <w:szCs w:val="19"/>
                <w:color w:val="auto"/>
              </w:rPr>
            </w:pPr>
          </w:p>
        </w:tc>
        <w:tc>
          <w:tcPr>
            <w:tcW w:w="1280" w:type="dxa"/>
            <w:vAlign w:val="bottom"/>
          </w:tcPr>
          <w:p>
            <w:pPr>
              <w:ind w:left="940"/>
              <w:spacing w:after="0"/>
              <w:rPr>
                <w:sz w:val="20"/>
                <w:szCs w:val="20"/>
                <w:color w:val="auto"/>
              </w:rPr>
            </w:pPr>
            <w:r>
              <w:rPr>
                <w:rFonts w:ascii="Arial" w:cs="Arial" w:eastAsia="Arial" w:hAnsi="Arial"/>
                <w:sz w:val="19"/>
                <w:szCs w:val="19"/>
                <w:color w:val="auto"/>
                <w:w w:val="86"/>
              </w:rPr>
              <w:t>29.6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160" w:type="dxa"/>
            <w:vAlign w:val="bottom"/>
            <w:gridSpan w:val="7"/>
          </w:tcPr>
          <w:p>
            <w:pPr>
              <w:spacing w:after="0"/>
              <w:rPr>
                <w:sz w:val="20"/>
                <w:szCs w:val="20"/>
                <w:color w:val="auto"/>
              </w:rPr>
            </w:pPr>
            <w:r>
              <w:rPr>
                <w:rFonts w:ascii="Arial" w:cs="Arial" w:eastAsia="Arial" w:hAnsi="Arial"/>
                <w:sz w:val="20"/>
                <w:szCs w:val="20"/>
                <w:color w:val="auto"/>
              </w:rPr>
              <w:t>The following presents a rollforward of aggregates products gross profit (dollars in millions):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5620" w:type="dxa"/>
            <w:vAlign w:val="bottom"/>
            <w:gridSpan w:val="3"/>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620" w:type="dxa"/>
            <w:vAlign w:val="bottom"/>
            <w:gridSpan w:val="3"/>
            <w:shd w:val="clear" w:color="auto" w:fill="CFF0FC"/>
          </w:tcPr>
          <w:p>
            <w:pPr>
              <w:spacing w:after="0"/>
              <w:rPr>
                <w:sz w:val="20"/>
                <w:szCs w:val="20"/>
                <w:color w:val="auto"/>
              </w:rPr>
            </w:pPr>
            <w:r>
              <w:rPr>
                <w:rFonts w:ascii="Arial" w:cs="Arial" w:eastAsia="Arial" w:hAnsi="Arial"/>
                <w:sz w:val="20"/>
                <w:szCs w:val="20"/>
                <w:color w:val="auto"/>
                <w:w w:val="91"/>
              </w:rPr>
              <w:t>Aggregates products gross profit, quarter ended September 30, 2019</w:t>
            </w:r>
          </w:p>
        </w:tc>
        <w:tc>
          <w:tcPr>
            <w:tcW w:w="6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23"/>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287.1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260"/>
              <w:spacing w:after="0"/>
              <w:rPr>
                <w:sz w:val="20"/>
                <w:szCs w:val="20"/>
                <w:color w:val="auto"/>
              </w:rPr>
            </w:pPr>
            <w:r>
              <w:rPr>
                <w:rFonts w:ascii="Arial" w:cs="Arial" w:eastAsia="Arial" w:hAnsi="Arial"/>
                <w:sz w:val="20"/>
                <w:szCs w:val="20"/>
                <w:color w:val="auto"/>
              </w:rPr>
              <w:t>Volume</w:t>
            </w: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20"/>
                <w:szCs w:val="20"/>
                <w:color w:val="auto"/>
              </w:rPr>
              <w:t>(38.7)</w:t>
            </w: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ind w:left="940"/>
              <w:spacing w:after="0"/>
              <w:rPr>
                <w:sz w:val="20"/>
                <w:szCs w:val="20"/>
                <w:color w:val="auto"/>
              </w:rPr>
            </w:pPr>
            <w:r>
              <w:rPr>
                <w:rFonts w:ascii="Arial" w:cs="Arial" w:eastAsia="Arial" w:hAnsi="Arial"/>
                <w:sz w:val="20"/>
                <w:szCs w:val="20"/>
                <w:color w:val="auto"/>
                <w:w w:val="87"/>
              </w:rPr>
              <w:t>19.9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60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ind w:left="940"/>
              <w:spacing w:after="0"/>
              <w:rPr>
                <w:sz w:val="20"/>
                <w:szCs w:val="20"/>
                <w:color w:val="auto"/>
              </w:rPr>
            </w:pPr>
            <w:r>
              <w:rPr>
                <w:rFonts w:ascii="Arial" w:cs="Arial" w:eastAsia="Arial" w:hAnsi="Arial"/>
                <w:sz w:val="20"/>
                <w:szCs w:val="20"/>
                <w:color w:val="auto"/>
                <w:w w:val="87"/>
              </w:rPr>
              <w:t>10.8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Change in aggregates products gross profit</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36"/>
        </w:trPr>
        <w:tc>
          <w:tcPr>
            <w:tcW w:w="5620" w:type="dxa"/>
            <w:vAlign w:val="bottom"/>
            <w:gridSpan w:val="3"/>
          </w:tcPr>
          <w:p>
            <w:pPr>
              <w:spacing w:after="0"/>
              <w:rPr>
                <w:sz w:val="20"/>
                <w:szCs w:val="20"/>
                <w:color w:val="auto"/>
              </w:rPr>
            </w:pPr>
            <w:r>
              <w:rPr>
                <w:rFonts w:ascii="Arial" w:cs="Arial" w:eastAsia="Arial" w:hAnsi="Arial"/>
                <w:sz w:val="20"/>
                <w:szCs w:val="20"/>
                <w:color w:val="auto"/>
                <w:w w:val="91"/>
              </w:rPr>
              <w:t>Aggregates products gross profit, quarter ended September 30, 2020</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5"/>
          <w:szCs w:val="15"/>
          <w:i w:val="1"/>
          <w:iCs w:val="1"/>
          <w:color w:val="auto"/>
        </w:rPr>
      </w:pPr>
      <w:r>
        <w:rPr>
          <w:rFonts w:ascii="Arial" w:cs="Arial" w:eastAsia="Arial" w:hAnsi="Arial"/>
          <w:sz w:val="18"/>
          <w:szCs w:val="18"/>
          <w:i w:val="1"/>
          <w:iCs w:val="1"/>
          <w:color w:val="auto"/>
        </w:rPr>
        <w:t>Inclusive of cost increases/decreases, product and geographic mix and other operating impacts</w:t>
      </w:r>
    </w:p>
    <w:p>
      <w:pPr>
        <w:spacing w:after="0" w:line="200" w:lineRule="exact"/>
        <w:rPr>
          <w:rFonts w:ascii="Arial" w:cs="Arial" w:eastAsia="Arial" w:hAnsi="Arial"/>
          <w:sz w:val="15"/>
          <w:szCs w:val="15"/>
          <w:i w:val="1"/>
          <w:iCs w:val="1"/>
          <w:color w:val="auto"/>
        </w:rPr>
      </w:pPr>
    </w:p>
    <w:p>
      <w:pPr>
        <w:spacing w:after="0" w:line="360" w:lineRule="exact"/>
        <w:rPr>
          <w:rFonts w:ascii="Arial" w:cs="Arial" w:eastAsia="Arial" w:hAnsi="Arial"/>
          <w:sz w:val="15"/>
          <w:szCs w:val="15"/>
          <w:i w:val="1"/>
          <w:iCs w:val="1"/>
          <w:color w:val="auto"/>
        </w:rPr>
      </w:pPr>
    </w:p>
    <w:p>
      <w:pPr>
        <w:ind w:left="5080"/>
        <w:spacing w:after="0"/>
        <w:rPr>
          <w:rFonts w:ascii="Arial" w:cs="Arial" w:eastAsia="Arial" w:hAnsi="Arial"/>
          <w:sz w:val="15"/>
          <w:szCs w:val="15"/>
          <w:i w:val="1"/>
          <w:iCs w:val="1"/>
          <w:color w:val="auto"/>
        </w:rPr>
      </w:pPr>
      <w:r>
        <w:rPr>
          <w:rFonts w:ascii="Arial" w:cs="Arial" w:eastAsia="Arial" w:hAnsi="Arial"/>
          <w:sz w:val="20"/>
          <w:szCs w:val="20"/>
          <w:color w:val="auto"/>
        </w:rPr>
        <w:t>Page 30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20"/>
                <w:szCs w:val="20"/>
                <w:color w:val="auto"/>
                <w:w w:val="92"/>
              </w:rPr>
              <w:t>Three Months Ended September 30,</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1221"/>
              <w:spacing w:after="0"/>
              <w:rPr>
                <w:sz w:val="20"/>
                <w:szCs w:val="20"/>
                <w:color w:val="auto"/>
              </w:rPr>
            </w:pPr>
            <w:r>
              <w:rPr>
                <w:rFonts w:ascii="Arial" w:cs="Arial" w:eastAsia="Arial" w:hAnsi="Arial"/>
                <w:sz w:val="20"/>
                <w:szCs w:val="20"/>
                <w:color w:val="auto"/>
              </w:rPr>
              <w:t>2020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2019</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ind w:left="1"/>
              <w:spacing w:after="0" w:line="220" w:lineRule="exact"/>
              <w:rPr>
                <w:sz w:val="20"/>
                <w:szCs w:val="20"/>
                <w:color w:val="auto"/>
              </w:rPr>
            </w:pPr>
            <w:r>
              <w:rPr>
                <w:rFonts w:ascii="Arial" w:cs="Arial" w:eastAsia="Arial" w:hAnsi="Arial"/>
                <w:sz w:val="20"/>
                <w:szCs w:val="20"/>
                <w:color w:val="auto"/>
                <w:w w:val="94"/>
              </w:rPr>
              <w:t>% of</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center"/>
              <w:ind w:right="101"/>
              <w:spacing w:after="0" w:line="220" w:lineRule="exact"/>
              <w:rPr>
                <w:sz w:val="20"/>
                <w:szCs w:val="20"/>
                <w:color w:val="auto"/>
              </w:rPr>
            </w:pPr>
            <w:r>
              <w:rPr>
                <w:rFonts w:ascii="Arial" w:cs="Arial" w:eastAsia="Arial" w:hAnsi="Arial"/>
                <w:sz w:val="20"/>
                <w:szCs w:val="20"/>
                <w:color w:val="auto"/>
                <w:w w:val="94"/>
              </w:rPr>
              <w:t>% of</w:t>
            </w:r>
          </w:p>
        </w:tc>
        <w:tc>
          <w:tcPr>
            <w:tcW w:w="120" w:type="dxa"/>
            <w:vAlign w:val="bottom"/>
          </w:tcPr>
          <w:p>
            <w:pPr>
              <w:spacing w:after="0"/>
              <w:rPr>
                <w:sz w:val="19"/>
                <w:szCs w:val="19"/>
                <w:color w:val="auto"/>
              </w:rPr>
            </w:pPr>
          </w:p>
        </w:tc>
      </w:tr>
      <w:tr>
        <w:trPr>
          <w:trHeight w:val="246"/>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20"/>
                <w:szCs w:val="20"/>
                <w:color w:val="auto"/>
              </w:rPr>
              <w:t>Amount</w:t>
            </w:r>
          </w:p>
        </w:tc>
        <w:tc>
          <w:tcPr>
            <w:tcW w:w="1720" w:type="dxa"/>
            <w:vAlign w:val="bottom"/>
            <w:gridSpan w:val="2"/>
          </w:tcPr>
          <w:p>
            <w:pPr>
              <w:jc w:val="center"/>
              <w:ind w:right="120"/>
              <w:spacing w:after="0"/>
              <w:rPr>
                <w:sz w:val="20"/>
                <w:szCs w:val="20"/>
                <w:color w:val="auto"/>
              </w:rPr>
            </w:pPr>
            <w:r>
              <w:rPr>
                <w:rFonts w:ascii="Arial" w:cs="Arial" w:eastAsia="Arial" w:hAnsi="Arial"/>
                <w:sz w:val="20"/>
                <w:szCs w:val="20"/>
                <w:color w:val="auto"/>
                <w:w w:val="84"/>
              </w:rPr>
              <w:t>Revenues</w:t>
            </w:r>
          </w:p>
        </w:tc>
        <w:tc>
          <w:tcPr>
            <w:tcW w:w="220" w:type="dxa"/>
            <w:vAlign w:val="bottom"/>
          </w:tcPr>
          <w:p>
            <w:pPr>
              <w:spacing w:after="0"/>
              <w:rPr>
                <w:sz w:val="21"/>
                <w:szCs w:val="21"/>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4"/>
              </w:rPr>
              <w:t>Revenues</w:t>
            </w:r>
          </w:p>
        </w:tc>
      </w:tr>
      <w:tr>
        <w:trPr>
          <w:trHeight w:val="237"/>
        </w:trPr>
        <w:tc>
          <w:tcPr>
            <w:tcW w:w="49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3500" w:type="dxa"/>
            <w:vAlign w:val="bottom"/>
            <w:tcBorders>
              <w:top w:val="single" w:sz="8" w:color="auto"/>
            </w:tcBorders>
            <w:gridSpan w:val="5"/>
            <w:shd w:val="clear" w:color="auto" w:fill="CFF0FC"/>
          </w:tcPr>
          <w:p>
            <w:pPr>
              <w:jc w:val="right"/>
              <w:ind w:right="1120"/>
              <w:spacing w:after="0"/>
              <w:rPr>
                <w:sz w:val="20"/>
                <w:szCs w:val="20"/>
                <w:color w:val="auto"/>
              </w:rPr>
            </w:pPr>
            <w:r>
              <w:rPr>
                <w:rFonts w:ascii="Arial" w:cs="Arial" w:eastAsia="Arial" w:hAnsi="Arial"/>
                <w:sz w:val="20"/>
                <w:szCs w:val="20"/>
                <w:i w:val="1"/>
                <w:iCs w:val="1"/>
                <w:color w:val="auto"/>
              </w:rPr>
              <w:t>(Dollars in Millions)</w:t>
            </w:r>
          </w:p>
        </w:tc>
        <w:tc>
          <w:tcPr>
            <w:tcW w:w="11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20"/>
                <w:szCs w:val="20"/>
                <w:color w:val="auto"/>
              </w:rPr>
              <w:t>East Group</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24.9</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21.3</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34.2</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29.3</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59.1</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50.6</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w:t>
            </w:r>
          </w:p>
        </w:tc>
        <w:tc>
          <w:tcPr>
            <w:tcW w:w="200" w:type="dxa"/>
            <w:vAlign w:val="bottom"/>
            <w:tcBorders>
              <w:bottom w:val="single" w:sz="8" w:color="CFF0FC"/>
            </w:tcBorders>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71.1</w:t>
            </w:r>
          </w:p>
        </w:tc>
        <w:tc>
          <w:tcPr>
            <w:tcW w:w="2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78.2</w:t>
            </w:r>
          </w:p>
        </w:tc>
        <w:tc>
          <w:tcPr>
            <w:tcW w:w="4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East Group</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181.4</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190.8</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r>
              <w:rPr>
                <w:rFonts w:ascii="Arial" w:cs="Arial" w:eastAsia="Arial" w:hAnsi="Arial"/>
                <w:sz w:val="16"/>
                <w:szCs w:val="16"/>
                <w:color w:val="auto"/>
              </w:rPr>
              <w:t>(1)</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212.3</w:t>
            </w:r>
          </w:p>
        </w:tc>
        <w:tc>
          <w:tcPr>
            <w:tcW w:w="200" w:type="dxa"/>
            <w:vAlign w:val="bottom"/>
            <w:tcBorders>
              <w:bottom w:val="single" w:sz="8" w:color="CFF0FC"/>
            </w:tcBorders>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156.8</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393.7</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347.6</w:t>
            </w: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16.4</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20.1</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(9.5)</w:t>
            </w: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(22.4)</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400.6</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30.3</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345.3</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24.3</w:t>
            </w:r>
          </w:p>
        </w:tc>
        <w:tc>
          <w:tcPr>
            <w:tcW w:w="12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5"/>
          <w:szCs w:val="15"/>
          <w:i w:val="1"/>
          <w:iCs w:val="1"/>
          <w:color w:val="auto"/>
        </w:rPr>
      </w:pPr>
      <w:r>
        <w:rPr>
          <w:rFonts w:ascii="Arial" w:cs="Arial" w:eastAsia="Arial" w:hAnsi="Arial"/>
          <w:sz w:val="18"/>
          <w:szCs w:val="18"/>
          <w:i w:val="1"/>
          <w:iCs w:val="1"/>
          <w:color w:val="auto"/>
        </w:rPr>
        <w:t>2020 amounts include nonrecurring gains on sales of investment land and divested assets of $69.9 million</w:t>
      </w:r>
    </w:p>
    <w:p>
      <w:pPr>
        <w:spacing w:after="0" w:line="222" w:lineRule="exact"/>
        <w:rPr>
          <w:rFonts w:ascii="Arial" w:cs="Arial" w:eastAsia="Arial" w:hAnsi="Arial"/>
          <w:sz w:val="15"/>
          <w:szCs w:val="15"/>
          <w:i w:val="1"/>
          <w:iCs w:val="1"/>
          <w:color w:val="auto"/>
        </w:rPr>
      </w:pPr>
    </w:p>
    <w:p>
      <w:pPr>
        <w:ind w:left="5080"/>
        <w:spacing w:after="0"/>
        <w:rPr>
          <w:rFonts w:ascii="Arial" w:cs="Arial" w:eastAsia="Arial" w:hAnsi="Arial"/>
          <w:sz w:val="15"/>
          <w:szCs w:val="15"/>
          <w:i w:val="1"/>
          <w:iCs w:val="1"/>
          <w:color w:val="auto"/>
        </w:rPr>
      </w:pPr>
      <w:r>
        <w:rPr>
          <w:rFonts w:ascii="Arial" w:cs="Arial" w:eastAsia="Arial" w:hAnsi="Arial"/>
          <w:sz w:val="20"/>
          <w:szCs w:val="20"/>
          <w:color w:val="auto"/>
        </w:rPr>
        <w:t>Page 31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243" w:lineRule="exact"/>
        <w:rPr>
          <w:sz w:val="20"/>
          <w:szCs w:val="20"/>
          <w:color w:val="auto"/>
        </w:rPr>
      </w:pPr>
    </w:p>
    <w:p>
      <w:pPr>
        <w:ind w:left="810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ind w:left="8140"/>
        <w:spacing w:after="0"/>
        <w:rPr>
          <w:sz w:val="20"/>
          <w:szCs w:val="20"/>
          <w:color w:val="auto"/>
        </w:rPr>
      </w:pPr>
      <w:r>
        <w:rPr>
          <w:rFonts w:ascii="Arial" w:cs="Arial" w:eastAsia="Arial" w:hAnsi="Arial"/>
          <w:sz w:val="20"/>
          <w:szCs w:val="20"/>
          <w:color w:val="auto"/>
        </w:rPr>
        <w:t>September 30,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0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Volume</w:t>
            </w:r>
          </w:p>
        </w:tc>
        <w:tc>
          <w:tcPr>
            <w:tcW w:w="4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FF0FC"/>
            </w:tcBorders>
          </w:tcPr>
          <w:p>
            <w:pPr>
              <w:spacing w:after="0"/>
              <w:rPr>
                <w:sz w:val="20"/>
                <w:szCs w:val="20"/>
                <w:color w:val="auto"/>
              </w:rPr>
            </w:pPr>
          </w:p>
        </w:tc>
        <w:tc>
          <w:tcPr>
            <w:tcW w:w="20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Pricing</w:t>
            </w:r>
          </w:p>
        </w:tc>
        <w:tc>
          <w:tcPr>
            <w:tcW w:w="4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Volume/Pricing variance</w:t>
            </w:r>
            <w:r>
              <w:rPr>
                <w:rFonts w:ascii="Arial" w:cs="Arial" w:eastAsia="Arial" w:hAnsi="Arial"/>
                <w:sz w:val="16"/>
                <w:szCs w:val="16"/>
                <w:color w:val="auto"/>
              </w:rPr>
              <w:t>(1)</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East Group</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(8.8)%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43"/>
        </w:trPr>
        <w:tc>
          <w:tcPr>
            <w:tcW w:w="824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(8.4)%</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50"/>
        </w:trPr>
        <w:tc>
          <w:tcPr>
            <w:tcW w:w="8240" w:type="dxa"/>
            <w:vAlign w:val="bottom"/>
            <w:gridSpan w:val="3"/>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(8.7)%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448"/>
        </w:trPr>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gridSpan w:val="5"/>
          </w:tcPr>
          <w:p>
            <w:pPr>
              <w:jc w:val="center"/>
              <w:ind w:right="441"/>
              <w:spacing w:after="0"/>
              <w:rPr>
                <w:sz w:val="20"/>
                <w:szCs w:val="20"/>
                <w:color w:val="auto"/>
              </w:rPr>
            </w:pPr>
            <w:r>
              <w:rPr>
                <w:rFonts w:ascii="Arial" w:cs="Arial" w:eastAsia="Arial" w:hAnsi="Arial"/>
                <w:sz w:val="20"/>
                <w:szCs w:val="20"/>
                <w:color w:val="auto"/>
                <w:w w:val="88"/>
              </w:rPr>
              <w:t>Three Months Ended</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5"/>
          </w:tcPr>
          <w:p>
            <w:pPr>
              <w:jc w:val="center"/>
              <w:ind w:right="441"/>
              <w:spacing w:after="0"/>
              <w:rPr>
                <w:sz w:val="20"/>
                <w:szCs w:val="20"/>
                <w:color w:val="auto"/>
              </w:rPr>
            </w:pPr>
            <w:r>
              <w:rPr>
                <w:rFonts w:ascii="Arial" w:cs="Arial" w:eastAsia="Arial" w:hAnsi="Arial"/>
                <w:sz w:val="20"/>
                <w:szCs w:val="20"/>
                <w:color w:val="auto"/>
                <w:w w:val="86"/>
              </w:rPr>
              <w:t>September 30,</w:t>
            </w: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gridSpan w:val="2"/>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2280" w:type="dxa"/>
            <w:vAlign w:val="bottom"/>
            <w:tcBorders>
              <w:bottom w:val="single" w:sz="8" w:color="auto"/>
            </w:tcBorders>
            <w:gridSpan w:val="5"/>
          </w:tcPr>
          <w:p>
            <w:pPr>
              <w:jc w:val="right"/>
              <w:ind w:right="41"/>
              <w:spacing w:after="0"/>
              <w:rPr>
                <w:sz w:val="20"/>
                <w:szCs w:val="20"/>
                <w:color w:val="auto"/>
              </w:rPr>
            </w:pPr>
            <w:r>
              <w:rPr>
                <w:rFonts w:ascii="Arial" w:cs="Arial" w:eastAsia="Arial" w:hAnsi="Arial"/>
                <w:sz w:val="20"/>
                <w:szCs w:val="20"/>
                <w:color w:val="auto"/>
              </w:rPr>
              <w:t>2019</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24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2280" w:type="dxa"/>
            <w:vAlign w:val="bottom"/>
            <w:gridSpan w:val="5"/>
          </w:tcPr>
          <w:p>
            <w:pPr>
              <w:jc w:val="center"/>
              <w:ind w:right="441"/>
              <w:spacing w:after="0"/>
              <w:rPr>
                <w:sz w:val="20"/>
                <w:szCs w:val="20"/>
                <w:color w:val="auto"/>
              </w:rPr>
            </w:pPr>
            <w:r>
              <w:rPr>
                <w:rFonts w:ascii="Arial" w:cs="Arial" w:eastAsia="Arial" w:hAnsi="Arial"/>
                <w:sz w:val="20"/>
                <w:szCs w:val="20"/>
                <w:i w:val="1"/>
                <w:iCs w:val="1"/>
                <w:color w:val="auto"/>
                <w:w w:val="93"/>
              </w:rPr>
              <w:t>(Tons in Millions)</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240" w:type="dxa"/>
            <w:vAlign w:val="bottom"/>
            <w:gridSpan w:val="3"/>
            <w:vMerge w:val="continue"/>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East Group</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33.7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20"/>
                <w:szCs w:val="20"/>
                <w:color w:val="auto"/>
              </w:rPr>
              <w:t>37.0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18.1</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19.7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gridSpan w:val="2"/>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15"/>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15"/>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Third-quarter aggregates shipments declined 8.7% compared with the robust prior-year quarter. Aggregates shipments to the infrastructure and nonresidential end-use markets declined, while shipments to the residential market increased slightly. Aggregates pricing improved 2.7%, or 4.0% on a mix-adjusted basis. East Group shipments decreased 8.8%, reflecting weather-delayed projects in the Mid-Atlantic and Southeast, anticipated lower infrastructure shipments in portions of North Carolina and reduced wind energy construction activity in the Midwest. West Group shipments decreased 8.4%, primarily due to reduced energy-sector shipments. East Group pricing increased 4.4% with solid improvements in both the East and Central Divisions. Pricing decreased 0.6% in the West Group, as a lower percentage of higher-priced commercial rail-shipped volumes in Houston offset price increases in the Company’s other Texas markets and Colorado. On a mix-adjusted basis, West Group pricing increased 3.9%.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108" w:lineRule="exact"/>
        <w:rPr>
          <w:sz w:val="20"/>
          <w:szCs w:val="20"/>
          <w:color w:val="auto"/>
        </w:rPr>
      </w:pPr>
    </w:p>
    <w:p>
      <w:pPr>
        <w:jc w:val="center"/>
        <w:ind w:left="758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7580"/>
        <w:spacing w:after="0"/>
        <w:rPr>
          <w:sz w:val="20"/>
          <w:szCs w:val="20"/>
          <w:color w:val="auto"/>
        </w:rPr>
      </w:pPr>
      <w:r>
        <w:rPr>
          <w:rFonts w:ascii="Arial" w:cs="Arial" w:eastAsia="Arial" w:hAnsi="Arial"/>
          <w:sz w:val="20"/>
          <w:szCs w:val="20"/>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2020</w:t>
            </w:r>
          </w:p>
        </w:tc>
        <w:tc>
          <w:tcPr>
            <w:tcW w:w="4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20"/>
                <w:szCs w:val="20"/>
                <w:b w:val="1"/>
                <w:bCs w:val="1"/>
                <w:color w:val="auto"/>
              </w:rPr>
              <w:t>Shipments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8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(in millions):</w:t>
            </w: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8820" w:type="dxa"/>
            <w:vAlign w:val="bottom"/>
            <w:gridSpan w:val="2"/>
          </w:tcPr>
          <w:p>
            <w:pPr>
              <w:ind w:left="380"/>
              <w:spacing w:after="0"/>
              <w:rPr>
                <w:sz w:val="20"/>
                <w:szCs w:val="20"/>
                <w:color w:val="auto"/>
              </w:rPr>
            </w:pPr>
            <w:r>
              <w:rPr>
                <w:rFonts w:ascii="Arial" w:cs="Arial" w:eastAsia="Arial" w:hAnsi="Arial"/>
                <w:sz w:val="20"/>
                <w:szCs w:val="20"/>
                <w:color w:val="auto"/>
              </w:rPr>
              <w:t>Tons to external customers</w:t>
            </w:r>
          </w:p>
        </w:tc>
        <w:tc>
          <w:tcPr>
            <w:tcW w:w="460" w:type="dxa"/>
            <w:vAlign w:val="bottom"/>
          </w:tcPr>
          <w:p>
            <w:pPr>
              <w:jc w:val="right"/>
              <w:spacing w:after="0"/>
              <w:rPr>
                <w:sz w:val="20"/>
                <w:szCs w:val="20"/>
                <w:color w:val="auto"/>
              </w:rPr>
            </w:pPr>
            <w:r>
              <w:rPr>
                <w:rFonts w:ascii="Arial" w:cs="Arial" w:eastAsia="Arial" w:hAnsi="Arial"/>
                <w:sz w:val="20"/>
                <w:szCs w:val="20"/>
                <w:color w:val="auto"/>
              </w:rPr>
              <w:t>48.1</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53.6</w:t>
            </w:r>
          </w:p>
        </w:tc>
        <w:tc>
          <w:tcPr>
            <w:tcW w:w="120" w:type="dxa"/>
            <w:vAlign w:val="bottom"/>
          </w:tcPr>
          <w:p>
            <w:pPr>
              <w:spacing w:after="0"/>
              <w:rPr>
                <w:sz w:val="21"/>
                <w:szCs w:val="21"/>
                <w:color w:val="auto"/>
              </w:rPr>
            </w:pPr>
          </w:p>
        </w:tc>
      </w:tr>
      <w:tr>
        <w:trPr>
          <w:trHeight w:val="243"/>
        </w:trPr>
        <w:tc>
          <w:tcPr>
            <w:tcW w:w="8820" w:type="dxa"/>
            <w:vAlign w:val="bottom"/>
            <w:gridSpan w:val="2"/>
            <w:shd w:val="clear" w:color="auto" w:fill="CFF0FC"/>
          </w:tcPr>
          <w:p>
            <w:pPr>
              <w:ind w:left="380"/>
              <w:spacing w:after="0"/>
              <w:rPr>
                <w:sz w:val="20"/>
                <w:szCs w:val="20"/>
                <w:color w:val="auto"/>
              </w:rPr>
            </w:pPr>
            <w:r>
              <w:rPr>
                <w:rFonts w:ascii="Arial" w:cs="Arial" w:eastAsia="Arial" w:hAnsi="Arial"/>
                <w:sz w:val="20"/>
                <w:szCs w:val="20"/>
                <w:color w:val="auto"/>
              </w:rPr>
              <w:t>Internal tons used in other product lines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w:t>
            </w:r>
          </w:p>
        </w:tc>
        <w:tc>
          <w:tcPr>
            <w:tcW w:w="120" w:type="dxa"/>
            <w:vAlign w:val="bottom"/>
            <w:shd w:val="clear" w:color="auto" w:fill="CFF0FC"/>
          </w:tcPr>
          <w:p>
            <w:pPr>
              <w:spacing w:after="0"/>
              <w:rPr>
                <w:sz w:val="21"/>
                <w:szCs w:val="21"/>
                <w:color w:val="auto"/>
              </w:rPr>
            </w:pPr>
          </w:p>
        </w:tc>
      </w:tr>
      <w:tr>
        <w:trPr>
          <w:trHeight w:val="277"/>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Total aggregates tons</w:t>
            </w:r>
          </w:p>
        </w:tc>
        <w:tc>
          <w:tcPr>
            <w:tcW w:w="1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51.8</w:t>
            </w:r>
          </w:p>
        </w:tc>
        <w:tc>
          <w:tcPr>
            <w:tcW w:w="280" w:type="dxa"/>
            <w:vAlign w:val="bottom"/>
            <w:tcBorders>
              <w:bottom w:val="single" w:sz="8" w:color="CFF0FC"/>
            </w:tcBorders>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56.7</w:t>
            </w:r>
          </w:p>
        </w:tc>
        <w:tc>
          <w:tcPr>
            <w:tcW w:w="120" w:type="dxa"/>
            <w:vAlign w:val="bottom"/>
            <w:tcBorders>
              <w:bottom w:val="single" w:sz="8" w:color="CFF0FC"/>
            </w:tcBorders>
          </w:tcPr>
          <w:p>
            <w:pPr>
              <w:spacing w:after="0"/>
              <w:rPr>
                <w:sz w:val="24"/>
                <w:szCs w:val="24"/>
                <w:color w:val="auto"/>
              </w:rPr>
            </w:pPr>
          </w:p>
        </w:tc>
      </w:tr>
      <w:tr>
        <w:trPr>
          <w:trHeight w:val="223"/>
        </w:trPr>
        <w:tc>
          <w:tcPr>
            <w:tcW w:w="77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Cement (in millions):</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8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Tons to external customers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0.7</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0.8</w:t>
            </w:r>
          </w:p>
        </w:tc>
        <w:tc>
          <w:tcPr>
            <w:tcW w:w="120" w:type="dxa"/>
            <w:vAlign w:val="bottom"/>
            <w:shd w:val="clear" w:color="auto" w:fill="CFF0FC"/>
          </w:tcPr>
          <w:p>
            <w:pPr>
              <w:spacing w:after="0"/>
              <w:rPr>
                <w:sz w:val="21"/>
                <w:szCs w:val="21"/>
                <w:color w:val="auto"/>
              </w:rPr>
            </w:pPr>
          </w:p>
        </w:tc>
      </w:tr>
      <w:tr>
        <w:trPr>
          <w:trHeight w:val="243"/>
        </w:trPr>
        <w:tc>
          <w:tcPr>
            <w:tcW w:w="8820" w:type="dxa"/>
            <w:vAlign w:val="bottom"/>
            <w:gridSpan w:val="2"/>
          </w:tcPr>
          <w:p>
            <w:pPr>
              <w:ind w:left="140"/>
              <w:spacing w:after="0"/>
              <w:rPr>
                <w:sz w:val="20"/>
                <w:szCs w:val="20"/>
                <w:color w:val="auto"/>
              </w:rPr>
            </w:pPr>
            <w:r>
              <w:rPr>
                <w:rFonts w:ascii="Arial" w:cs="Arial" w:eastAsia="Arial" w:hAnsi="Arial"/>
                <w:sz w:val="20"/>
                <w:szCs w:val="20"/>
                <w:color w:val="auto"/>
              </w:rPr>
              <w:t>Internal tons used in ready mixed concrete</w:t>
            </w:r>
          </w:p>
        </w:tc>
        <w:tc>
          <w:tcPr>
            <w:tcW w:w="460" w:type="dxa"/>
            <w:vAlign w:val="bottom"/>
          </w:tcPr>
          <w:p>
            <w:pPr>
              <w:jc w:val="right"/>
              <w:spacing w:after="0"/>
              <w:rPr>
                <w:sz w:val="20"/>
                <w:szCs w:val="20"/>
                <w:color w:val="auto"/>
              </w:rPr>
            </w:pPr>
            <w:r>
              <w:rPr>
                <w:rFonts w:ascii="Arial" w:cs="Arial" w:eastAsia="Arial" w:hAnsi="Arial"/>
                <w:sz w:val="20"/>
                <w:szCs w:val="20"/>
                <w:color w:val="auto"/>
              </w:rPr>
              <w:t>0.3</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0.3</w:t>
            </w:r>
          </w:p>
        </w:tc>
        <w:tc>
          <w:tcPr>
            <w:tcW w:w="120" w:type="dxa"/>
            <w:vAlign w:val="bottom"/>
          </w:tcPr>
          <w:p>
            <w:pPr>
              <w:spacing w:after="0"/>
              <w:rPr>
                <w:sz w:val="21"/>
                <w:szCs w:val="21"/>
                <w:color w:val="auto"/>
              </w:rPr>
            </w:pPr>
          </w:p>
        </w:tc>
      </w:tr>
      <w:tr>
        <w:trPr>
          <w:trHeight w:val="237"/>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88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Ready Mixed Concrete (in millions of cubic yards)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120" w:type="dxa"/>
            <w:vAlign w:val="bottom"/>
            <w:shd w:val="clear" w:color="auto" w:fill="CFF0FC"/>
          </w:tcPr>
          <w:p>
            <w:pPr>
              <w:spacing w:after="0"/>
              <w:rPr>
                <w:sz w:val="21"/>
                <w:szCs w:val="21"/>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23"/>
        </w:trPr>
        <w:tc>
          <w:tcPr>
            <w:tcW w:w="7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88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Asphalt (in millions):</w:t>
            </w: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8820" w:type="dxa"/>
            <w:vAlign w:val="bottom"/>
            <w:gridSpan w:val="2"/>
          </w:tcPr>
          <w:p>
            <w:pPr>
              <w:ind w:left="260"/>
              <w:spacing w:after="0"/>
              <w:rPr>
                <w:sz w:val="20"/>
                <w:szCs w:val="20"/>
                <w:color w:val="auto"/>
              </w:rPr>
            </w:pPr>
            <w:r>
              <w:rPr>
                <w:rFonts w:ascii="Arial" w:cs="Arial" w:eastAsia="Arial" w:hAnsi="Arial"/>
                <w:sz w:val="20"/>
                <w:szCs w:val="20"/>
                <w:color w:val="auto"/>
              </w:rPr>
              <w:t>Tons to external customers</w:t>
            </w:r>
          </w:p>
        </w:tc>
        <w:tc>
          <w:tcPr>
            <w:tcW w:w="460" w:type="dxa"/>
            <w:vAlign w:val="bottom"/>
          </w:tcPr>
          <w:p>
            <w:pPr>
              <w:jc w:val="right"/>
              <w:spacing w:after="0"/>
              <w:rPr>
                <w:sz w:val="20"/>
                <w:szCs w:val="20"/>
                <w:color w:val="auto"/>
              </w:rPr>
            </w:pPr>
            <w:r>
              <w:rPr>
                <w:rFonts w:ascii="Arial" w:cs="Arial" w:eastAsia="Arial" w:hAnsi="Arial"/>
                <w:sz w:val="20"/>
                <w:szCs w:val="20"/>
                <w:color w:val="auto"/>
              </w:rPr>
              <w:t>0.3</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0.4</w:t>
            </w:r>
          </w:p>
        </w:tc>
        <w:tc>
          <w:tcPr>
            <w:tcW w:w="120" w:type="dxa"/>
            <w:vAlign w:val="bottom"/>
          </w:tcPr>
          <w:p>
            <w:pPr>
              <w:spacing w:after="0"/>
              <w:rPr>
                <w:sz w:val="21"/>
                <w:szCs w:val="21"/>
                <w:color w:val="auto"/>
              </w:rPr>
            </w:pPr>
          </w:p>
        </w:tc>
      </w:tr>
      <w:tr>
        <w:trPr>
          <w:trHeight w:val="243"/>
        </w:trPr>
        <w:tc>
          <w:tcPr>
            <w:tcW w:w="88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Internal tons used in paving business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120" w:type="dxa"/>
            <w:vAlign w:val="bottom"/>
            <w:shd w:val="clear" w:color="auto" w:fill="CFF0FC"/>
          </w:tcPr>
          <w:p>
            <w:pPr>
              <w:spacing w:after="0"/>
              <w:rPr>
                <w:sz w:val="21"/>
                <w:szCs w:val="21"/>
                <w:color w:val="auto"/>
              </w:rPr>
            </w:pPr>
          </w:p>
        </w:tc>
      </w:tr>
      <w:tr>
        <w:trPr>
          <w:trHeight w:val="236"/>
        </w:trPr>
        <w:tc>
          <w:tcPr>
            <w:tcW w:w="7720" w:type="dxa"/>
            <w:vAlign w:val="bottom"/>
          </w:tcPr>
          <w:p>
            <w:pPr>
              <w:spacing w:after="0"/>
              <w:rPr>
                <w:sz w:val="20"/>
                <w:szCs w:val="20"/>
                <w:color w:val="auto"/>
              </w:rPr>
            </w:pPr>
            <w:r>
              <w:rPr>
                <w:rFonts w:ascii="Arial" w:cs="Arial" w:eastAsia="Arial" w:hAnsi="Arial"/>
                <w:sz w:val="20"/>
                <w:szCs w:val="20"/>
                <w:color w:val="auto"/>
              </w:rPr>
              <w:t>Total asphalt tons</w:t>
            </w:r>
          </w:p>
        </w:tc>
        <w:tc>
          <w:tcPr>
            <w:tcW w:w="1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28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12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0" w:type="dxa"/>
            <w:vAlign w:val="bottom"/>
            <w:gridSpan w:val="4"/>
          </w:tcPr>
          <w:p>
            <w:pPr>
              <w:jc w:val="center"/>
              <w:ind w:right="440"/>
              <w:spacing w:after="0"/>
              <w:rPr>
                <w:sz w:val="20"/>
                <w:szCs w:val="20"/>
                <w:color w:val="auto"/>
              </w:rPr>
            </w:pPr>
            <w:r>
              <w:rPr>
                <w:rFonts w:ascii="Arial" w:cs="Arial" w:eastAsia="Arial" w:hAnsi="Arial"/>
                <w:sz w:val="20"/>
                <w:szCs w:val="20"/>
                <w:color w:val="auto"/>
                <w:w w:val="89"/>
              </w:rPr>
              <w:t>Three Months Ended</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6"/>
        </w:trPr>
        <w:tc>
          <w:tcPr>
            <w:tcW w:w="4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September 30,</w:t>
            </w:r>
          </w:p>
        </w:tc>
        <w:tc>
          <w:tcPr>
            <w:tcW w:w="13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440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2019</w:t>
            </w:r>
          </w:p>
        </w:tc>
        <w:tc>
          <w:tcPr>
            <w:tcW w:w="36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7"/>
        </w:trPr>
        <w:tc>
          <w:tcPr>
            <w:tcW w:w="440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14.37</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2.7%</w:t>
            </w:r>
          </w:p>
        </w:tc>
      </w:tr>
      <w:tr>
        <w:trPr>
          <w:trHeight w:val="243"/>
        </w:trPr>
        <w:tc>
          <w:tcPr>
            <w:tcW w:w="4400" w:type="dxa"/>
            <w:vAlign w:val="bottom"/>
          </w:tcPr>
          <w:p>
            <w:pPr>
              <w:spacing w:after="0"/>
              <w:rPr>
                <w:sz w:val="20"/>
                <w:szCs w:val="20"/>
                <w:color w:val="auto"/>
              </w:rPr>
            </w:pPr>
            <w:r>
              <w:rPr>
                <w:rFonts w:ascii="Arial" w:cs="Arial" w:eastAsia="Arial" w:hAnsi="Arial"/>
                <w:sz w:val="20"/>
                <w:szCs w:val="20"/>
                <w:color w:val="auto"/>
              </w:rPr>
              <w:t>Cement (per ton)</w:t>
            </w:r>
          </w:p>
        </w:tc>
        <w:tc>
          <w:tcPr>
            <w:tcW w:w="236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113.41</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112.36</w:t>
            </w:r>
          </w:p>
        </w:tc>
        <w:tc>
          <w:tcPr>
            <w:tcW w:w="3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0.9%</w:t>
            </w:r>
          </w:p>
        </w:tc>
      </w:tr>
      <w:tr>
        <w:trPr>
          <w:trHeight w:val="243"/>
        </w:trPr>
        <w:tc>
          <w:tcPr>
            <w:tcW w:w="440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236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114.15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111.72</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Asphalt (per ton)</w:t>
            </w:r>
          </w:p>
        </w:tc>
        <w:tc>
          <w:tcPr>
            <w:tcW w:w="236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49.56</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46.67</w:t>
            </w:r>
          </w:p>
        </w:tc>
        <w:tc>
          <w:tcPr>
            <w:tcW w:w="3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6.2%</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Aggregates shipments to the Company’s primary end use markets are broadly consistent with macro trends and COVID impacts.</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Aggregates shipments to the infrastructure market declined, primarily driven by project delays and anticipated lower shipments in portions of North Carolina. The infrastructure market accounted for 38% of third-quarter aggregates shipments, below the Company’s most recent ten-year annual average of 45%.</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Following double-digit growth in commercial and heavy industrial construction activity in the prior-year quarter, aggregates shipments to the nonresidential market declined, driven by reduced energy-sector activity from low oil prices, as well the completion of certain windfarm and liquefied natural gas projects. Notably, the Company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benefit from warehouse and data center projects. The nonresidential market represented 33% of third-quarter aggregates shipments.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Aggregates shipments to the residential market increased slightly. Housing construction has returned to pre-COVID levels in several of the Company’s key geographies, reflective of pent-up demand, low available inventories and favorable interest rates. The residential market accounted for 24% of third-quarter aggregates shipments.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5% of third-quarter aggregates shipments. Volumes to this end use decreased, driven by lower ballast shipments to the Class I western railroads.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Third-quarter aggregates shipments declined 8.7% compared with prior-year quarter, reflecting the broad economic impact from COVID-19 and a comparison against a strong prior-year quarter. Pricing improved 2.7% compared with the prior-year quarter. Aggregates product gross margin increased 130 basis points to 36.4%, driven by increased pricing coupled with lower diesel fuel, contract services, supplies and repair costs.</w:t>
      </w:r>
    </w:p>
    <w:p>
      <w:pPr>
        <w:spacing w:after="0" w:line="8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While underlying Texas demand remains resilient, third-quarter cement shipments decreased 3.9%, driven primarily by the decline in energy-sector activity resulting from low oil prices. Cement pricing improved 0.9% compared with prior-year quarter, with strength in North Texas, Houston and portions of Central Texas offset by lower sales of higher-priced oil-well specialty cement products into West Texas. On a mix-adjusted basis, cement pricing increased 3.4%. Cement product gross margin decreased 40 basis points versus the prior-year quarter to 40.2%, driven by lower shipments of higher priced oil-well specialty products and higher maintenance costs.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Ready mixed concrete pricing improved 2.2% and volume decreased 4.0% in the third quarter, excluding shipments from ready mixed concrete operations acquired in the third quarter of 2020 and excluding third-quarter 2019 shipments from the Southwest Division’s concrete business in the Arkansas, Louisiana and Eastern Texas areas, generally known as ArkLaTex, that was divested in January 2020. Product gross margin declined 90 basis points to 9.7%, driven primarily by higher raw material costs. Asphalt pricing increased 6.2% due to favorable product mix. Asphalt shipments decreased 2.8% versus prior-year quarter.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Magnesia Specialties product revenues decreased 7% to $55.2 million, reflecting lower demand for chemicals and lime products reflecting the broad economic impact associated with the COVID-19 pandemic. Product gross profit was $21.0 million compared with $24.0 million. Product gross margin was 38.0% compared with 40.4%. Third-quarter earnings from operations were $16.4 million in 2020 compared with $20.1 million in 2019.</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Consolidated SG&amp;A for third quarter 2020 was 5.4% of total revenues compared with 5.5% in the prior-year quarter. During third-quarter 2020, the Company incurred $1.3 million in COVID-19 related expenses for enhanced cleaning and sanitizing protocols across the Company’s operations, which are recorded in SG&amp;A. Earnings from operations for the quarter were $400.6 million in 2020 compared with $345.3 million in 2019.</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Among other items, other operating income, net, includes gains and losses on the sale of assets; recoveries and write-offs related to customer accounts receivable; rental, royalty and services income; accretion expense, depreciation expense and gains and losses related to asset retirement obligations. For the third quarter, consolidated other operating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Third Quarter Ended September 30, 2020</w:t>
      </w:r>
    </w:p>
    <w:p>
      <w:pPr>
        <w:jc w:val="center"/>
        <w:ind w:right="-19"/>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income, net, was $67.6 million in 2020 and $2.9 million in 2019. The income in 2020 includes $69.9 million of nonrecurring gains on the sales of investment land and divested assets in Austin, Texas; Riverside, California; and Augusta, Kansas, which collectively provided pretax cash proceeds of $122.4 million. These gains are recorded in the West Group.</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nonoperating (income) and expenses, net, includes interest income; pension and postretirement benefit cost excluding service cost; foreign currency transaction gains and losses; equity earnings or losses from nonconsolidated affiliates and other miscellaneous income and expenses. For the third quarter, other nonoperating (income) and expenses, net, was income of $4.0 million and $1.9 million in 2020 and 2019, respectively.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Financial highlights for the nine months ended September 30, 2020 (unless noted, all comparisons are versus the prior-year period):</w:t>
      </w:r>
    </w:p>
    <w:p>
      <w:pPr>
        <w:spacing w:after="0" w:line="106"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20"/>
          <w:szCs w:val="20"/>
          <w:color w:val="007DC6"/>
        </w:rPr>
      </w:pPr>
      <w:r>
        <w:rPr>
          <w:rFonts w:ascii="Arial" w:cs="Arial" w:eastAsia="Arial" w:hAnsi="Arial"/>
          <w:sz w:val="20"/>
          <w:szCs w:val="20"/>
          <w:color w:val="auto"/>
        </w:rPr>
        <w:t>Consolidated total revenues of $3,550.3 million compared with $3,638.7 million</w:t>
      </w:r>
    </w:p>
    <w:p>
      <w:pPr>
        <w:spacing w:after="0" w:line="15" w:lineRule="exact"/>
        <w:rPr>
          <w:rFonts w:ascii="Arial" w:cs="Arial" w:eastAsia="Arial" w:hAnsi="Arial"/>
          <w:sz w:val="20"/>
          <w:szCs w:val="20"/>
          <w:color w:val="007DC6"/>
        </w:rPr>
      </w:pPr>
    </w:p>
    <w:p>
      <w:pPr>
        <w:ind w:left="740" w:hanging="368"/>
        <w:spacing w:after="0"/>
        <w:tabs>
          <w:tab w:leader="none" w:pos="740" w:val="left"/>
        </w:tabs>
        <w:numPr>
          <w:ilvl w:val="0"/>
          <w:numId w:val="16"/>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$3,157.2 million compared with $3,198.7 million</w:t>
      </w:r>
    </w:p>
    <w:p>
      <w:pPr>
        <w:ind w:left="740" w:hanging="368"/>
        <w:spacing w:after="0"/>
        <w:tabs>
          <w:tab w:leader="none" w:pos="740" w:val="left"/>
        </w:tabs>
        <w:numPr>
          <w:ilvl w:val="0"/>
          <w:numId w:val="16"/>
        </w:numPr>
        <w:rPr>
          <w:rFonts w:ascii="Arial" w:cs="Arial" w:eastAsia="Arial" w:hAnsi="Arial"/>
          <w:sz w:val="20"/>
          <w:szCs w:val="20"/>
          <w:color w:val="007DC6"/>
        </w:rPr>
      </w:pPr>
      <w:r>
        <w:rPr>
          <w:rFonts w:ascii="Arial" w:cs="Arial" w:eastAsia="Arial" w:hAnsi="Arial"/>
          <w:sz w:val="20"/>
          <w:szCs w:val="20"/>
          <w:color w:val="auto"/>
        </w:rPr>
        <w:t>Magnesia Specialties products revenues of $164.0 million compared with $198.9 million</w:t>
      </w:r>
    </w:p>
    <w:p>
      <w:pPr>
        <w:ind w:left="740" w:hanging="368"/>
        <w:spacing w:after="0"/>
        <w:tabs>
          <w:tab w:leader="none" w:pos="740" w:val="left"/>
        </w:tabs>
        <w:numPr>
          <w:ilvl w:val="0"/>
          <w:numId w:val="16"/>
        </w:numPr>
        <w:rPr>
          <w:rFonts w:ascii="Arial" w:cs="Arial" w:eastAsia="Arial" w:hAnsi="Arial"/>
          <w:sz w:val="20"/>
          <w:szCs w:val="20"/>
          <w:color w:val="007DC6"/>
        </w:rPr>
      </w:pPr>
      <w:r>
        <w:rPr>
          <w:rFonts w:ascii="Arial" w:cs="Arial" w:eastAsia="Arial" w:hAnsi="Arial"/>
          <w:sz w:val="20"/>
          <w:szCs w:val="20"/>
          <w:color w:val="auto"/>
        </w:rPr>
        <w:t>Consolidated gross profit of $927.4 million compared with $920.4 million</w:t>
      </w:r>
    </w:p>
    <w:p>
      <w:pPr>
        <w:ind w:left="740" w:hanging="368"/>
        <w:spacing w:after="0"/>
        <w:tabs>
          <w:tab w:leader="none" w:pos="740" w:val="left"/>
        </w:tabs>
        <w:numPr>
          <w:ilvl w:val="0"/>
          <w:numId w:val="16"/>
        </w:numPr>
        <w:rPr>
          <w:rFonts w:ascii="Arial" w:cs="Arial" w:eastAsia="Arial" w:hAnsi="Arial"/>
          <w:sz w:val="20"/>
          <w:szCs w:val="20"/>
          <w:color w:val="007DC6"/>
        </w:rPr>
      </w:pPr>
      <w:r>
        <w:rPr>
          <w:rFonts w:ascii="Arial" w:cs="Arial" w:eastAsia="Arial" w:hAnsi="Arial"/>
          <w:sz w:val="20"/>
          <w:szCs w:val="20"/>
          <w:color w:val="auto"/>
        </w:rPr>
        <w:t>Consolidated earnings from operations of $764.8 million</w:t>
      </w:r>
      <w:r>
        <w:rPr>
          <w:rFonts w:ascii="Arial" w:cs="Arial" w:eastAsia="Arial" w:hAnsi="Arial"/>
          <w:sz w:val="16"/>
          <w:szCs w:val="16"/>
          <w:color w:val="auto"/>
        </w:rPr>
        <w:t>(1)</w:t>
      </w:r>
      <w:r>
        <w:rPr>
          <w:rFonts w:ascii="Arial" w:cs="Arial" w:eastAsia="Arial" w:hAnsi="Arial"/>
          <w:sz w:val="20"/>
          <w:szCs w:val="20"/>
          <w:color w:val="auto"/>
        </w:rPr>
        <w:t xml:space="preserve"> compared with $700.4 million</w:t>
      </w:r>
    </w:p>
    <w:p>
      <w:pPr>
        <w:ind w:left="740" w:hanging="368"/>
        <w:spacing w:after="0"/>
        <w:tabs>
          <w:tab w:leader="none" w:pos="740" w:val="left"/>
        </w:tabs>
        <w:numPr>
          <w:ilvl w:val="0"/>
          <w:numId w:val="16"/>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$538.0 million</w:t>
      </w:r>
      <w:r>
        <w:rPr>
          <w:rFonts w:ascii="Arial" w:cs="Arial" w:eastAsia="Arial" w:hAnsi="Arial"/>
          <w:sz w:val="16"/>
          <w:szCs w:val="16"/>
          <w:color w:val="auto"/>
        </w:rPr>
        <w:t>(2)</w:t>
      </w:r>
      <w:r>
        <w:rPr>
          <w:rFonts w:ascii="Arial" w:cs="Arial" w:eastAsia="Arial" w:hAnsi="Arial"/>
          <w:sz w:val="20"/>
          <w:szCs w:val="20"/>
          <w:color w:val="auto"/>
        </w:rPr>
        <w:t xml:space="preserve"> compared with $480.9 million</w:t>
      </w:r>
    </w:p>
    <w:p>
      <w:pPr>
        <w:ind w:left="740" w:hanging="368"/>
        <w:spacing w:after="0"/>
        <w:tabs>
          <w:tab w:leader="none" w:pos="740" w:val="left"/>
        </w:tabs>
        <w:numPr>
          <w:ilvl w:val="0"/>
          <w:numId w:val="16"/>
        </w:numPr>
        <w:rPr>
          <w:rFonts w:ascii="Arial" w:cs="Arial" w:eastAsia="Arial" w:hAnsi="Arial"/>
          <w:sz w:val="20"/>
          <w:szCs w:val="20"/>
          <w:color w:val="007DC6"/>
        </w:rPr>
      </w:pPr>
      <w:r>
        <w:rPr>
          <w:rFonts w:ascii="Arial" w:cs="Arial" w:eastAsia="Arial" w:hAnsi="Arial"/>
          <w:sz w:val="20"/>
          <w:szCs w:val="20"/>
          <w:color w:val="auto"/>
        </w:rPr>
        <w:t>Consolidated Adjusted EBITDA of $1,057.8 million</w:t>
      </w:r>
      <w:r>
        <w:rPr>
          <w:rFonts w:ascii="Arial" w:cs="Arial" w:eastAsia="Arial" w:hAnsi="Arial"/>
          <w:sz w:val="16"/>
          <w:szCs w:val="16"/>
          <w:color w:val="auto"/>
        </w:rPr>
        <w:t>(1)</w:t>
      </w:r>
      <w:r>
        <w:rPr>
          <w:rFonts w:ascii="Arial" w:cs="Arial" w:eastAsia="Arial" w:hAnsi="Arial"/>
          <w:sz w:val="20"/>
          <w:szCs w:val="20"/>
          <w:color w:val="auto"/>
        </w:rPr>
        <w:t xml:space="preserve"> compared with $975.8 million</w:t>
      </w:r>
    </w:p>
    <w:p>
      <w:pPr>
        <w:ind w:left="740" w:hanging="368"/>
        <w:spacing w:after="0"/>
        <w:tabs>
          <w:tab w:leader="none" w:pos="740" w:val="left"/>
        </w:tabs>
        <w:numPr>
          <w:ilvl w:val="0"/>
          <w:numId w:val="16"/>
        </w:numPr>
        <w:rPr>
          <w:rFonts w:ascii="Arial" w:cs="Arial" w:eastAsia="Arial" w:hAnsi="Arial"/>
          <w:sz w:val="20"/>
          <w:szCs w:val="20"/>
          <w:color w:val="007DC6"/>
        </w:rPr>
      </w:pPr>
      <w:r>
        <w:rPr>
          <w:rFonts w:ascii="Arial" w:cs="Arial" w:eastAsia="Arial" w:hAnsi="Arial"/>
          <w:sz w:val="20"/>
          <w:szCs w:val="20"/>
          <w:color w:val="auto"/>
        </w:rPr>
        <w:t>Earnings per diluted share of $8.61</w:t>
      </w:r>
      <w:r>
        <w:rPr>
          <w:rFonts w:ascii="Arial" w:cs="Arial" w:eastAsia="Arial" w:hAnsi="Arial"/>
          <w:sz w:val="16"/>
          <w:szCs w:val="16"/>
          <w:color w:val="auto"/>
        </w:rPr>
        <w:t>(2)</w:t>
      </w:r>
      <w:r>
        <w:rPr>
          <w:rFonts w:ascii="Arial" w:cs="Arial" w:eastAsia="Arial" w:hAnsi="Arial"/>
          <w:sz w:val="20"/>
          <w:szCs w:val="20"/>
          <w:color w:val="auto"/>
        </w:rPr>
        <w:t xml:space="preserve"> compared with $7.65</w:t>
      </w:r>
    </w:p>
    <w:p>
      <w:pPr>
        <w:spacing w:after="0" w:line="40" w:lineRule="exact"/>
        <w:rPr>
          <w:rFonts w:ascii="Arial" w:cs="Arial" w:eastAsia="Arial" w:hAnsi="Arial"/>
          <w:sz w:val="20"/>
          <w:szCs w:val="20"/>
          <w:color w:val="007DC6"/>
        </w:rPr>
      </w:pPr>
    </w:p>
    <w:p>
      <w:pPr>
        <w:ind w:left="600" w:hanging="218"/>
        <w:spacing w:after="0"/>
        <w:tabs>
          <w:tab w:leader="none" w:pos="600" w:val="left"/>
        </w:tabs>
        <w:numPr>
          <w:ilvl w:val="1"/>
          <w:numId w:val="16"/>
        </w:numPr>
        <w:rPr>
          <w:rFonts w:ascii="Arial" w:cs="Arial" w:eastAsia="Arial" w:hAnsi="Arial"/>
          <w:sz w:val="15"/>
          <w:szCs w:val="15"/>
          <w:i w:val="1"/>
          <w:iCs w:val="1"/>
          <w:color w:val="auto"/>
        </w:rPr>
      </w:pPr>
      <w:r>
        <w:rPr>
          <w:rFonts w:ascii="Arial" w:cs="Arial" w:eastAsia="Arial" w:hAnsi="Arial"/>
          <w:sz w:val="18"/>
          <w:szCs w:val="18"/>
          <w:i w:val="1"/>
          <w:iCs w:val="1"/>
          <w:color w:val="auto"/>
        </w:rPr>
        <w:t>Includes nonrecurring gains on sales of investment land and divested assets of $69.9 million</w:t>
      </w:r>
    </w:p>
    <w:p>
      <w:pPr>
        <w:spacing w:after="0" w:line="23" w:lineRule="exact"/>
        <w:rPr>
          <w:rFonts w:ascii="Arial" w:cs="Arial" w:eastAsia="Arial" w:hAnsi="Arial"/>
          <w:sz w:val="15"/>
          <w:szCs w:val="15"/>
          <w:i w:val="1"/>
          <w:iCs w:val="1"/>
          <w:color w:val="auto"/>
        </w:rPr>
      </w:pPr>
    </w:p>
    <w:p>
      <w:pPr>
        <w:ind w:left="620" w:hanging="229"/>
        <w:spacing w:after="0"/>
        <w:tabs>
          <w:tab w:leader="none" w:pos="620" w:val="left"/>
        </w:tabs>
        <w:numPr>
          <w:ilvl w:val="1"/>
          <w:numId w:val="16"/>
        </w:numPr>
        <w:rPr>
          <w:rFonts w:ascii="Arial" w:cs="Arial" w:eastAsia="Arial" w:hAnsi="Arial"/>
          <w:sz w:val="15"/>
          <w:szCs w:val="15"/>
          <w:i w:val="1"/>
          <w:iCs w:val="1"/>
          <w:color w:val="auto"/>
        </w:rPr>
      </w:pPr>
      <w:r>
        <w:rPr>
          <w:rFonts w:ascii="Arial" w:cs="Arial" w:eastAsia="Arial" w:hAnsi="Arial"/>
          <w:sz w:val="18"/>
          <w:szCs w:val="18"/>
          <w:i w:val="1"/>
          <w:iCs w:val="1"/>
          <w:color w:val="auto"/>
        </w:rPr>
        <w:t>Includes nonrecurring gains on sales of investment land and divested assets, net of taxes, of $54.1 million, or $0.87 per diluted share</w:t>
      </w:r>
    </w:p>
    <w:p>
      <w:pPr>
        <w:spacing w:after="0" w:line="1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tables present total revenues, gross profit (loss), SG&amp;A expenses and earnings (loss) from operations data for the Company and its reportable segments by product line for the nine months ended September 30, 2020 and 2019. In each case, the data is stated as a percentage of revenues of the Company or the relevant segment or product line, as the case may be. Prior-year segment information has been reclassified to conform to changes to the reportable segments effective January 1, 2020 and July 1, 2020 (see Note 1 to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9"/>
                <w:szCs w:val="19"/>
                <w:color w:val="auto"/>
                <w:w w:val="92"/>
              </w:rPr>
              <w:t>Nine Months Ended September 30,</w:t>
            </w: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2020</w:t>
            </w:r>
          </w:p>
        </w:tc>
        <w:tc>
          <w:tcPr>
            <w:tcW w:w="1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2019</w:t>
            </w: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9"/>
                <w:szCs w:val="19"/>
                <w:color w:val="auto"/>
              </w:rPr>
              <w:t>Amount</w:t>
            </w: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w w:val="97"/>
              </w:rPr>
              <w:t>% of Revenues</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9"/>
                <w:szCs w:val="19"/>
                <w:color w:val="auto"/>
              </w:rPr>
              <w:t>Amount</w:t>
            </w: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w w:val="97"/>
              </w:rPr>
              <w:t>% of Revenues</w:t>
            </w:r>
          </w:p>
        </w:tc>
        <w:tc>
          <w:tcPr>
            <w:tcW w:w="120" w:type="dxa"/>
            <w:vAlign w:val="bottom"/>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20" w:type="dxa"/>
            <w:vAlign w:val="bottom"/>
            <w:gridSpan w:val="5"/>
          </w:tcPr>
          <w:p>
            <w:pPr>
              <w:jc w:val="right"/>
              <w:ind w:right="1100"/>
              <w:spacing w:after="0"/>
              <w:rPr>
                <w:sz w:val="20"/>
                <w:szCs w:val="20"/>
                <w:color w:val="auto"/>
              </w:rPr>
            </w:pPr>
            <w:r>
              <w:rPr>
                <w:rFonts w:ascii="Arial" w:cs="Arial" w:eastAsia="Arial" w:hAnsi="Arial"/>
                <w:sz w:val="19"/>
                <w:szCs w:val="19"/>
                <w:i w:val="1"/>
                <w:iCs w:val="1"/>
                <w:color w:val="auto"/>
              </w:rPr>
              <w:t>(Dollars in Millions)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9"/>
                <w:szCs w:val="19"/>
                <w:b w:val="1"/>
                <w:bCs w:val="1"/>
                <w:color w:val="auto"/>
              </w:rPr>
              <w:t>Total revenues: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9"/>
                <w:szCs w:val="19"/>
                <w:color w:val="auto"/>
              </w:rPr>
              <w:t>Building Materials Business: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ind w:left="380"/>
              <w:spacing w:after="0"/>
              <w:rPr>
                <w:sz w:val="20"/>
                <w:szCs w:val="20"/>
                <w:color w:val="auto"/>
              </w:rPr>
            </w:pPr>
            <w:r>
              <w:rPr>
                <w:rFonts w:ascii="Arial" w:cs="Arial" w:eastAsia="Arial" w:hAnsi="Arial"/>
                <w:sz w:val="19"/>
                <w:szCs w:val="19"/>
                <w:color w:val="auto"/>
              </w:rPr>
              <w:t>East Group</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620"/>
              <w:spacing w:after="0"/>
              <w:rPr>
                <w:sz w:val="20"/>
                <w:szCs w:val="20"/>
                <w:color w:val="auto"/>
              </w:rPr>
            </w:pPr>
            <w:r>
              <w:rPr>
                <w:rFonts w:ascii="Arial" w:cs="Arial" w:eastAsia="Arial" w:hAnsi="Arial"/>
                <w:sz w:val="19"/>
                <w:szCs w:val="19"/>
                <w:color w:val="auto"/>
              </w:rPr>
              <w:t>Aggregates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1,371.8</w:t>
            </w:r>
          </w:p>
        </w:tc>
        <w:tc>
          <w:tcPr>
            <w:tcW w:w="34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87"/>
              <w:spacing w:after="0"/>
              <w:rPr>
                <w:sz w:val="20"/>
                <w:szCs w:val="20"/>
                <w:color w:val="auto"/>
              </w:rPr>
            </w:pPr>
            <w:r>
              <w:rPr>
                <w:rFonts w:ascii="Arial" w:cs="Arial" w:eastAsia="Arial" w:hAnsi="Arial"/>
                <w:sz w:val="19"/>
                <w:szCs w:val="19"/>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1,398.6</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40" w:type="dxa"/>
            <w:vAlign w:val="bottom"/>
          </w:tcPr>
          <w:p>
            <w:pPr>
              <w:ind w:left="380"/>
              <w:spacing w:after="0"/>
              <w:rPr>
                <w:sz w:val="20"/>
                <w:szCs w:val="20"/>
                <w:color w:val="auto"/>
              </w:rPr>
            </w:pPr>
            <w:r>
              <w:rPr>
                <w:rFonts w:ascii="Arial" w:cs="Arial" w:eastAsia="Arial" w:hAnsi="Arial"/>
                <w:sz w:val="19"/>
                <w:szCs w:val="19"/>
                <w:color w:val="auto"/>
              </w:rPr>
              <w:t>West Group</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620"/>
              <w:spacing w:after="0"/>
              <w:rPr>
                <w:sz w:val="20"/>
                <w:szCs w:val="20"/>
                <w:color w:val="auto"/>
              </w:rPr>
            </w:pPr>
            <w:r>
              <w:rPr>
                <w:rFonts w:ascii="Arial" w:cs="Arial" w:eastAsia="Arial" w:hAnsi="Arial"/>
                <w:sz w:val="19"/>
                <w:szCs w:val="19"/>
                <w:color w:val="auto"/>
              </w:rPr>
              <w:t>Aggregates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720.3</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722.8</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ind w:left="620"/>
              <w:spacing w:after="0"/>
              <w:rPr>
                <w:sz w:val="20"/>
                <w:szCs w:val="20"/>
                <w:color w:val="auto"/>
              </w:rPr>
            </w:pPr>
            <w:r>
              <w:rPr>
                <w:rFonts w:ascii="Arial" w:cs="Arial" w:eastAsia="Arial" w:hAnsi="Arial"/>
                <w:sz w:val="19"/>
                <w:szCs w:val="19"/>
                <w:color w:val="auto"/>
              </w:rPr>
              <w:t>Cement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331.7</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331.0</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620"/>
              <w:spacing w:after="0"/>
              <w:rPr>
                <w:sz w:val="20"/>
                <w:szCs w:val="20"/>
                <w:color w:val="auto"/>
              </w:rPr>
            </w:pPr>
            <w:r>
              <w:rPr>
                <w:rFonts w:ascii="Arial" w:cs="Arial" w:eastAsia="Arial" w:hAnsi="Arial"/>
                <w:sz w:val="19"/>
                <w:szCs w:val="19"/>
                <w:color w:val="auto"/>
              </w:rPr>
              <w:t>Ready mixed concrete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689.4</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724.2</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40" w:type="dxa"/>
            <w:vAlign w:val="bottom"/>
          </w:tcPr>
          <w:p>
            <w:pPr>
              <w:ind w:left="620"/>
              <w:spacing w:after="0"/>
              <w:rPr>
                <w:sz w:val="20"/>
                <w:szCs w:val="20"/>
                <w:color w:val="auto"/>
              </w:rPr>
            </w:pPr>
            <w:r>
              <w:rPr>
                <w:rFonts w:ascii="Arial" w:cs="Arial" w:eastAsia="Arial" w:hAnsi="Arial"/>
                <w:sz w:val="19"/>
                <w:szCs w:val="19"/>
                <w:color w:val="auto"/>
              </w:rPr>
              <w:t>Asphalt and paving</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254.9</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225.7</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380"/>
              <w:spacing w:after="0"/>
              <w:rPr>
                <w:sz w:val="20"/>
                <w:szCs w:val="20"/>
                <w:color w:val="auto"/>
              </w:rPr>
            </w:pPr>
            <w:r>
              <w:rPr>
                <w:rFonts w:ascii="Arial" w:cs="Arial" w:eastAsia="Arial" w:hAnsi="Arial"/>
                <w:sz w:val="19"/>
                <w:szCs w:val="19"/>
                <w:color w:val="auto"/>
              </w:rPr>
              <w:t>Less: Interproduct revenues</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9"/>
                <w:szCs w:val="19"/>
                <w:color w:val="auto"/>
              </w:rPr>
              <w:t>(210.9)</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9"/>
                <w:szCs w:val="19"/>
                <w:color w:val="auto"/>
              </w:rPr>
              <w:t>(203.6)</w:t>
            </w: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4740" w:type="dxa"/>
            <w:vAlign w:val="bottom"/>
            <w:tcBorders>
              <w:bottom w:val="single" w:sz="8" w:color="CFF0FC"/>
            </w:tcBorders>
          </w:tcPr>
          <w:p>
            <w:pPr>
              <w:ind w:left="380"/>
              <w:spacing w:after="0"/>
              <w:rPr>
                <w:sz w:val="20"/>
                <w:szCs w:val="20"/>
                <w:color w:val="auto"/>
              </w:rPr>
            </w:pPr>
            <w:r>
              <w:rPr>
                <w:rFonts w:ascii="Arial" w:cs="Arial" w:eastAsia="Arial" w:hAnsi="Arial"/>
                <w:sz w:val="19"/>
                <w:szCs w:val="19"/>
                <w:color w:val="auto"/>
              </w:rPr>
              <w:t>West Group Total</w:t>
            </w: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1,785.4</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1,800.1</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3,157.2</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3,198.7</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ind w:left="140"/>
              <w:spacing w:after="0"/>
              <w:rPr>
                <w:sz w:val="20"/>
                <w:szCs w:val="20"/>
                <w:color w:val="auto"/>
              </w:rPr>
            </w:pPr>
            <w:r>
              <w:rPr>
                <w:rFonts w:ascii="Arial" w:cs="Arial" w:eastAsia="Arial" w:hAnsi="Arial"/>
                <w:sz w:val="19"/>
                <w:szCs w:val="19"/>
                <w:color w:val="auto"/>
              </w:rPr>
              <w:t>Freight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212.9</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224.8</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3,370.1</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3,423.5</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9"/>
                <w:szCs w:val="19"/>
                <w:color w:val="auto"/>
              </w:rPr>
              <w:t>Magnesia Specialties: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Products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164.0</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198.9</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ind w:left="140"/>
              <w:spacing w:after="0"/>
              <w:rPr>
                <w:sz w:val="20"/>
                <w:szCs w:val="20"/>
                <w:color w:val="auto"/>
              </w:rPr>
            </w:pPr>
            <w:r>
              <w:rPr>
                <w:rFonts w:ascii="Arial" w:cs="Arial" w:eastAsia="Arial" w:hAnsi="Arial"/>
                <w:sz w:val="19"/>
                <w:szCs w:val="19"/>
                <w:color w:val="auto"/>
              </w:rPr>
              <w:t>Freight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16.2</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9"/>
                <w:szCs w:val="19"/>
                <w:color w:val="auto"/>
              </w:rPr>
              <w:t>Total Magnesia Specialties Business</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180.2</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215.2</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9"/>
                <w:szCs w:val="19"/>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3,550.3</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3,638.7</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9"/>
                <w:szCs w:val="19"/>
                <w:color w:val="auto"/>
                <w:w w:val="92"/>
              </w:rPr>
              <w:t>Nine Months Ended September 30,</w:t>
            </w:r>
          </w:p>
        </w:tc>
        <w:tc>
          <w:tcPr>
            <w:tcW w:w="1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2020</w:t>
            </w:r>
          </w:p>
        </w:tc>
        <w:tc>
          <w:tcPr>
            <w:tcW w:w="1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9"/>
                <w:szCs w:val="19"/>
                <w:color w:val="auto"/>
              </w:rPr>
              <w:t>2019</w:t>
            </w:r>
          </w:p>
        </w:tc>
        <w:tc>
          <w:tcPr>
            <w:tcW w:w="1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9"/>
                <w:szCs w:val="19"/>
                <w:color w:val="auto"/>
              </w:rPr>
              <w:t>Amount</w:t>
            </w:r>
          </w:p>
        </w:tc>
        <w:tc>
          <w:tcPr>
            <w:tcW w:w="132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w w:val="89"/>
              </w:rPr>
              <w:t>% of Revenues</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9"/>
                <w:szCs w:val="19"/>
                <w:color w:val="auto"/>
              </w:rPr>
              <w:t>Amount</w:t>
            </w: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w w:val="89"/>
              </w:rPr>
              <w:t>% of Revenues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Arial" w:cs="Arial" w:eastAsia="Arial" w:hAnsi="Arial"/>
                <w:sz w:val="19"/>
                <w:szCs w:val="19"/>
                <w:b w:val="1"/>
                <w:bCs w:val="1"/>
                <w:color w:val="auto"/>
              </w:rPr>
              <w:t>Gross profit (loss):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gridSpan w:val="6"/>
          </w:tcPr>
          <w:p>
            <w:pPr>
              <w:jc w:val="right"/>
              <w:ind w:right="1100"/>
              <w:spacing w:after="0"/>
              <w:rPr>
                <w:sz w:val="20"/>
                <w:szCs w:val="20"/>
                <w:color w:val="auto"/>
              </w:rPr>
            </w:pPr>
            <w:r>
              <w:rPr>
                <w:rFonts w:ascii="Arial" w:cs="Arial" w:eastAsia="Arial" w:hAnsi="Arial"/>
                <w:sz w:val="19"/>
                <w:szCs w:val="19"/>
                <w:i w:val="1"/>
                <w:iCs w:val="1"/>
                <w:color w:val="auto"/>
              </w:rPr>
              <w:t>(Dollars in Millions)</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9"/>
                <w:szCs w:val="19"/>
                <w:color w:val="auto"/>
              </w:rPr>
              <w:t>Building Materials Business: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9"/>
                <w:szCs w:val="19"/>
                <w:color w:val="auto"/>
              </w:rPr>
              <w:t>Products and services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380"/>
              <w:spacing w:after="0"/>
              <w:rPr>
                <w:sz w:val="20"/>
                <w:szCs w:val="20"/>
                <w:color w:val="auto"/>
              </w:rPr>
            </w:pPr>
            <w:r>
              <w:rPr>
                <w:rFonts w:ascii="Arial" w:cs="Arial" w:eastAsia="Arial" w:hAnsi="Arial"/>
                <w:sz w:val="19"/>
                <w:szCs w:val="19"/>
                <w:color w:val="auto"/>
              </w:rPr>
              <w:t>East Group</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620"/>
              <w:spacing w:after="0"/>
              <w:rPr>
                <w:sz w:val="20"/>
                <w:szCs w:val="20"/>
                <w:color w:val="auto"/>
              </w:rPr>
            </w:pPr>
            <w:r>
              <w:rPr>
                <w:rFonts w:ascii="Arial" w:cs="Arial" w:eastAsia="Arial" w:hAnsi="Arial"/>
                <w:sz w:val="19"/>
                <w:szCs w:val="19"/>
                <w:color w:val="auto"/>
              </w:rPr>
              <w:t>Aggregates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460.0</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33.5</w:t>
            </w:r>
          </w:p>
        </w:tc>
        <w:tc>
          <w:tcPr>
            <w:tcW w:w="2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475.7</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380"/>
              <w:spacing w:after="0"/>
              <w:rPr>
                <w:sz w:val="20"/>
                <w:szCs w:val="20"/>
                <w:color w:val="auto"/>
              </w:rPr>
            </w:pPr>
            <w:r>
              <w:rPr>
                <w:rFonts w:ascii="Arial" w:cs="Arial" w:eastAsia="Arial" w:hAnsi="Arial"/>
                <w:sz w:val="19"/>
                <w:szCs w:val="19"/>
                <w:color w:val="auto"/>
              </w:rPr>
              <w:t>West Group</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620"/>
              <w:spacing w:after="0"/>
              <w:rPr>
                <w:sz w:val="20"/>
                <w:szCs w:val="20"/>
                <w:color w:val="auto"/>
              </w:rPr>
            </w:pPr>
            <w:r>
              <w:rPr>
                <w:rFonts w:ascii="Arial" w:cs="Arial" w:eastAsia="Arial" w:hAnsi="Arial"/>
                <w:sz w:val="19"/>
                <w:szCs w:val="19"/>
                <w:color w:val="auto"/>
              </w:rPr>
              <w:t>Aggregates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180.4</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25.0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160.8</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22.3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620"/>
              <w:spacing w:after="0"/>
              <w:rPr>
                <w:sz w:val="20"/>
                <w:szCs w:val="20"/>
                <w:color w:val="auto"/>
              </w:rPr>
            </w:pPr>
            <w:r>
              <w:rPr>
                <w:rFonts w:ascii="Arial" w:cs="Arial" w:eastAsia="Arial" w:hAnsi="Arial"/>
                <w:sz w:val="19"/>
                <w:szCs w:val="19"/>
                <w:color w:val="auto"/>
              </w:rPr>
              <w:t>Cement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117.2</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35.3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104.5</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620"/>
              <w:spacing w:after="0"/>
              <w:rPr>
                <w:sz w:val="20"/>
                <w:szCs w:val="20"/>
                <w:color w:val="auto"/>
              </w:rPr>
            </w:pPr>
            <w:r>
              <w:rPr>
                <w:rFonts w:ascii="Arial" w:cs="Arial" w:eastAsia="Arial" w:hAnsi="Arial"/>
                <w:sz w:val="19"/>
                <w:szCs w:val="19"/>
                <w:color w:val="auto"/>
              </w:rPr>
              <w:t>Ready mixed concrete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56.7</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8.2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62.5</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620"/>
              <w:spacing w:after="0"/>
              <w:rPr>
                <w:sz w:val="20"/>
                <w:szCs w:val="20"/>
                <w:color w:val="auto"/>
              </w:rPr>
            </w:pPr>
            <w:r>
              <w:rPr>
                <w:rFonts w:ascii="Arial" w:cs="Arial" w:eastAsia="Arial" w:hAnsi="Arial"/>
                <w:sz w:val="19"/>
                <w:szCs w:val="19"/>
                <w:color w:val="auto"/>
              </w:rPr>
              <w:t>Asphalt and paving</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46.4</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18.2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38.5</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tcPr>
          <w:p>
            <w:pPr>
              <w:ind w:left="380"/>
              <w:spacing w:after="0"/>
              <w:rPr>
                <w:sz w:val="20"/>
                <w:szCs w:val="20"/>
                <w:color w:val="auto"/>
              </w:rPr>
            </w:pPr>
            <w:r>
              <w:rPr>
                <w:rFonts w:ascii="Arial" w:cs="Arial" w:eastAsia="Arial" w:hAnsi="Arial"/>
                <w:sz w:val="19"/>
                <w:szCs w:val="19"/>
                <w:color w:val="auto"/>
              </w:rPr>
              <w:t>West Group Total</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400.7</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9"/>
                <w:szCs w:val="19"/>
                <w:color w:val="auto"/>
              </w:rPr>
              <w:t>22.4</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366.3</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9"/>
                <w:szCs w:val="19"/>
                <w:color w:val="auto"/>
              </w:rPr>
              <w:t>20.4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860.7</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27.3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842.0</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FF0FC"/>
            </w:tcBorders>
          </w:tcPr>
          <w:p>
            <w:pPr>
              <w:ind w:left="140"/>
              <w:spacing w:after="0"/>
              <w:rPr>
                <w:sz w:val="20"/>
                <w:szCs w:val="20"/>
                <w:color w:val="auto"/>
              </w:rPr>
            </w:pPr>
            <w:r>
              <w:rPr>
                <w:rFonts w:ascii="Arial" w:cs="Arial" w:eastAsia="Arial" w:hAnsi="Arial"/>
                <w:sz w:val="19"/>
                <w:szCs w:val="19"/>
                <w:color w:val="auto"/>
              </w:rPr>
              <w:t>Freight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0.3</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0.4</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861.0</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25.5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842.4</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9"/>
                <w:szCs w:val="19"/>
                <w:color w:val="auto"/>
              </w:rPr>
              <w:t>Magnesia Specialties: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Products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65.3</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79.8</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9"/>
                <w:szCs w:val="19"/>
                <w:color w:val="auto"/>
              </w:rPr>
              <w:t>Freight</w:t>
            </w:r>
          </w:p>
        </w:tc>
        <w:tc>
          <w:tcPr>
            <w:tcW w:w="2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9"/>
                <w:szCs w:val="19"/>
                <w:color w:val="auto"/>
              </w:rPr>
              <w:t>(3.2)</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9"/>
                <w:szCs w:val="19"/>
                <w:color w:val="auto"/>
              </w:rPr>
              <w:t>(3.2)</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Magnesia Specialties Business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62.1</w:t>
            </w:r>
          </w:p>
        </w:tc>
        <w:tc>
          <w:tcPr>
            <w:tcW w:w="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34.5</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76.6</w:t>
            </w:r>
          </w:p>
        </w:tc>
        <w:tc>
          <w:tcPr>
            <w:tcW w:w="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35.6</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Corporate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1.4</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927.4</w:t>
            </w:r>
          </w:p>
        </w:tc>
        <w:tc>
          <w:tcPr>
            <w:tcW w:w="3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26.1</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920.4</w:t>
            </w:r>
          </w:p>
        </w:tc>
        <w:tc>
          <w:tcPr>
            <w:tcW w:w="3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25.3</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60" w:type="dxa"/>
            <w:vAlign w:val="bottom"/>
            <w:gridSpan w:val="6"/>
          </w:tcPr>
          <w:p>
            <w:pPr>
              <w:spacing w:after="0"/>
              <w:rPr>
                <w:sz w:val="20"/>
                <w:szCs w:val="20"/>
                <w:color w:val="auto"/>
              </w:rPr>
            </w:pPr>
            <w:r>
              <w:rPr>
                <w:rFonts w:ascii="Arial" w:cs="Arial" w:eastAsia="Arial" w:hAnsi="Arial"/>
                <w:sz w:val="20"/>
                <w:szCs w:val="20"/>
                <w:color w:val="auto"/>
                <w:w w:val="99"/>
              </w:rPr>
              <w:t>The following presents a rollforward of aggregates products gross profit (dollars in millions):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48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w w:val="98"/>
              </w:rPr>
              <w:t>Aggregates products gross profit, nine months ended September 30, 2019</w:t>
            </w:r>
          </w:p>
        </w:tc>
        <w:tc>
          <w:tcPr>
            <w:tcW w:w="132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636.5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Volume</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(46.5)</w:t>
            </w:r>
          </w:p>
        </w:tc>
        <w:tc>
          <w:tcPr>
            <w:tcW w:w="0" w:type="dxa"/>
            <w:vAlign w:val="bottom"/>
          </w:tcPr>
          <w:p>
            <w:pPr>
              <w:spacing w:after="0"/>
              <w:rPr>
                <w:sz w:val="1"/>
                <w:szCs w:val="1"/>
                <w:color w:val="auto"/>
              </w:rPr>
            </w:pPr>
          </w:p>
        </w:tc>
      </w:tr>
      <w:tr>
        <w:trPr>
          <w:trHeight w:val="243"/>
        </w:trPr>
        <w:tc>
          <w:tcPr>
            <w:tcW w:w="4740" w:type="dxa"/>
            <w:vAlign w:val="bottom"/>
          </w:tcPr>
          <w:p>
            <w:pPr>
              <w:ind w:left="260"/>
              <w:spacing w:after="0"/>
              <w:rPr>
                <w:sz w:val="20"/>
                <w:szCs w:val="20"/>
                <w:color w:val="auto"/>
              </w:rPr>
            </w:pPr>
            <w:r>
              <w:rPr>
                <w:rFonts w:ascii="Arial" w:cs="Arial" w:eastAsia="Arial" w:hAnsi="Arial"/>
                <w:sz w:val="20"/>
                <w:szCs w:val="20"/>
                <w:color w:val="auto"/>
              </w:rPr>
              <w:t>Pricing</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58.9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Change in aggregates products gross profit</w:t>
            </w:r>
          </w:p>
        </w:tc>
        <w:tc>
          <w:tcPr>
            <w:tcW w:w="24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w w:val="98"/>
              </w:rPr>
              <w:t>Aggregates products gross profit, nine months ended September 30, 2020</w:t>
            </w:r>
          </w:p>
        </w:tc>
        <w:tc>
          <w:tcPr>
            <w:tcW w:w="1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3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640.4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5080" w:right="3440" w:hanging="5072"/>
        <w:spacing w:after="0" w:line="776" w:lineRule="auto"/>
        <w:tabs>
          <w:tab w:leader="none" w:pos="256" w:val="left"/>
        </w:tabs>
        <w:numPr>
          <w:ilvl w:val="0"/>
          <w:numId w:val="17"/>
        </w:numPr>
        <w:rPr>
          <w:rFonts w:ascii="Arial" w:cs="Arial" w:eastAsia="Arial" w:hAnsi="Arial"/>
          <w:sz w:val="16"/>
          <w:szCs w:val="16"/>
          <w:i w:val="1"/>
          <w:iCs w:val="1"/>
          <w:color w:val="auto"/>
        </w:rPr>
      </w:pPr>
      <w:r>
        <w:rPr>
          <w:rFonts w:ascii="Arial" w:cs="Arial" w:eastAsia="Arial" w:hAnsi="Arial"/>
          <w:sz w:val="19"/>
          <w:szCs w:val="19"/>
          <w:i w:val="1"/>
          <w:iCs w:val="1"/>
          <w:color w:val="auto"/>
        </w:rPr>
        <w:t xml:space="preserve">Inclusive of cost increases/decreases, product and geographic mix and other operating impacts </w:t>
      </w:r>
      <w:r>
        <w:rPr>
          <w:rFonts w:ascii="Arial" w:cs="Arial" w:eastAsia="Arial" w:hAnsi="Arial"/>
          <w:sz w:val="19"/>
          <w:szCs w:val="19"/>
          <w:color w:val="auto"/>
        </w:rPr>
        <w:t>Page 37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20"/>
                <w:szCs w:val="20"/>
                <w:color w:val="auto"/>
                <w:w w:val="89"/>
              </w:rPr>
              <w:t>Nine Months Ended September 30,</w:t>
            </w: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2020</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2019</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81"/>
              <w:spacing w:after="0" w:line="220" w:lineRule="exact"/>
              <w:rPr>
                <w:sz w:val="20"/>
                <w:szCs w:val="20"/>
                <w:color w:val="auto"/>
              </w:rPr>
            </w:pPr>
            <w:r>
              <w:rPr>
                <w:rFonts w:ascii="Arial" w:cs="Arial" w:eastAsia="Arial" w:hAnsi="Arial"/>
                <w:sz w:val="20"/>
                <w:szCs w:val="20"/>
                <w:color w:val="auto"/>
              </w:rPr>
              <w:t>% of Total</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center"/>
              <w:ind w:right="81"/>
              <w:spacing w:after="0" w:line="220" w:lineRule="exact"/>
              <w:rPr>
                <w:sz w:val="20"/>
                <w:szCs w:val="20"/>
                <w:color w:val="auto"/>
              </w:rPr>
            </w:pPr>
            <w:r>
              <w:rPr>
                <w:rFonts w:ascii="Arial" w:cs="Arial" w:eastAsia="Arial" w:hAnsi="Arial"/>
                <w:sz w:val="20"/>
                <w:szCs w:val="20"/>
                <w:color w:val="auto"/>
                <w:w w:val="91"/>
              </w:rPr>
              <w:t>% of 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00" w:type="dxa"/>
            <w:vAlign w:val="bottom"/>
          </w:tcPr>
          <w:p>
            <w:pPr>
              <w:jc w:val="right"/>
              <w:ind w:right="221"/>
              <w:spacing w:after="0"/>
              <w:rPr>
                <w:sz w:val="20"/>
                <w:szCs w:val="20"/>
                <w:color w:val="auto"/>
              </w:rPr>
            </w:pPr>
            <w:r>
              <w:rPr>
                <w:rFonts w:ascii="Arial" w:cs="Arial" w:eastAsia="Arial" w:hAnsi="Arial"/>
                <w:sz w:val="20"/>
                <w:szCs w:val="20"/>
                <w:color w:val="auto"/>
              </w:rPr>
              <w:t>Revenues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20"/>
                <w:szCs w:val="20"/>
                <w:color w:val="auto"/>
              </w:rPr>
              <w:t>Amount</w:t>
            </w:r>
          </w:p>
        </w:tc>
        <w:tc>
          <w:tcPr>
            <w:tcW w:w="136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Revenues</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5"/>
          </w:tcPr>
          <w:p>
            <w:pPr>
              <w:jc w:val="right"/>
              <w:ind w:right="1140"/>
              <w:spacing w:after="0"/>
              <w:rPr>
                <w:sz w:val="20"/>
                <w:szCs w:val="20"/>
                <w:color w:val="auto"/>
              </w:rPr>
            </w:pPr>
            <w:r>
              <w:rPr>
                <w:rFonts w:ascii="Arial" w:cs="Arial" w:eastAsia="Arial" w:hAnsi="Arial"/>
                <w:sz w:val="20"/>
                <w:szCs w:val="20"/>
                <w:i w:val="1"/>
                <w:iCs w:val="1"/>
                <w:color w:val="auto"/>
              </w:rPr>
              <w:t>(Dollars in Millions)</w:t>
            </w: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East Group</w:t>
            </w: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74.0</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63.2</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5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100.2</w:t>
            </w:r>
          </w:p>
        </w:tc>
        <w:tc>
          <w:tcPr>
            <w:tcW w:w="36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86.2</w:t>
            </w:r>
          </w:p>
        </w:tc>
        <w:tc>
          <w:tcPr>
            <w:tcW w:w="42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174.2</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149.4</w:t>
            </w:r>
          </w:p>
        </w:tc>
        <w:tc>
          <w:tcPr>
            <w:tcW w:w="4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Magnesia Specialties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10.4</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8.5</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5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36.4</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71.0</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20"/>
                <w:szCs w:val="20"/>
                <w:color w:val="auto"/>
              </w:rPr>
              <w:t>Total</w:t>
            </w:r>
          </w:p>
        </w:tc>
        <w:tc>
          <w:tcPr>
            <w:tcW w:w="54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221.0</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6.2</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228.9</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20"/>
                <w:szCs w:val="20"/>
                <w:b w:val="1"/>
                <w:bCs w:val="1"/>
                <w:color w:val="auto"/>
              </w:rPr>
              <w:t>Earnings (Loss) from operations:</w:t>
            </w: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20"/>
                <w:szCs w:val="20"/>
                <w:color w:val="auto"/>
              </w:rPr>
              <w:t>East Group</w:t>
            </w:r>
          </w:p>
        </w:tc>
        <w:tc>
          <w:tcPr>
            <w:tcW w:w="7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386.1</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416.5</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r>
              <w:rPr>
                <w:rFonts w:ascii="Arial" w:cs="Arial" w:eastAsia="Arial" w:hAnsi="Arial"/>
                <w:sz w:val="16"/>
                <w:szCs w:val="16"/>
                <w:color w:val="auto"/>
              </w:rPr>
              <w:t>(1)</w:t>
            </w:r>
          </w:p>
        </w:tc>
        <w:tc>
          <w:tcPr>
            <w:tcW w:w="5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368.2</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287.7</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754.3</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704.2</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51.2</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68.0</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Corporate</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20"/>
                <w:szCs w:val="20"/>
                <w:color w:val="auto"/>
              </w:rPr>
              <w:t>(40.7)</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20"/>
                <w:szCs w:val="20"/>
                <w:color w:val="auto"/>
              </w:rPr>
              <w:t>(71.8)</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5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764.8</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21.5</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700.4</w:t>
            </w:r>
          </w:p>
        </w:tc>
        <w:tc>
          <w:tcPr>
            <w:tcW w:w="42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5"/>
          <w:szCs w:val="15"/>
          <w:i w:val="1"/>
          <w:iCs w:val="1"/>
          <w:color w:val="auto"/>
        </w:rPr>
      </w:pPr>
      <w:r>
        <w:rPr>
          <w:rFonts w:ascii="Arial" w:cs="Arial" w:eastAsia="Arial" w:hAnsi="Arial"/>
          <w:sz w:val="18"/>
          <w:szCs w:val="18"/>
          <w:i w:val="1"/>
          <w:iCs w:val="1"/>
          <w:color w:val="auto"/>
        </w:rPr>
        <w:t>2020 amounts include nonrecurring gains on sales of investment land and divested assets of $69.9 million</w:t>
      </w:r>
    </w:p>
    <w:p>
      <w:pPr>
        <w:spacing w:after="0" w:line="222" w:lineRule="exact"/>
        <w:rPr>
          <w:rFonts w:ascii="Arial" w:cs="Arial" w:eastAsia="Arial" w:hAnsi="Arial"/>
          <w:sz w:val="15"/>
          <w:szCs w:val="15"/>
          <w:i w:val="1"/>
          <w:iCs w:val="1"/>
          <w:color w:val="auto"/>
        </w:rPr>
      </w:pPr>
    </w:p>
    <w:p>
      <w:pPr>
        <w:ind w:left="5080"/>
        <w:spacing w:after="0"/>
        <w:rPr>
          <w:rFonts w:ascii="Arial" w:cs="Arial" w:eastAsia="Arial" w:hAnsi="Arial"/>
          <w:sz w:val="15"/>
          <w:szCs w:val="15"/>
          <w:i w:val="1"/>
          <w:iCs w:val="1"/>
          <w:color w:val="auto"/>
        </w:rPr>
      </w:pPr>
      <w:r>
        <w:rPr>
          <w:rFonts w:ascii="Arial" w:cs="Arial" w:eastAsia="Arial" w:hAnsi="Arial"/>
          <w:sz w:val="20"/>
          <w:szCs w:val="20"/>
          <w:color w:val="auto"/>
        </w:rPr>
        <w:t>Page 38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61" w:lineRule="exact"/>
        <w:rPr>
          <w:sz w:val="20"/>
          <w:szCs w:val="20"/>
          <w:color w:val="auto"/>
        </w:rPr>
      </w:pPr>
    </w:p>
    <w:p>
      <w:pPr>
        <w:ind w:left="8240"/>
        <w:spacing w:after="0"/>
        <w:rPr>
          <w:sz w:val="20"/>
          <w:szCs w:val="20"/>
          <w:color w:val="auto"/>
        </w:rPr>
      </w:pPr>
      <w:r>
        <w:rPr>
          <w:rFonts w:ascii="Arial" w:cs="Arial" w:eastAsia="Arial" w:hAnsi="Arial"/>
          <w:sz w:val="19"/>
          <w:szCs w:val="19"/>
          <w:color w:val="auto"/>
        </w:rPr>
        <w:t>Nine Months Ended</w:t>
      </w:r>
    </w:p>
    <w:p>
      <w:pPr>
        <w:spacing w:after="0" w:line="22" w:lineRule="exact"/>
        <w:rPr>
          <w:sz w:val="20"/>
          <w:szCs w:val="20"/>
          <w:color w:val="auto"/>
        </w:rPr>
      </w:pPr>
    </w:p>
    <w:p>
      <w:pPr>
        <w:ind w:left="8240"/>
        <w:spacing w:after="0"/>
        <w:rPr>
          <w:sz w:val="20"/>
          <w:szCs w:val="20"/>
          <w:color w:val="auto"/>
        </w:rPr>
      </w:pPr>
      <w:r>
        <w:rPr>
          <w:rFonts w:ascii="Arial" w:cs="Arial" w:eastAsia="Arial" w:hAnsi="Arial"/>
          <w:sz w:val="19"/>
          <w:szCs w:val="19"/>
          <w:color w:val="auto"/>
        </w:rPr>
        <w:t>September 30,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60" w:type="dxa"/>
            <w:vAlign w:val="bottom"/>
          </w:tcPr>
          <w:p>
            <w:pPr>
              <w:spacing w:after="0"/>
              <w:rPr>
                <w:sz w:val="20"/>
                <w:szCs w:val="20"/>
                <w:color w:val="auto"/>
              </w:rPr>
            </w:pPr>
            <w:r>
              <w:rPr>
                <w:rFonts w:ascii="Arial" w:cs="Arial" w:eastAsia="Arial" w:hAnsi="Arial"/>
                <w:sz w:val="19"/>
                <w:szCs w:val="19"/>
                <w:b w:val="1"/>
                <w:bCs w:val="1"/>
                <w:color w:val="auto"/>
              </w:rPr>
              <w:t>Volume/Pricing variance</w:t>
            </w: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9"/>
                <w:szCs w:val="19"/>
                <w:color w:val="auto"/>
              </w:rPr>
              <w:t>Volume</w:t>
            </w:r>
          </w:p>
        </w:tc>
        <w:tc>
          <w:tcPr>
            <w:tcW w:w="5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9"/>
                <w:szCs w:val="19"/>
                <w:color w:val="auto"/>
                <w:w w:val="92"/>
              </w:rPr>
              <w:t>Pricing</w:t>
            </w:r>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60" w:type="dxa"/>
            <w:vAlign w:val="bottom"/>
          </w:tcPr>
          <w:p>
            <w:pPr>
              <w:ind w:left="200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8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East Group</w:t>
            </w: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9"/>
                <w:szCs w:val="19"/>
                <w:color w:val="auto"/>
              </w:rPr>
              <w:t>(4.8)%</w:t>
            </w:r>
          </w:p>
        </w:tc>
        <w:tc>
          <w:tcPr>
            <w:tcW w:w="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jc w:val="right"/>
              <w:ind w:right="20"/>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230"/>
        </w:trPr>
        <w:tc>
          <w:tcPr>
            <w:tcW w:w="8280" w:type="dxa"/>
            <w:vAlign w:val="bottom"/>
            <w:gridSpan w:val="3"/>
          </w:tcPr>
          <w:p>
            <w:pPr>
              <w:ind w:left="260"/>
              <w:spacing w:after="0"/>
              <w:rPr>
                <w:sz w:val="20"/>
                <w:szCs w:val="20"/>
                <w:color w:val="auto"/>
              </w:rPr>
            </w:pPr>
            <w:r>
              <w:rPr>
                <w:rFonts w:ascii="Arial" w:cs="Arial" w:eastAsia="Arial" w:hAnsi="Arial"/>
                <w:sz w:val="19"/>
                <w:szCs w:val="19"/>
                <w:color w:val="auto"/>
              </w:rPr>
              <w:t>West Group</w:t>
            </w:r>
          </w:p>
        </w:tc>
        <w:tc>
          <w:tcPr>
            <w:tcW w:w="940" w:type="dxa"/>
            <w:vAlign w:val="bottom"/>
            <w:gridSpan w:val="3"/>
          </w:tcPr>
          <w:p>
            <w:pPr>
              <w:jc w:val="right"/>
              <w:ind w:right="200"/>
              <w:spacing w:after="0"/>
              <w:rPr>
                <w:sz w:val="20"/>
                <w:szCs w:val="20"/>
                <w:color w:val="auto"/>
              </w:rPr>
            </w:pPr>
            <w:r>
              <w:rPr>
                <w:rFonts w:ascii="Arial" w:cs="Arial" w:eastAsia="Arial" w:hAnsi="Arial"/>
                <w:sz w:val="19"/>
                <w:szCs w:val="19"/>
                <w:color w:val="auto"/>
              </w:rPr>
              <w:t>(2.7)%</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19"/>
        </w:trPr>
        <w:tc>
          <w:tcPr>
            <w:tcW w:w="8280" w:type="dxa"/>
            <w:vAlign w:val="bottom"/>
            <w:gridSpan w:val="3"/>
            <w:shd w:val="clear" w:color="auto" w:fill="CFF0FC"/>
          </w:tcPr>
          <w:p>
            <w:pPr>
              <w:spacing w:after="0" w:line="19" w:lineRule="exact"/>
              <w:rPr>
                <w:sz w:val="20"/>
                <w:szCs w:val="20"/>
                <w:color w:val="auto"/>
              </w:rPr>
            </w:pPr>
            <w:r>
              <w:rPr>
                <w:rFonts w:ascii="Arial" w:cs="Arial" w:eastAsia="Arial" w:hAnsi="Arial"/>
                <w:sz w:val="2"/>
                <w:szCs w:val="2"/>
                <w:color w:val="auto"/>
              </w:rPr>
              <w:t>Total Aggregates Operations</w:t>
            </w:r>
          </w:p>
        </w:tc>
        <w:tc>
          <w:tcPr>
            <w:tcW w:w="940" w:type="dxa"/>
            <w:vAlign w:val="bottom"/>
            <w:gridSpan w:val="3"/>
            <w:shd w:val="clear" w:color="auto" w:fill="CFF0FC"/>
          </w:tcPr>
          <w:p>
            <w:pPr>
              <w:jc w:val="right"/>
              <w:ind w:right="200"/>
              <w:spacing w:after="0" w:line="19" w:lineRule="exact"/>
              <w:rPr>
                <w:sz w:val="20"/>
                <w:szCs w:val="20"/>
                <w:color w:val="auto"/>
              </w:rPr>
            </w:pPr>
            <w:r>
              <w:rPr>
                <w:rFonts w:ascii="Arial" w:cs="Arial" w:eastAsia="Arial" w:hAnsi="Arial"/>
                <w:sz w:val="2"/>
                <w:szCs w:val="2"/>
                <w:color w:val="auto"/>
              </w:rPr>
              <w:t>(4.1)%</w:t>
            </w:r>
          </w:p>
        </w:tc>
        <w:tc>
          <w:tcPr>
            <w:tcW w:w="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380" w:type="dxa"/>
            <w:vAlign w:val="bottom"/>
            <w:gridSpan w:val="3"/>
            <w:shd w:val="clear" w:color="auto" w:fill="CFF0FC"/>
          </w:tcPr>
          <w:p>
            <w:pPr>
              <w:jc w:val="right"/>
              <w:ind w:right="20"/>
              <w:spacing w:after="0" w:line="19" w:lineRule="exact"/>
              <w:rPr>
                <w:sz w:val="20"/>
                <w:szCs w:val="20"/>
                <w:color w:val="auto"/>
              </w:rPr>
            </w:pPr>
            <w:r>
              <w:rPr>
                <w:rFonts w:ascii="Arial" w:cs="Arial" w:eastAsia="Arial" w:hAnsi="Arial"/>
                <w:sz w:val="2"/>
                <w:szCs w:val="2"/>
                <w:color w:val="auto"/>
              </w:rPr>
              <w:t>2.9%</w:t>
            </w:r>
          </w:p>
        </w:tc>
        <w:tc>
          <w:tcPr>
            <w:tcW w:w="0" w:type="dxa"/>
            <w:vAlign w:val="bottom"/>
          </w:tcPr>
          <w:p>
            <w:pPr>
              <w:spacing w:after="0" w:line="20" w:lineRule="exact"/>
              <w:rPr>
                <w:sz w:val="1"/>
                <w:szCs w:val="1"/>
                <w:color w:val="auto"/>
              </w:rPr>
            </w:pPr>
          </w:p>
        </w:tc>
      </w:tr>
      <w:tr>
        <w:trPr>
          <w:trHeight w:val="211"/>
        </w:trPr>
        <w:tc>
          <w:tcPr>
            <w:tcW w:w="6960" w:type="dxa"/>
            <w:vAlign w:val="bottom"/>
            <w:shd w:val="clear" w:color="auto" w:fill="CFF0FC"/>
          </w:tcPr>
          <w:p>
            <w:pPr>
              <w:ind w:left="218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5"/>
          </w:tcPr>
          <w:p>
            <w:pPr>
              <w:jc w:val="center"/>
              <w:spacing w:after="0"/>
              <w:rPr>
                <w:sz w:val="20"/>
                <w:szCs w:val="20"/>
                <w:color w:val="auto"/>
              </w:rPr>
            </w:pPr>
            <w:r>
              <w:rPr>
                <w:rFonts w:ascii="Arial" w:cs="Arial" w:eastAsia="Arial" w:hAnsi="Arial"/>
                <w:sz w:val="19"/>
                <w:szCs w:val="19"/>
                <w:color w:val="auto"/>
                <w:w w:val="91"/>
              </w:rPr>
              <w:t>Nine Months Ended</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left="5"/>
              <w:spacing w:after="0"/>
              <w:rPr>
                <w:sz w:val="20"/>
                <w:szCs w:val="20"/>
                <w:color w:val="auto"/>
              </w:rPr>
            </w:pPr>
            <w:r>
              <w:rPr>
                <w:rFonts w:ascii="Arial" w:cs="Arial" w:eastAsia="Arial" w:hAnsi="Arial"/>
                <w:sz w:val="19"/>
                <w:szCs w:val="19"/>
                <w:color w:val="auto"/>
                <w:w w:val="88"/>
              </w:rPr>
              <w:t>September 30,</w:t>
            </w: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2020</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27"/>
              <w:spacing w:after="0"/>
              <w:rPr>
                <w:sz w:val="20"/>
                <w:szCs w:val="20"/>
                <w:color w:val="auto"/>
              </w:rPr>
            </w:pPr>
            <w:r>
              <w:rPr>
                <w:rFonts w:ascii="Arial" w:cs="Arial" w:eastAsia="Arial" w:hAnsi="Arial"/>
                <w:sz w:val="19"/>
                <w:szCs w:val="19"/>
                <w:color w:val="auto"/>
              </w:rPr>
              <w:t>2019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80" w:type="dxa"/>
            <w:vAlign w:val="bottom"/>
            <w:gridSpan w:val="3"/>
            <w:vMerge w:val="restart"/>
          </w:tcPr>
          <w:p>
            <w:pPr>
              <w:spacing w:after="0"/>
              <w:rPr>
                <w:sz w:val="20"/>
                <w:szCs w:val="20"/>
                <w:color w:val="auto"/>
              </w:rPr>
            </w:pPr>
            <w:r>
              <w:rPr>
                <w:rFonts w:ascii="Arial" w:cs="Arial" w:eastAsia="Arial" w:hAnsi="Arial"/>
                <w:sz w:val="19"/>
                <w:szCs w:val="19"/>
                <w:b w:val="1"/>
                <w:bCs w:val="1"/>
                <w:color w:val="auto"/>
              </w:rPr>
              <w:t>Shipments</w:t>
            </w:r>
          </w:p>
        </w:tc>
        <w:tc>
          <w:tcPr>
            <w:tcW w:w="1580" w:type="dxa"/>
            <w:vAlign w:val="bottom"/>
            <w:gridSpan w:val="5"/>
          </w:tcPr>
          <w:p>
            <w:pPr>
              <w:jc w:val="center"/>
              <w:ind w:left="5"/>
              <w:spacing w:after="0"/>
              <w:rPr>
                <w:sz w:val="20"/>
                <w:szCs w:val="20"/>
                <w:color w:val="auto"/>
              </w:rPr>
            </w:pPr>
            <w:r>
              <w:rPr>
                <w:rFonts w:ascii="Arial" w:cs="Arial" w:eastAsia="Arial" w:hAnsi="Arial"/>
                <w:sz w:val="19"/>
                <w:szCs w:val="19"/>
                <w:i w:val="1"/>
                <w:iCs w:val="1"/>
                <w:color w:val="auto"/>
                <w:w w:val="93"/>
              </w:rPr>
              <w:t>(Tons in Millions)</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8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80" w:type="dxa"/>
            <w:vAlign w:val="bottom"/>
            <w:gridSpan w:val="3"/>
          </w:tcPr>
          <w:p>
            <w:pPr>
              <w:ind w:left="260"/>
              <w:spacing w:after="0"/>
              <w:rPr>
                <w:sz w:val="20"/>
                <w:szCs w:val="20"/>
                <w:color w:val="auto"/>
              </w:rPr>
            </w:pPr>
            <w:r>
              <w:rPr>
                <w:rFonts w:ascii="Arial" w:cs="Arial" w:eastAsia="Arial" w:hAnsi="Arial"/>
                <w:sz w:val="19"/>
                <w:szCs w:val="19"/>
                <w:color w:val="auto"/>
              </w:rPr>
              <w:t>East Group</w:t>
            </w:r>
          </w:p>
        </w:tc>
        <w:tc>
          <w:tcPr>
            <w:tcW w:w="680" w:type="dxa"/>
            <w:vAlign w:val="bottom"/>
            <w:gridSpan w:val="2"/>
          </w:tcPr>
          <w:p>
            <w:pPr>
              <w:jc w:val="right"/>
              <w:ind w:right="20"/>
              <w:spacing w:after="0"/>
              <w:rPr>
                <w:sz w:val="20"/>
                <w:szCs w:val="20"/>
                <w:color w:val="auto"/>
              </w:rPr>
            </w:pPr>
            <w:r>
              <w:rPr>
                <w:rFonts w:ascii="Arial" w:cs="Arial" w:eastAsia="Arial" w:hAnsi="Arial"/>
                <w:sz w:val="19"/>
                <w:szCs w:val="19"/>
                <w:color w:val="auto"/>
              </w:rPr>
              <w:t>89.4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9"/>
                <w:szCs w:val="19"/>
                <w:color w:val="auto"/>
              </w:rPr>
              <w:t>93.9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8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West Group</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51.8</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
        </w:trPr>
        <w:tc>
          <w:tcPr>
            <w:tcW w:w="7100" w:type="dxa"/>
            <w:vAlign w:val="bottom"/>
            <w:gridSpan w:val="2"/>
          </w:tcPr>
          <w:p>
            <w:pPr>
              <w:spacing w:after="0"/>
              <w:rPr>
                <w:sz w:val="20"/>
                <w:szCs w:val="20"/>
                <w:color w:val="auto"/>
              </w:rPr>
            </w:pPr>
            <w:r>
              <w:rPr>
                <w:rFonts w:ascii="Arial" w:cs="Arial" w:eastAsia="Arial" w:hAnsi="Arial"/>
                <w:sz w:val="1"/>
                <w:szCs w:val="1"/>
                <w:color w:val="auto"/>
              </w:rPr>
              <w:t>Total Aggregates Operations</w:t>
            </w:r>
          </w:p>
        </w:tc>
        <w:tc>
          <w:tcPr>
            <w:tcW w:w="11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
                <w:szCs w:val="1"/>
                <w:color w:val="auto"/>
              </w:rPr>
              <w:t>141.2</w:t>
            </w: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
                <w:szCs w:val="1"/>
                <w:color w:val="auto"/>
              </w:rPr>
              <w:t>147.2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60" w:type="dxa"/>
            <w:vAlign w:val="bottom"/>
          </w:tcPr>
          <w:p>
            <w:pPr>
              <w:ind w:left="218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240" w:hanging="226"/>
        <w:spacing w:after="0"/>
        <w:tabs>
          <w:tab w:leader="none" w:pos="240" w:val="left"/>
        </w:tabs>
        <w:numPr>
          <w:ilvl w:val="0"/>
          <w:numId w:val="19"/>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19"/>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115" w:lineRule="exact"/>
        <w:rPr>
          <w:sz w:val="20"/>
          <w:szCs w:val="20"/>
          <w:color w:val="auto"/>
        </w:rPr>
      </w:pPr>
    </w:p>
    <w:p>
      <w:pPr>
        <w:jc w:val="center"/>
        <w:ind w:left="7620"/>
        <w:spacing w:after="0"/>
        <w:rPr>
          <w:sz w:val="20"/>
          <w:szCs w:val="20"/>
          <w:color w:val="auto"/>
        </w:rPr>
      </w:pPr>
      <w:r>
        <w:rPr>
          <w:rFonts w:ascii="Arial" w:cs="Arial" w:eastAsia="Arial" w:hAnsi="Arial"/>
          <w:sz w:val="19"/>
          <w:szCs w:val="19"/>
          <w:color w:val="auto"/>
        </w:rPr>
        <w:t>Nine Months Ended</w:t>
      </w:r>
    </w:p>
    <w:p>
      <w:pPr>
        <w:spacing w:after="0" w:line="22" w:lineRule="exact"/>
        <w:rPr>
          <w:sz w:val="20"/>
          <w:szCs w:val="20"/>
          <w:color w:val="auto"/>
        </w:rPr>
      </w:pPr>
    </w:p>
    <w:p>
      <w:pPr>
        <w:jc w:val="center"/>
        <w:ind w:left="7620"/>
        <w:spacing w:after="0"/>
        <w:rPr>
          <w:sz w:val="20"/>
          <w:szCs w:val="20"/>
          <w:color w:val="auto"/>
        </w:rPr>
      </w:pPr>
      <w:r>
        <w:rPr>
          <w:rFonts w:ascii="Arial" w:cs="Arial" w:eastAsia="Arial" w:hAnsi="Arial"/>
          <w:sz w:val="19"/>
          <w:szCs w:val="19"/>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6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9"/>
                <w:szCs w:val="19"/>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9"/>
                <w:szCs w:val="19"/>
                <w:b w:val="1"/>
                <w:bCs w:val="1"/>
                <w:color w:val="auto"/>
              </w:rPr>
              <w:t>Shipments</w:t>
            </w: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9"/>
                <w:szCs w:val="19"/>
                <w:color w:val="auto"/>
              </w:rPr>
              <w:t>Aggregates (in millions):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780" w:type="dxa"/>
            <w:vAlign w:val="bottom"/>
            <w:gridSpan w:val="2"/>
            <w:shd w:val="clear" w:color="auto" w:fill="CFF0FC"/>
          </w:tcPr>
          <w:p>
            <w:pPr>
              <w:ind w:left="260"/>
              <w:spacing w:after="0"/>
              <w:rPr>
                <w:sz w:val="20"/>
                <w:szCs w:val="20"/>
                <w:color w:val="auto"/>
              </w:rPr>
            </w:pPr>
            <w:r>
              <w:rPr>
                <w:rFonts w:ascii="Arial" w:cs="Arial" w:eastAsia="Arial" w:hAnsi="Arial"/>
                <w:sz w:val="19"/>
                <w:szCs w:val="19"/>
                <w:color w:val="auto"/>
              </w:rPr>
              <w:t>Tons to external customers</w:t>
            </w:r>
          </w:p>
        </w:tc>
        <w:tc>
          <w:tcPr>
            <w:tcW w:w="5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131.9</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139.4</w:t>
            </w:r>
          </w:p>
        </w:tc>
        <w:tc>
          <w:tcPr>
            <w:tcW w:w="100" w:type="dxa"/>
            <w:vAlign w:val="bottom"/>
            <w:shd w:val="clear" w:color="auto" w:fill="CFF0FC"/>
          </w:tcPr>
          <w:p>
            <w:pPr>
              <w:spacing w:after="0"/>
              <w:rPr>
                <w:sz w:val="19"/>
                <w:szCs w:val="19"/>
                <w:color w:val="auto"/>
              </w:rPr>
            </w:pPr>
          </w:p>
        </w:tc>
      </w:tr>
      <w:tr>
        <w:trPr>
          <w:trHeight w:val="230"/>
        </w:trPr>
        <w:tc>
          <w:tcPr>
            <w:tcW w:w="8780" w:type="dxa"/>
            <w:vAlign w:val="bottom"/>
            <w:gridSpan w:val="2"/>
          </w:tcPr>
          <w:p>
            <w:pPr>
              <w:ind w:left="260"/>
              <w:spacing w:after="0"/>
              <w:rPr>
                <w:sz w:val="20"/>
                <w:szCs w:val="20"/>
                <w:color w:val="auto"/>
              </w:rPr>
            </w:pPr>
            <w:r>
              <w:rPr>
                <w:rFonts w:ascii="Arial" w:cs="Arial" w:eastAsia="Arial" w:hAnsi="Arial"/>
                <w:sz w:val="19"/>
                <w:szCs w:val="19"/>
                <w:color w:val="auto"/>
              </w:rPr>
              <w:t>Internal tons used in other product lines</w:t>
            </w:r>
          </w:p>
        </w:tc>
        <w:tc>
          <w:tcPr>
            <w:tcW w:w="520" w:type="dxa"/>
            <w:vAlign w:val="bottom"/>
          </w:tcPr>
          <w:p>
            <w:pPr>
              <w:jc w:val="right"/>
              <w:spacing w:after="0"/>
              <w:rPr>
                <w:sz w:val="20"/>
                <w:szCs w:val="20"/>
                <w:color w:val="auto"/>
              </w:rPr>
            </w:pPr>
            <w:r>
              <w:rPr>
                <w:rFonts w:ascii="Arial" w:cs="Arial" w:eastAsia="Arial" w:hAnsi="Arial"/>
                <w:sz w:val="19"/>
                <w:szCs w:val="19"/>
                <w:color w:val="auto"/>
              </w:rPr>
              <w:t>9.3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7.8</w:t>
            </w:r>
          </w:p>
        </w:tc>
        <w:tc>
          <w:tcPr>
            <w:tcW w:w="100" w:type="dxa"/>
            <w:vAlign w:val="bottom"/>
          </w:tcPr>
          <w:p>
            <w:pPr>
              <w:spacing w:after="0"/>
              <w:rPr>
                <w:sz w:val="19"/>
                <w:szCs w:val="19"/>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aggregates tons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141.2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147.2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78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Cement (in millions):</w:t>
            </w: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9"/>
                <w:szCs w:val="19"/>
                <w:color w:val="auto"/>
              </w:rPr>
              <w:t>Tons to external customers</w:t>
            </w:r>
          </w:p>
        </w:tc>
        <w:tc>
          <w:tcPr>
            <w:tcW w:w="520" w:type="dxa"/>
            <w:vAlign w:val="bottom"/>
          </w:tcPr>
          <w:p>
            <w:pPr>
              <w:jc w:val="right"/>
              <w:spacing w:after="0"/>
              <w:rPr>
                <w:sz w:val="20"/>
                <w:szCs w:val="20"/>
                <w:color w:val="auto"/>
              </w:rPr>
            </w:pPr>
            <w:r>
              <w:rPr>
                <w:rFonts w:ascii="Arial" w:cs="Arial" w:eastAsia="Arial" w:hAnsi="Arial"/>
                <w:sz w:val="19"/>
                <w:szCs w:val="19"/>
                <w:color w:val="auto"/>
              </w:rPr>
              <w:t>2.0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2.0</w:t>
            </w:r>
          </w:p>
        </w:tc>
        <w:tc>
          <w:tcPr>
            <w:tcW w:w="100" w:type="dxa"/>
            <w:vAlign w:val="bottom"/>
          </w:tcPr>
          <w:p>
            <w:pPr>
              <w:spacing w:after="0"/>
              <w:rPr>
                <w:sz w:val="19"/>
                <w:szCs w:val="19"/>
                <w:color w:val="auto"/>
              </w:rPr>
            </w:pPr>
          </w:p>
        </w:tc>
      </w:tr>
      <w:tr>
        <w:trPr>
          <w:trHeight w:val="229"/>
        </w:trPr>
        <w:tc>
          <w:tcPr>
            <w:tcW w:w="8780" w:type="dxa"/>
            <w:vAlign w:val="bottom"/>
            <w:gridSpan w:val="2"/>
            <w:shd w:val="clear" w:color="auto" w:fill="CFF0FC"/>
          </w:tcPr>
          <w:p>
            <w:pPr>
              <w:ind w:left="140"/>
              <w:spacing w:after="0"/>
              <w:rPr>
                <w:sz w:val="20"/>
                <w:szCs w:val="20"/>
                <w:color w:val="auto"/>
              </w:rPr>
            </w:pPr>
            <w:r>
              <w:rPr>
                <w:rFonts w:ascii="Arial" w:cs="Arial" w:eastAsia="Arial" w:hAnsi="Arial"/>
                <w:sz w:val="19"/>
                <w:szCs w:val="19"/>
                <w:color w:val="auto"/>
              </w:rPr>
              <w:t>Internal tons used in ready mixed concrete</w:t>
            </w:r>
          </w:p>
        </w:tc>
        <w:tc>
          <w:tcPr>
            <w:tcW w:w="5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0.9</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0.9</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Total cement tons</w:t>
            </w:r>
          </w:p>
        </w:tc>
        <w:tc>
          <w:tcPr>
            <w:tcW w:w="10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2.9</w:t>
            </w:r>
          </w:p>
        </w:tc>
        <w:tc>
          <w:tcPr>
            <w:tcW w:w="280" w:type="dxa"/>
            <w:vAlign w:val="bottom"/>
            <w:tcBorders>
              <w:bottom w:val="single" w:sz="8" w:color="CFF0FC"/>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2.9</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8780" w:type="dxa"/>
            <w:vAlign w:val="bottom"/>
            <w:gridSpan w:val="2"/>
          </w:tcPr>
          <w:p>
            <w:pPr>
              <w:spacing w:after="0"/>
              <w:rPr>
                <w:sz w:val="20"/>
                <w:szCs w:val="20"/>
                <w:color w:val="auto"/>
              </w:rPr>
            </w:pPr>
            <w:r>
              <w:rPr>
                <w:rFonts w:ascii="Arial" w:cs="Arial" w:eastAsia="Arial" w:hAnsi="Arial"/>
                <w:sz w:val="19"/>
                <w:szCs w:val="19"/>
                <w:color w:val="auto"/>
              </w:rPr>
              <w:t>Ready Mixed Concrete (in millions of cubic yards)</w:t>
            </w:r>
          </w:p>
        </w:tc>
        <w:tc>
          <w:tcPr>
            <w:tcW w:w="520" w:type="dxa"/>
            <w:vAlign w:val="bottom"/>
          </w:tcPr>
          <w:p>
            <w:pPr>
              <w:jc w:val="right"/>
              <w:spacing w:after="0"/>
              <w:rPr>
                <w:sz w:val="20"/>
                <w:szCs w:val="20"/>
                <w:color w:val="auto"/>
              </w:rPr>
            </w:pPr>
            <w:r>
              <w:rPr>
                <w:rFonts w:ascii="Arial" w:cs="Arial" w:eastAsia="Arial" w:hAnsi="Arial"/>
                <w:sz w:val="19"/>
                <w:szCs w:val="19"/>
                <w:color w:val="auto"/>
              </w:rPr>
              <w:t>6.1</w:t>
            </w: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6.5</w:t>
            </w:r>
          </w:p>
        </w:tc>
        <w:tc>
          <w:tcPr>
            <w:tcW w:w="100" w:type="dxa"/>
            <w:vAlign w:val="bottom"/>
          </w:tcPr>
          <w:p>
            <w:pPr>
              <w:spacing w:after="0"/>
              <w:rPr>
                <w:sz w:val="23"/>
                <w:szCs w:val="23"/>
                <w:color w:val="auto"/>
              </w:rPr>
            </w:pPr>
          </w:p>
        </w:tc>
      </w:tr>
      <w:tr>
        <w:trPr>
          <w:trHeight w:val="210"/>
        </w:trPr>
        <w:tc>
          <w:tcPr>
            <w:tcW w:w="77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9"/>
                <w:szCs w:val="19"/>
                <w:color w:val="auto"/>
              </w:rPr>
              <w:t>Asphalt (in millions):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780" w:type="dxa"/>
            <w:vAlign w:val="bottom"/>
            <w:gridSpan w:val="2"/>
            <w:shd w:val="clear" w:color="auto" w:fill="CFF0FC"/>
          </w:tcPr>
          <w:p>
            <w:pPr>
              <w:ind w:left="260"/>
              <w:spacing w:after="0"/>
              <w:rPr>
                <w:sz w:val="20"/>
                <w:szCs w:val="20"/>
                <w:color w:val="auto"/>
              </w:rPr>
            </w:pPr>
            <w:r>
              <w:rPr>
                <w:rFonts w:ascii="Arial" w:cs="Arial" w:eastAsia="Arial" w:hAnsi="Arial"/>
                <w:sz w:val="19"/>
                <w:szCs w:val="19"/>
                <w:color w:val="auto"/>
              </w:rPr>
              <w:t>Tons to external customers</w:t>
            </w:r>
          </w:p>
        </w:tc>
        <w:tc>
          <w:tcPr>
            <w:tcW w:w="5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0.6</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0.7</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gridSpan w:val="2"/>
          </w:tcPr>
          <w:p>
            <w:pPr>
              <w:ind w:left="260"/>
              <w:spacing w:after="0"/>
              <w:rPr>
                <w:sz w:val="20"/>
                <w:szCs w:val="20"/>
                <w:color w:val="auto"/>
              </w:rPr>
            </w:pPr>
            <w:r>
              <w:rPr>
                <w:rFonts w:ascii="Arial" w:cs="Arial" w:eastAsia="Arial" w:hAnsi="Arial"/>
                <w:sz w:val="19"/>
                <w:szCs w:val="19"/>
                <w:color w:val="auto"/>
              </w:rPr>
              <w:t>Internal tons used in paving business</w:t>
            </w:r>
          </w:p>
        </w:tc>
        <w:tc>
          <w:tcPr>
            <w:tcW w:w="520" w:type="dxa"/>
            <w:vAlign w:val="bottom"/>
          </w:tcPr>
          <w:p>
            <w:pPr>
              <w:jc w:val="right"/>
              <w:spacing w:after="0"/>
              <w:rPr>
                <w:sz w:val="20"/>
                <w:szCs w:val="20"/>
                <w:color w:val="auto"/>
              </w:rPr>
            </w:pPr>
            <w:r>
              <w:rPr>
                <w:rFonts w:ascii="Arial" w:cs="Arial" w:eastAsia="Arial" w:hAnsi="Arial"/>
                <w:sz w:val="19"/>
                <w:szCs w:val="19"/>
                <w:color w:val="auto"/>
              </w:rPr>
              <w:t>2.0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1.6</w:t>
            </w:r>
          </w:p>
        </w:tc>
        <w:tc>
          <w:tcPr>
            <w:tcW w:w="100" w:type="dxa"/>
            <w:vAlign w:val="bottom"/>
          </w:tcPr>
          <w:p>
            <w:pPr>
              <w:spacing w:after="0"/>
              <w:rPr>
                <w:sz w:val="19"/>
                <w:szCs w:val="19"/>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asphalt tons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80" w:type="dxa"/>
            <w:vAlign w:val="bottom"/>
            <w:gridSpan w:val="4"/>
          </w:tcPr>
          <w:p>
            <w:pPr>
              <w:jc w:val="center"/>
              <w:ind w:right="400"/>
              <w:spacing w:after="0"/>
              <w:rPr>
                <w:sz w:val="20"/>
                <w:szCs w:val="20"/>
                <w:color w:val="auto"/>
              </w:rPr>
            </w:pPr>
            <w:r>
              <w:rPr>
                <w:rFonts w:ascii="Arial" w:cs="Arial" w:eastAsia="Arial" w:hAnsi="Arial"/>
                <w:sz w:val="20"/>
                <w:szCs w:val="20"/>
                <w:color w:val="auto"/>
                <w:w w:val="89"/>
              </w:rPr>
              <w:t>Nine Months Ended</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6"/>
        </w:trPr>
        <w:tc>
          <w:tcPr>
            <w:tcW w:w="56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September 30,</w:t>
            </w:r>
          </w:p>
        </w:tc>
        <w:tc>
          <w:tcPr>
            <w:tcW w:w="13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56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2019</w:t>
            </w:r>
          </w:p>
        </w:tc>
        <w:tc>
          <w:tcPr>
            <w:tcW w:w="38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7"/>
        </w:trPr>
        <w:tc>
          <w:tcPr>
            <w:tcW w:w="562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14.73</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14.31</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2.9%</w:t>
            </w:r>
          </w:p>
        </w:tc>
      </w:tr>
      <w:tr>
        <w:trPr>
          <w:trHeight w:val="243"/>
        </w:trPr>
        <w:tc>
          <w:tcPr>
            <w:tcW w:w="5620" w:type="dxa"/>
            <w:vAlign w:val="bottom"/>
          </w:tcPr>
          <w:p>
            <w:pPr>
              <w:spacing w:after="0"/>
              <w:rPr>
                <w:sz w:val="20"/>
                <w:szCs w:val="20"/>
                <w:color w:val="auto"/>
              </w:rPr>
            </w:pPr>
            <w:r>
              <w:rPr>
                <w:rFonts w:ascii="Arial" w:cs="Arial" w:eastAsia="Arial" w:hAnsi="Arial"/>
                <w:sz w:val="20"/>
                <w:szCs w:val="20"/>
                <w:color w:val="auto"/>
              </w:rPr>
              <w:t>Cement (per ton)</w:t>
            </w:r>
          </w:p>
        </w:tc>
        <w:tc>
          <w:tcPr>
            <w:tcW w:w="1120" w:type="dxa"/>
            <w:vAlign w:val="bottom"/>
          </w:tcPr>
          <w:p>
            <w:pPr>
              <w:jc w:val="right"/>
              <w:ind w:right="921"/>
              <w:spacing w:after="0"/>
              <w:rPr>
                <w:sz w:val="20"/>
                <w:szCs w:val="20"/>
                <w:color w:val="auto"/>
              </w:rPr>
            </w:pPr>
            <w:r>
              <w:rPr>
                <w:rFonts w:ascii="Arial" w:cs="Arial" w:eastAsia="Arial" w:hAnsi="Arial"/>
                <w:sz w:val="20"/>
                <w:szCs w:val="20"/>
                <w:color w:val="auto"/>
                <w:w w:val="71"/>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1"/>
              </w:rPr>
              <w:t>113.83</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112.53</w:t>
            </w:r>
          </w:p>
        </w:tc>
        <w:tc>
          <w:tcPr>
            <w:tcW w:w="38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1.2%</w:t>
            </w:r>
          </w:p>
        </w:tc>
      </w:tr>
      <w:tr>
        <w:trPr>
          <w:trHeight w:val="243"/>
        </w:trPr>
        <w:tc>
          <w:tcPr>
            <w:tcW w:w="562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113.75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110.89</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2.6%</w:t>
            </w:r>
          </w:p>
        </w:tc>
      </w:tr>
      <w:tr>
        <w:trPr>
          <w:trHeight w:val="250"/>
        </w:trPr>
        <w:tc>
          <w:tcPr>
            <w:tcW w:w="5620" w:type="dxa"/>
            <w:vAlign w:val="bottom"/>
          </w:tcPr>
          <w:p>
            <w:pPr>
              <w:spacing w:after="0"/>
              <w:rPr>
                <w:sz w:val="20"/>
                <w:szCs w:val="20"/>
                <w:color w:val="auto"/>
              </w:rPr>
            </w:pPr>
            <w:r>
              <w:rPr>
                <w:rFonts w:ascii="Arial" w:cs="Arial" w:eastAsia="Arial" w:hAnsi="Arial"/>
                <w:sz w:val="20"/>
                <w:szCs w:val="20"/>
                <w:color w:val="auto"/>
              </w:rPr>
              <w:t>Asphalt (per ton)</w:t>
            </w:r>
          </w:p>
        </w:tc>
        <w:tc>
          <w:tcPr>
            <w:tcW w:w="1120" w:type="dxa"/>
            <w:vAlign w:val="bottom"/>
          </w:tcPr>
          <w:p>
            <w:pPr>
              <w:jc w:val="right"/>
              <w:ind w:right="921"/>
              <w:spacing w:after="0"/>
              <w:rPr>
                <w:sz w:val="20"/>
                <w:szCs w:val="20"/>
                <w:color w:val="auto"/>
              </w:rPr>
            </w:pPr>
            <w:r>
              <w:rPr>
                <w:rFonts w:ascii="Arial" w:cs="Arial" w:eastAsia="Arial" w:hAnsi="Arial"/>
                <w:sz w:val="20"/>
                <w:szCs w:val="20"/>
                <w:color w:val="auto"/>
                <w:w w:val="71"/>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47.99</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46.83</w:t>
            </w:r>
          </w:p>
        </w:tc>
        <w:tc>
          <w:tcPr>
            <w:tcW w:w="38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2.5%</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Product Line End-Use Markets</w:t>
      </w:r>
    </w:p>
    <w:p>
      <w:pPr>
        <w:spacing w:after="0" w:line="108" w:lineRule="exact"/>
        <w:rPr>
          <w:sz w:val="20"/>
          <w:szCs w:val="20"/>
          <w:color w:val="auto"/>
        </w:rPr>
      </w:pPr>
    </w:p>
    <w:p>
      <w:pPr>
        <w:jc w:val="both"/>
        <w:ind w:right="20"/>
        <w:spacing w:after="0" w:line="369" w:lineRule="auto"/>
        <w:rPr>
          <w:sz w:val="20"/>
          <w:szCs w:val="20"/>
          <w:color w:val="auto"/>
        </w:rPr>
      </w:pPr>
      <w:r>
        <w:rPr>
          <w:rFonts w:ascii="Arial" w:cs="Arial" w:eastAsia="Arial" w:hAnsi="Arial"/>
          <w:sz w:val="16"/>
          <w:szCs w:val="16"/>
          <w:color w:val="auto"/>
        </w:rPr>
        <w:t>For the nine months ended September 30, 2020, aggregates shipments to the infrastructure market accounted for 37% of aggregates volumes and declined 2% compared to the prior-year period, driven by lower anticipated infrastructure shipments in portions of North Carolina.</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Aggregates shipments to the nonresidential market declined following double-digit growth in commercial and heavy industrial construction activity, notably in Texas and Iowa, in the prior-year period. Additionally, energy-sector demand declined in 2020, driven by low oil prices. The nonresidential market represented 33% of year-to-date aggregates shipments.</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Following a slowdown in the residential market in the first quarter of 2020 due to COVID-19, aggregates shipments to the residential market increased, reflecting pent-up housing demand and emerging homebuying trends as prospective buyers look to move to small metro or suburban locations. The residential market accounted for 24% of year-to-date aggregates shipments.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6% of year-to-date aggregates shipments. Volumes to this end use were relatively flat compared with the prior-year period.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nine months ended September 30, 2020, aggregates shipments decreased 4.1%, reflecting the broad economic impact from COVID-19 and a comparison with prior-year volumes that benefited from carryover work from 2018. Pricing increased 2.9% compared with the prior-year period which, coupled with effective cost control and lower diesel fuel costs, led to a 60-basis-point improvement in aggregates product gross margin to 30.6%. On a mix-adjusted basis, pricing increased 3.9%.</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nine months ended September 30, 2020, cement shipments decreased 0.7% and pricing increased 1.2% compared with the prior-year period. On a mix-adjusted basis, pricing increased 3.3%. Production efficiencies and lower fuel costs contributed to the 370-basis-point expansion in cement product gross margin to 35.3%.</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Ready mixed concrete pricing improved 2.6% and shipments declined 1.5%, excluding shipments from ready mixed concrete operations acquired in the third quarter of 2020 and excluding shipments for the nine months ended September 30, 2019 from the Southwest Division’s ArkLaTex ready mix operations divested in January 2020. Asphalt volume increased 14.4% attributable to favorable weather compared with the prior-year period and strong customer demand. Asphalt pricing increased 2.5%.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For the nine months ended September 30, 2020, Magnesia Specialties reported product revenues of $164.0 million compared with $198.9 million for the prior-year period. Year-over-year revenue decline is primarily attributable to lower lime and periclase shipments to the steel industry in response to the COVID-19-induced shutdown of domestic auto manufacturers. Additionally, the business experienced a continued decline in chemicals products sales as both domestic and international customers experienced a downturn in economic activity related to COVID-19. Product gross profit was $65.3 million compared with $79.8 million. Product line gross margin for the nine months ended September 30, 2020, was 39.8%, with effective cost control limiting the decline to 30 basis points versus the prior-year period. Earnings from operations were $51.2 million compared with $68.0 million.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nine months ended September 30, 2020, consolidated SG&amp;A was 6.2% of total revenues compared with 6.3% in 2019. During the first nine months of 2020, the Company incurred $4.8 million in COVID-19 related expenses for enhanced cleaning and sanitizing protocols across the Company’s operations, which are recorded in SG&amp;A. Earnings from operations for the nine months ended September 30 were $764.8 million in 2020 compared with $700.4 million in 2019.</w:t>
      </w:r>
    </w:p>
    <w:p>
      <w:pPr>
        <w:spacing w:after="0" w:line="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Among other items, other operating income, net, includes gains and losses on the sale of assets; recoveries and write-offs related to customer accounts receivable; rental, royalty and services income; accretion expense, depreciation expense and gains and losses related to asset retirement obligations. For the nine months ended September 30, consolidated other operating income, net, was income of $59.6 million and $9.1 million in 2020 and 2019, respectively. The 2020 amount includes $69.9 million of nonrecurring gains on the sales of investment land and divested assets in Austin, Texas; Riverside, California; and Augusta, Kansas. These gains are recorded in the West Group. The 2019 amount included the reversal of $6.9 million of accruals for sales tax and unclaimed property contingencies.</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Other nonoperating (income) and expenses, net, includes interest income; pension and postretirement benefit cost, excluding service cost; foreign currency transaction gains and losses; equity in earnings or losses of nonconsolidated affiliates and other miscellaneous income. For the nine months ended September 30, other nonoperating (income) and expenses, net, was income of $5.9 million in 2020 and an expense of $9.7 million in 2019. The 2020 amount reflected lower pension expense of $8.9 million compared with the prior year and also included an expense of $5.6 million to finance third-party railroad track maintenance. The 2019 expense included a $15.7 million ($12.0 million net of tax) out-of-period correction of a Company-identified overstatement of the investment balance for a nonconsolidated equity affiliate.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nine months ended September 30, 2020, the effective income tax rate reflected a $6.9 million discrete benefit from financing third-party railroad track maintenance. In exchange, the Company received a federal income tax credit and deduction. For the nine months ended September 30, 2019, the effective income tax rate reflected a $13.2 million discrete benefit from a change in the tax status of a subsidiary from a partnership to a corporation.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the nine months ended September 30, cash provided by operating activities was $684.0 million in 2020 compared with $649.8 million in 2019. Operating cash flow is primarily derived from consolidated net earnings before deducting depreciation, depletion and amortization, and the impact of changes in working capital. Depreciation, depletion and amortization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spacing w:after="0"/>
              <w:rPr>
                <w:sz w:val="21"/>
                <w:szCs w:val="21"/>
                <w:color w:val="auto"/>
              </w:rPr>
            </w:pPr>
          </w:p>
        </w:tc>
        <w:tc>
          <w:tcPr>
            <w:tcW w:w="2900" w:type="dxa"/>
            <w:vAlign w:val="bottom"/>
            <w:gridSpan w:val="5"/>
          </w:tcPr>
          <w:p>
            <w:pPr>
              <w:jc w:val="center"/>
              <w:ind w:left="401"/>
              <w:spacing w:after="0"/>
              <w:rPr>
                <w:sz w:val="20"/>
                <w:szCs w:val="20"/>
                <w:color w:val="auto"/>
              </w:rPr>
            </w:pPr>
            <w:r>
              <w:rPr>
                <w:rFonts w:ascii="Arial" w:cs="Arial" w:eastAsia="Arial" w:hAnsi="Arial"/>
                <w:sz w:val="20"/>
                <w:szCs w:val="20"/>
                <w:color w:val="auto"/>
                <w:w w:val="91"/>
              </w:rPr>
              <w:t>Nine Months Ended</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77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center"/>
              <w:ind w:right="443"/>
              <w:spacing w:after="0"/>
              <w:rPr>
                <w:sz w:val="20"/>
                <w:szCs w:val="20"/>
                <w:color w:val="auto"/>
              </w:rPr>
            </w:pPr>
            <w:r>
              <w:rPr>
                <w:rFonts w:ascii="Arial" w:cs="Arial" w:eastAsia="Arial" w:hAnsi="Arial"/>
                <w:sz w:val="20"/>
                <w:szCs w:val="20"/>
                <w:color w:val="auto"/>
                <w:w w:val="86"/>
              </w:rPr>
              <w:t>September 30,</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7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20"/>
                <w:szCs w:val="20"/>
                <w:color w:val="auto"/>
              </w:rPr>
              <w:t>2019</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7700" w:type="dxa"/>
            <w:vAlign w:val="bottom"/>
          </w:tcPr>
          <w:p>
            <w:pPr>
              <w:spacing w:after="0"/>
              <w:rPr>
                <w:sz w:val="20"/>
                <w:szCs w:val="20"/>
                <w:color w:val="auto"/>
              </w:rPr>
            </w:pPr>
          </w:p>
        </w:tc>
        <w:tc>
          <w:tcPr>
            <w:tcW w:w="2900" w:type="dxa"/>
            <w:vAlign w:val="bottom"/>
            <w:gridSpan w:val="5"/>
          </w:tcPr>
          <w:p>
            <w:pPr>
              <w:jc w:val="center"/>
              <w:ind w:left="401"/>
              <w:spacing w:after="0"/>
              <w:rPr>
                <w:sz w:val="20"/>
                <w:szCs w:val="20"/>
                <w:color w:val="auto"/>
              </w:rPr>
            </w:pPr>
            <w:r>
              <w:rPr>
                <w:rFonts w:ascii="Arial" w:cs="Arial" w:eastAsia="Arial" w:hAnsi="Arial"/>
                <w:sz w:val="20"/>
                <w:szCs w:val="20"/>
                <w:i w:val="1"/>
                <w:iCs w:val="1"/>
                <w:color w:val="auto"/>
                <w:w w:val="97"/>
              </w:rPr>
              <w:t>(Dollars in Millions)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1040" w:type="dxa"/>
            <w:vAlign w:val="bottom"/>
            <w:shd w:val="clear" w:color="auto" w:fill="CFF0FC"/>
          </w:tcPr>
          <w:p>
            <w:pPr>
              <w:jc w:val="right"/>
              <w:ind w:right="841"/>
              <w:spacing w:after="0"/>
              <w:rPr>
                <w:sz w:val="20"/>
                <w:szCs w:val="20"/>
                <w:color w:val="auto"/>
              </w:rPr>
            </w:pPr>
            <w:r>
              <w:rPr>
                <w:rFonts w:ascii="Arial" w:cs="Arial" w:eastAsia="Arial" w:hAnsi="Arial"/>
                <w:sz w:val="20"/>
                <w:szCs w:val="2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251.1</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63"/>
              <w:spacing w:after="0"/>
              <w:rPr>
                <w:sz w:val="20"/>
                <w:szCs w:val="20"/>
                <w:color w:val="auto"/>
              </w:rPr>
            </w:pPr>
            <w:r>
              <w:rPr>
                <w:rFonts w:ascii="Arial" w:cs="Arial" w:eastAsia="Arial" w:hAnsi="Arial"/>
                <w:sz w:val="20"/>
                <w:szCs w:val="2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234.3</w:t>
            </w:r>
          </w:p>
        </w:tc>
        <w:tc>
          <w:tcPr>
            <w:tcW w:w="120" w:type="dxa"/>
            <w:vAlign w:val="bottom"/>
            <w:shd w:val="clear" w:color="auto" w:fill="CFF0FC"/>
          </w:tcPr>
          <w:p>
            <w:pPr>
              <w:spacing w:after="0"/>
              <w:rPr>
                <w:sz w:val="21"/>
                <w:szCs w:val="2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20"/>
                <w:szCs w:val="20"/>
                <w:color w:val="auto"/>
              </w:rPr>
              <w:t>Depletion</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26.2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27.4</w:t>
            </w:r>
          </w:p>
        </w:tc>
        <w:tc>
          <w:tcPr>
            <w:tcW w:w="120" w:type="dxa"/>
            <w:vAlign w:val="bottom"/>
          </w:tcPr>
          <w:p>
            <w:pPr>
              <w:spacing w:after="0"/>
              <w:rPr>
                <w:sz w:val="21"/>
                <w:szCs w:val="21"/>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14.9</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15.3</w:t>
            </w:r>
          </w:p>
        </w:tc>
        <w:tc>
          <w:tcPr>
            <w:tcW w:w="120" w:type="dxa"/>
            <w:vAlign w:val="bottom"/>
            <w:shd w:val="clear" w:color="auto" w:fill="CFF0FC"/>
          </w:tcPr>
          <w:p>
            <w:pPr>
              <w:spacing w:after="0"/>
              <w:rPr>
                <w:sz w:val="21"/>
                <w:szCs w:val="21"/>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292.2</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277.0</w:t>
            </w:r>
          </w:p>
        </w:tc>
        <w:tc>
          <w:tcPr>
            <w:tcW w:w="12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seasonal nature of construction activity impacts the Company’s quarterly operating cash flow when compared with the full year. Full-year 2019 net cash provided by operating activities was $966.1 million.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During the nine months ended September 30, 2020, the Company paid $250.8 million for capital investments.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repurchased 210,616 shares of common stock during the first nine months of 2020, at an aggregate cost of $50.0 million. Future share repurchases are at the discretion of management and were temporarily paused in March 2020 in light of the COVID-19 pandemic. Management may resume share repurchases as circumstances dictate. At September 30, 2020, 13,520,952 shares of common stock were remaining under the Company’s repurchase authorization.</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March 5, 2020, the Company issued $500 million aggregate principal amount of 2.500% Senior Notes due 2030 (the 2.500% Senior Notes). The 2.500% Senior Notes are carried net of original issue discount, which is being amortized by the effective interest method over the life of the issue. The 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used the net proceeds for general corporate purposes, including the repayment of $300 million of floating rate senior notes at maturity in May 2020.</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Company, through a wholly-owned special-purpose subsidiary, has a $400 million trade receivable securitization facility (the Trade Receivable Facility). On September 23, 2020, the Company extended the maturity of the Trade Receivable Facility to September 22, 2021. The Trade Receivable Facility contains a cross-default provision to the Company’s other debt agreements.</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a $700 million five-year senior unsecured revolving facility (the Revolving Facility), which expires on December 5, 2024. The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Additionally, 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September 30, 2020, the Company’s ratio of consolidated debt-to-consolidated EBITDA, as defined by the Company’s Revolving Facility, for the trailing-twelve months was 1.94 times and was calculated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20"/>
                <w:szCs w:val="20"/>
                <w:color w:val="auto"/>
                <w:w w:val="90"/>
              </w:rPr>
              <w:t>October 1, 2019 to</w:t>
            </w:r>
          </w:p>
        </w:tc>
        <w:tc>
          <w:tcPr>
            <w:tcW w:w="0" w:type="dxa"/>
            <w:vAlign w:val="bottom"/>
          </w:tcPr>
          <w:p>
            <w:pPr>
              <w:spacing w:after="0"/>
              <w:rPr>
                <w:sz w:val="1"/>
                <w:szCs w:val="1"/>
                <w:color w:val="auto"/>
              </w:rPr>
            </w:pPr>
          </w:p>
        </w:tc>
      </w:tr>
      <w:tr>
        <w:trPr>
          <w:trHeight w:val="246"/>
        </w:trPr>
        <w:tc>
          <w:tcPr>
            <w:tcW w:w="8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20"/>
                <w:szCs w:val="20"/>
                <w:color w:val="auto"/>
                <w:w w:val="87"/>
              </w:rPr>
              <w:t>September 30, 2020</w:t>
            </w:r>
          </w:p>
        </w:tc>
        <w:tc>
          <w:tcPr>
            <w:tcW w:w="0" w:type="dxa"/>
            <w:vAlign w:val="bottom"/>
          </w:tcPr>
          <w:p>
            <w:pPr>
              <w:spacing w:after="0"/>
              <w:rPr>
                <w:sz w:val="1"/>
                <w:szCs w:val="1"/>
                <w:color w:val="auto"/>
              </w:rPr>
            </w:pPr>
          </w:p>
        </w:tc>
      </w:tr>
      <w:tr>
        <w:trPr>
          <w:trHeight w:val="236"/>
        </w:trPr>
        <w:tc>
          <w:tcPr>
            <w:tcW w:w="8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center"/>
              <w:ind w:right="121"/>
              <w:spacing w:after="0"/>
              <w:rPr>
                <w:sz w:val="20"/>
                <w:szCs w:val="20"/>
                <w:color w:val="auto"/>
              </w:rPr>
            </w:pPr>
            <w:r>
              <w:rPr>
                <w:rFonts w:ascii="Arial" w:cs="Arial" w:eastAsia="Arial" w:hAnsi="Arial"/>
                <w:sz w:val="20"/>
                <w:szCs w:val="20"/>
                <w:i w:val="1"/>
                <w:iCs w:val="1"/>
                <w:color w:val="auto"/>
                <w:w w:val="98"/>
              </w:rPr>
              <w:t>(Dollars 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spacing w:after="0"/>
              <w:rPr>
                <w:sz w:val="20"/>
                <w:szCs w:val="20"/>
                <w:color w:val="auto"/>
              </w:rPr>
            </w:pPr>
            <w:r>
              <w:rPr>
                <w:rFonts w:ascii="Arial" w:cs="Arial" w:eastAsia="Arial" w:hAnsi="Arial"/>
                <w:sz w:val="20"/>
                <w:szCs w:val="20"/>
                <w:color w:val="auto"/>
              </w:rPr>
              <w:t>Add back:</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expense</w:t>
            </w: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120.4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260"/>
              <w:spacing w:after="0"/>
              <w:rPr>
                <w:sz w:val="20"/>
                <w:szCs w:val="20"/>
                <w:color w:val="auto"/>
              </w:rPr>
            </w:pPr>
            <w:r>
              <w:rPr>
                <w:rFonts w:ascii="Arial" w:cs="Arial" w:eastAsia="Arial" w:hAnsi="Arial"/>
                <w:sz w:val="20"/>
                <w:szCs w:val="20"/>
                <w:color w:val="auto"/>
              </w:rPr>
              <w:t>Stock-based compensation expense</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28.1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spacing w:after="0"/>
              <w:rPr>
                <w:sz w:val="20"/>
                <w:szCs w:val="20"/>
                <w:color w:val="auto"/>
              </w:rPr>
            </w:pPr>
            <w:r>
              <w:rPr>
                <w:rFonts w:ascii="Arial" w:cs="Arial" w:eastAsia="Arial" w:hAnsi="Arial"/>
                <w:sz w:val="20"/>
                <w:szCs w:val="20"/>
                <w:color w:val="auto"/>
              </w:rPr>
              <w:t>Deduct:</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income</w:t>
            </w:r>
          </w:p>
        </w:tc>
        <w:tc>
          <w:tcPr>
            <w:tcW w:w="20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77"/>
        </w:trPr>
        <w:tc>
          <w:tcPr>
            <w:tcW w:w="88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EBITDA, as defined by the Company’s Revolving Facility</w:t>
            </w: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1,367.7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86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debt, as defined and including debt for which the Company</w:t>
            </w:r>
          </w:p>
        </w:tc>
        <w:tc>
          <w:tcPr>
            <w:tcW w:w="20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is a co-borrower, at September 30, 2020</w:t>
            </w: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2,652.9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20"/>
                <w:szCs w:val="20"/>
                <w:color w:val="auto"/>
              </w:rPr>
              <w:t>Consolidated debt-to-consolidated EBITDA, as defined by the Company’s Revolving</w:t>
            </w: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860" w:type="dxa"/>
            <w:vAlign w:val="bottom"/>
          </w:tcPr>
          <w:p>
            <w:pPr>
              <w:ind w:left="200"/>
              <w:spacing w:after="0"/>
              <w:rPr>
                <w:sz w:val="20"/>
                <w:szCs w:val="20"/>
                <w:color w:val="auto"/>
              </w:rPr>
            </w:pPr>
            <w:r>
              <w:rPr>
                <w:rFonts w:ascii="Arial" w:cs="Arial" w:eastAsia="Arial" w:hAnsi="Arial"/>
                <w:sz w:val="20"/>
                <w:szCs w:val="20"/>
                <w:color w:val="auto"/>
              </w:rPr>
              <w:t>Facility, at September 30, 2020 for the trailing-twelve months EBITDA</w:t>
            </w:r>
          </w:p>
        </w:tc>
        <w:tc>
          <w:tcPr>
            <w:tcW w:w="200" w:type="dxa"/>
            <w:vAlign w:val="bottom"/>
          </w:tcPr>
          <w:p>
            <w:pPr>
              <w:spacing w:after="0"/>
              <w:rPr>
                <w:sz w:val="21"/>
                <w:szCs w:val="21"/>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20"/>
                <w:szCs w:val="20"/>
                <w:color w:val="auto"/>
              </w:rPr>
              <w:t>1.94 times</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event of a default on the Ratio, the lenders can terminate the Revolving Facility and Trade Receivable Facility and declare any outstanding balances as immediately due.</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when the repurchase program is resumed and allow for payment of dividends for the foreseeable future. Any future significant strategic acquisition for cash would likely require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an appropriate balance of newly-issued equity with debt in order to maintain a composite investment-grade credit rating. At September 30, 2020, the Company had $1,097.7 million of unused borrowing capacity under its Revolving Facility and Trade Receivable Facility, subject to complying with the related leverage covenant. The Revolving Facility matures on December 5, 2024. Historically, the Company has successfully extended the maturity dates of these credit facilities. Further, as of September 30, 2020, the Company does not have any publicly-traded debt that matures prior to 2024. While the future impact of the COVID-19 pandemic is not currently quantifiable, management believes the Company’s liquidity is sufficient to meet its cash flow needs through the foreseeable future.</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September 30, 2020, the Company had restricted cash of $77.1 million for the purchase of like-kind exchange replacement assets under Section 1031 of the Internal Revenue Code (Section 1031) until January 27, 2021. In October 2020, the Company transferred an additional $45.1 million from asset sales completed in the third-quarter 2020 into a restricted Section 1031 account and has until March 2021, to reinvest the funds in qualifying assets.</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Coronavirus Aid, Relief and Economic Security Act (CARES Act) was signed into law in March 2020 and provides liquidity support for businesses. The CARES Act allows the Company to defer the payment of the 6.2% employer share of Social Security taxes for the period from March 27, 2020 through December 31, 2020. Half of the deferred obligation will be due December 31, 2021 and the remaining half will be due December 31, 2022. There will be no interest assessed on amounts deferred. The Company estimates it will defer payment of approximately $25 million under this provision.</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CARES Act also provides a quarterly refundable employee retention credit if companies suspend operations due to government restrictions or experience a 50% or more decline in quarterly revenues compared with the prior-year quarter. The credit is equal to 50% of qualified wages, up to $10,000 per employee who is not performing services for the Company. While the Company has had minimal short-term shutdowns related to the COVID-19 pandemic such that the Company has not utilized this aid, if future shutdowns are mandated and more extensive, the Company would be eligible to claim this credit.</w:t>
      </w:r>
    </w:p>
    <w:p>
      <w:pPr>
        <w:spacing w:after="0" w:line="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CARES Act also includes other provisions, including increasing the interest expense deduction limitation to 50% of adjusted taxable income and providing a credit facility for investment-grade companies. The Company does not currently expect the interest expense deduction provision to result in a change in its ability to take a full income tax deduction. The Company also believes it has adequate liquidity and does not currently expect to utilize the credit facility under the CARES Act.</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The Company outlined the risks associated with its business in its Annual Report on Form 10-K for the year ended December 31, 2019. Management continues to evaluate its exposure to all operating risks on an ongoing basis. A discussion of risks and uncertainties related to the COVID-19 pandemic are included in </w:t>
      </w:r>
      <w:hyperlink w:anchor="page50">
        <w:r>
          <w:rPr>
            <w:rFonts w:ascii="Arial" w:cs="Arial" w:eastAsia="Arial" w:hAnsi="Arial"/>
            <w:sz w:val="20"/>
            <w:szCs w:val="20"/>
            <w:u w:val="single" w:color="auto"/>
            <w:color w:val="0000EE"/>
          </w:rPr>
          <w:t>Part II, Item 1A Risk Factors</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of this report.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www.martinmarietta.com and are also available at the SEC’s website at www.sec.gov. You may also write or call the Company’s Corporate Secretary, who will provide copies of such reports.</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ability of the Company to face challenges, including those posed by the COVID-19 pandemic and implementation of any such related response plans; the recent dramatic increases in COVID-19 cases in the United States and the extent that geography of outbreak primarily matches the regions in which the Company’s Building Materials business principally operates; the resiliency and potential declines of the Company’s various construction end-use markets; the potential negative impact of the COVID-19 pandemic on the Company’s ability to continue supplying heavy-side building materials and related services at normal levels or at all in the Company’s key regions; the duration, impact and severity of the impact of the COVID-19 pandemic on the Company, including the markets in which the Company does business, its suppliers, customers or other business partners as well as the Company’s employees; the economic impact of government responses to the pandemic; the performance of the United States economy, including the impact on the economy of the COVID-19 pandemic and governmental orders restricting activities imposed to prevent further outbreak of COVID-19; shipment declines resulting from economic events beyond the Company’s control; a widespread decline in aggregates pricing, including a decline in aggregates shipment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public construction; the level and timing of federal, state or local transportation or infrastructure or public projects funding, most particularly in Texas, Colorado, North Carolina, Georgia, Iowa and Maryland; the impact of governmental orders restricting activities imposed to prevent further outbreak of COVID-19 on travel, potentially reducing state fuel tax revenues used to fund highway projects; the United States Congress’ inability to reach agreement among themselves or with the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including a decline resulting from economic distress related to the COVID-19 pandemic; a decline in energy-related construction activity resulting from a sustained period of low global oil prices or changes in oil production patterns or capital spending in response to this decline, particularly in Texas and West Virginia; increasing residential mortgage rates and other factors that could result in a slowdown in residential construction; unfavorable weather conditions, particularly Atlantic Ocean and Gulf of Mexico hurricane activity, the late start to spring or the early onset of winter and the impact of a drought or excessive rainfall in the markets served by the Company, any of which can significantly affect production schedules, volumes, product and/or geographic mix and profitability; whether the Company’s operations will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continue to be treated as “essential” operations under applicable government orders restricting business activities imposed to prevent further outbreak of COVID-19 or, even if so treated, whether site-specific health and safety concerns might otherwise require certain of the Company’s operations to be halted for some period of time;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chain challenges; unexpected equipment failures, unscheduled maintenance, industrial accident or other prolonged and/or significant disruption to production facilities; increasing governmental regulation, including environmental laws; the failure of relevant government agencies to implement expected regulatory reductions; transportation availability or a sustained reduction in capital investment by the railroads, notably the availability of railcars, locomotive power and the condition of rail infrastructure to move trains to supply the Company’s Texas, Colorado, Florida, Carolinas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(leading to reduced profit margins when compared with aggregates moved by truck); availability of trucks and licensed drivers for transport of the Company’s materials; availability and cost of construction equipment in the United States; weakening in the steel industry markets served by the Company’s dolomitic lime products; trade disputes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the possibility of a reduction of the Company’s credit rating to non-investment grade; and other risk factors listed from time to time found in the Company’s filings with the SEC.</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You should consider these forward-looking statements in light of risk factors discussed in the Company’s Annual Report on Form 10-K for the year ended December 31, 2019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September 30, 2020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Third Quarter Ended September 30, 2020</w:t>
      </w:r>
    </w:p>
    <w:p>
      <w:pPr>
        <w:jc w:val="center"/>
        <w:ind w:right="-19"/>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Shareholders may obtain, without charge, a copy of Martin Marietta’s Annual Report on Form 10-K, as filed with the Securities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for the fiscal year ended December 31, 2019, by writing to:</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783-4691</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47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impact of the COVID-19 pandemic on the global and domestic economy is currently not fully known. The Company’s operations have to date been considered “essential” operations under applicable governmental orders that restrict activities in an effort to prevent further outbreak of COVID-19. As such, the Company is conducting business with certain modifications, including having non-operational personnel working remotely; limiting site access to necessary employees and critical third parties; engaging medical experts to screen those who may have had COVID-19 exposure before allowing access to sites; enhancing the cleaning and disinfection of equipment and common areas, including engaging third-party specialists to disinfect work spaces; and issuing a quarantine policy requiring employees with COVID-19 symptoms to stay home for at least 14 days, among other things. The Company continues to actively monitor the situation and may take further actions that alter its business operations including any that may be required by federal, state or local authorities or that the Company determines are in the best interests of its employees, customers, suppliers, vendors, communities and other stakeholders.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Demand for aggregates products, particularly in the infrastructure construction market, is affected by federal, state and local budget and deficit issues. Remote working and stay-at-home orders and other guidelines are reducing miles driven, which is having a negative impact on various revenue streams that fund roadway projects. Further, delays or cancellations of projects in the nonresidential and residential construction markets could occur if companies and consumers are unable to obtain financing for construction projects or if consumer confidence continues to be eroded by economic uncertainty. The residential construction market accounted for 22% of the Company’s aggregates shipments in 2019 and 24% in the first nine months of 2020.</w:t>
      </w:r>
    </w:p>
    <w:p>
      <w:pPr>
        <w:spacing w:after="0" w:line="70"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Aside from these inherent risks from within its operations, the Company’s earnings are also affected by changes in short-term interest rates.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September 30, 2020, the Company had a $700 million Revolving Facility and a $400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Borrowings under these facilities bear interest at a variable interest rate. There were no borrowings outstanding on either facility at September 30, 2020.</w:t>
      </w:r>
    </w:p>
    <w:p>
      <w:pPr>
        <w:spacing w:after="0" w:line="78" w:lineRule="exact"/>
        <w:rPr>
          <w:sz w:val="20"/>
          <w:szCs w:val="20"/>
          <w:color w:val="auto"/>
        </w:rPr>
      </w:pPr>
    </w:p>
    <w:p>
      <w:pPr>
        <w:jc w:val="both"/>
        <w:spacing w:after="0" w:line="313" w:lineRule="auto"/>
        <w:rPr>
          <w:sz w:val="20"/>
          <w:szCs w:val="20"/>
          <w:color w:val="auto"/>
        </w:rPr>
      </w:pPr>
      <w:r>
        <w:rPr>
          <w:rFonts w:ascii="Arial" w:cs="Arial" w:eastAsia="Arial" w:hAnsi="Arial"/>
          <w:sz w:val="16"/>
          <w:szCs w:val="16"/>
          <w:i w:val="1"/>
          <w:iCs w:val="1"/>
          <w:color w:val="auto"/>
        </w:rPr>
        <w:t xml:space="preserve">Pension Expense. </w:t>
      </w:r>
      <w:r>
        <w:rPr>
          <w:rFonts w:ascii="Arial" w:cs="Arial" w:eastAsia="Arial" w:hAnsi="Arial"/>
          <w:sz w:val="16"/>
          <w:szCs w:val="16"/>
          <w:color w:val="auto"/>
        </w:rPr>
        <w:t>The Company’s results of operations are affected by its pension expense. Assumptions that affect pension expense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2019. As of September 30, 2020, discount rates were approximately 55 basis points lower than the rate selected as of December 31, 2019, the most recent measurement date. Unless an event requires an interim remeasurement, the Company will next remeasure its pension obligation and funded status as of December 31, 2020. Any decreases in the discount rate and pension asset values will negatively impact 2021 pension expense.</w:t>
      </w:r>
    </w:p>
    <w:p>
      <w:pPr>
        <w:spacing w:after="0" w:line="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a majority of their 2020 coal requirements. Energy expense for the nine months ended September 30, 2020 decreased approximately 18% compared with the prior-year period, due to lower crude oil prices in 2020; however, any future energy prices cannot be reliably predicted. A hypothetical 18% change in the Company’s energy prices for the full year 2020 as compared with 2019, assuming constant volumes, would change full year 2020 energy expense by $50 million.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full year 2019 total product revenues for cement of $439 million, a hypothetical 10% change in sales price would impact total revenues by $43.9 million.</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Evaluation of Disclosure Controls and Procedures. </w:t>
      </w:r>
      <w:r>
        <w:rPr>
          <w:rFonts w:ascii="Arial" w:cs="Arial" w:eastAsia="Arial" w:hAnsi="Arial"/>
          <w:sz w:val="20"/>
          <w:szCs w:val="20"/>
          <w:color w:val="auto"/>
        </w:rPr>
        <w:t>As of September 30, 2020, an evaluation was performed under the supervision and with</w:t>
      </w:r>
      <w:r>
        <w:rPr>
          <w:rFonts w:ascii="Arial" w:cs="Arial" w:eastAsia="Arial" w:hAnsi="Arial"/>
          <w:sz w:val="20"/>
          <w:szCs w:val="20"/>
          <w:i w:val="1"/>
          <w:iCs w:val="1"/>
          <w:color w:val="auto"/>
        </w:rPr>
        <w:t xml:space="preserve"> </w:t>
      </w:r>
      <w:r>
        <w:rPr>
          <w:rFonts w:ascii="Arial" w:cs="Arial" w:eastAsia="Arial" w:hAnsi="Arial"/>
          <w:sz w:val="20"/>
          <w:szCs w:val="20"/>
          <w:color w:val="auto"/>
        </w:rPr>
        <w:t>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September 30, 2020.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50" w:lineRule="auto"/>
        <w:rPr>
          <w:rFonts w:ascii="Arial" w:cs="Arial" w:eastAsia="Arial" w:hAnsi="Arial"/>
          <w:sz w:val="20"/>
          <w:szCs w:val="20"/>
          <w:i w:val="1"/>
          <w:iCs w:val="1"/>
          <w:color w:val="0000EE"/>
        </w:rPr>
      </w:pPr>
      <w:r>
        <w:rPr>
          <w:rFonts w:ascii="Arial" w:cs="Arial" w:eastAsia="Arial" w:hAnsi="Arial"/>
          <w:sz w:val="20"/>
          <w:szCs w:val="20"/>
          <w:color w:val="auto"/>
        </w:rPr>
        <w:t xml:space="preserve">Certain legal proceedings in which the Company is involved are discussed in Note O to the consolidated financial statements and Part I, Item </w:t>
      </w:r>
      <w:hyperlink w:anchor="page20">
        <w:r>
          <w:rPr>
            <w:rFonts w:ascii="Arial" w:cs="Arial" w:eastAsia="Arial" w:hAnsi="Arial"/>
            <w:sz w:val="20"/>
            <w:szCs w:val="20"/>
            <w:color w:val="auto"/>
          </w:rPr>
          <w:t xml:space="preserve">3 of the Company’s Annual Report on Form 10-K for the year ended December 31, 2019. See also </w:t>
        </w:r>
        <w:r>
          <w:rPr>
            <w:rFonts w:ascii="Arial" w:cs="Arial" w:eastAsia="Arial" w:hAnsi="Arial"/>
            <w:sz w:val="20"/>
            <w:szCs w:val="20"/>
            <w:i w:val="1"/>
            <w:iCs w:val="1"/>
            <w:u w:val="single" w:color="auto"/>
            <w:color w:val="0000EE"/>
          </w:rPr>
          <w:t>Note 9 Commitments and Contingencies,</w:t>
        </w:r>
      </w:hyperlink>
      <w:r>
        <w:rPr>
          <w:rFonts w:ascii="Arial" w:cs="Arial" w:eastAsia="Arial" w:hAnsi="Arial"/>
          <w:sz w:val="20"/>
          <w:szCs w:val="20"/>
          <w:color w:val="auto"/>
        </w:rPr>
        <w:t xml:space="preserve"> </w:t>
      </w:r>
      <w:hyperlink w:anchor="page20">
        <w:r>
          <w:rPr>
            <w:rFonts w:ascii="Arial" w:cs="Arial" w:eastAsia="Arial" w:hAnsi="Arial"/>
            <w:sz w:val="20"/>
            <w:szCs w:val="20"/>
            <w:i w:val="1"/>
            <w:iCs w:val="1"/>
            <w:u w:val="single" w:color="auto"/>
            <w:color w:val="0000EE"/>
          </w:rPr>
          <w:t>Legal and Administrative Proceedings</w:t>
        </w:r>
        <w:r>
          <w:rPr>
            <w:rFonts w:ascii="Arial" w:cs="Arial" w:eastAsia="Arial" w:hAnsi="Arial"/>
            <w:sz w:val="20"/>
            <w:szCs w:val="20"/>
            <w:i w:val="1"/>
            <w:iCs w:val="1"/>
            <w:color w:val="000000"/>
          </w:rPr>
          <w:t>,</w:t>
        </w:r>
        <w:r>
          <w:rPr>
            <w:rFonts w:ascii="Arial" w:cs="Arial" w:eastAsia="Arial" w:hAnsi="Arial"/>
            <w:sz w:val="20"/>
            <w:szCs w:val="20"/>
            <w:i w:val="1"/>
            <w:iCs w:val="1"/>
            <w:color w:val="0000EE"/>
          </w:rPr>
          <w:t xml:space="preserve"> </w:t>
        </w:r>
        <w:r>
          <w:rPr>
            <w:rFonts w:ascii="Arial" w:cs="Arial" w:eastAsia="Arial" w:hAnsi="Arial"/>
            <w:sz w:val="20"/>
            <w:szCs w:val="20"/>
            <w:color w:val="000000"/>
          </w:rPr>
          <w:t>of this Form 10-Q.</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The Company’s businesses could be adversely affected by the ongoing COVID-19 pandemic, or any other outbreak of disease, epidemic or pandemic, or similar public health threat, or fear of such an event and its related economic and societal response.</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could be negatively impacted by the widespread outbreak of an illness or any other communicable disease, or any other public health crisis that results in economic and trade disruptions. In or around December 2019, a novel strain of coronavirus (COVID-19) was initially reported and in March 2020, the World Health Organization declared COVID-19 a global pandemic. The spreading of COVID-19, and more recently dramatic increases in COVID-19 cases in the United States, and the extent that geography of outbreak primarily matches the regions in which the Company’s Building Materials business principally operates, in combination with the related governmental orders limiting individuals’ movements and social gatherings, as well as requiring many businesses to close for an undetermined period of time, are negatively impacting economic activity, consumer confidence and discretionary spending, and market conditions. Further, COVID-19 could continue to negatively affect the health of the Company’s employees, employee productivity, customer purchasing patterns and fulfillment of purchase orders, availability of supplies, pricing for raw materials, and the ability to transport materials via the Company’s distribution network. While the Company’s operations have been treated as “essential” operations under applicable government orders restricting business activities imposed to prevent further outbreak of COVID-19, and accordingly have been permitted to continue to operate during the pendency of these orders, it is possible that they may not continue to be so treated under future government orders, or, even if so treated, site-specific health and safety concerns might otherwise require certain of the Company’s operations to be halted for some period of time. The Company is monitoring the impact of COVID-19 on its operations and on the demand for its products. Due to economic uncertainty related to COVID-19, contractors and customers may delay advancing, or ultimately cancel, building projects. In addition, reduced travel due to remote working and stay-at-home practices, including as a result of governmental orders restricting activity, may continue to negatively impact fuel tax revenues that fund highway projects. While the Company does not currently expect that the virus will have a material adverse effect on its liquidity, it is unable to accurately and fully predict the impact that the COVID-19 will have on its results of operations due to various uncertainties, including the ultimate geographic spread of the virus, the severity of the disease, the duration of the outbreak, actions that may be taken by governmental authorities and other third-parties in response to COVID-19 and the timing and pace of any economic recovery as COVID-19 impacts ultimately abate.</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Other than the item listed above, there have been no material changes in the risk factors disclosed in </w:t>
      </w:r>
      <w:r>
        <w:rPr>
          <w:rFonts w:ascii="Arial" w:cs="Arial" w:eastAsia="Arial" w:hAnsi="Arial"/>
          <w:sz w:val="19"/>
          <w:szCs w:val="19"/>
          <w:i w:val="1"/>
          <w:iCs w:val="1"/>
          <w:color w:val="auto"/>
        </w:rPr>
        <w:t>Part I. Item 1A. Risk Factors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Forward-Looking Statements </w:t>
      </w:r>
      <w:r>
        <w:rPr>
          <w:rFonts w:ascii="Arial" w:cs="Arial" w:eastAsia="Arial" w:hAnsi="Arial"/>
          <w:sz w:val="19"/>
          <w:szCs w:val="19"/>
          <w:color w:val="auto"/>
        </w:rPr>
        <w:t>of the Martin Marietta Annual Report on Form 10-K for the year ended December 31, 2019.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20"/>
                <w:szCs w:val="20"/>
                <w:color w:val="auto"/>
                <w:w w:val="94"/>
              </w:rPr>
              <w:t>Total Number of Shares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92"/>
              </w:rPr>
              <w:t>Maximum Number of</w:t>
            </w:r>
          </w:p>
        </w:tc>
      </w:tr>
      <w:tr>
        <w:trPr>
          <w:trHeight w:val="243"/>
        </w:trPr>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5"/>
              </w:rPr>
              <w:t>Purchased as Part of</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7"/>
              </w:rPr>
              <w:t>Shares that May Yet</w:t>
            </w:r>
          </w:p>
        </w:tc>
      </w:tr>
      <w:tr>
        <w:trPr>
          <w:trHeight w:val="243"/>
        </w:trPr>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ind w:left="80"/>
              <w:spacing w:after="0"/>
              <w:rPr>
                <w:sz w:val="20"/>
                <w:szCs w:val="20"/>
                <w:color w:val="auto"/>
              </w:rPr>
            </w:pPr>
            <w:r>
              <w:rPr>
                <w:rFonts w:ascii="Arial" w:cs="Arial" w:eastAsia="Arial" w:hAnsi="Arial"/>
                <w:sz w:val="20"/>
                <w:szCs w:val="20"/>
                <w:color w:val="auto"/>
                <w:w w:val="97"/>
              </w:rPr>
              <w:t>Total Number of</w:t>
            </w:r>
          </w:p>
        </w:tc>
        <w:tc>
          <w:tcPr>
            <w:tcW w:w="26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20"/>
                <w:szCs w:val="20"/>
                <w:color w:val="auto"/>
                <w:w w:val="87"/>
              </w:rPr>
              <w:t>Average Price</w:t>
            </w:r>
          </w:p>
        </w:tc>
        <w:tc>
          <w:tcPr>
            <w:tcW w:w="14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91"/>
              </w:rPr>
              <w:t>Publicly Announced</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5"/>
              </w:rPr>
              <w:t>be Purchased Under</w:t>
            </w:r>
          </w:p>
        </w:tc>
      </w:tr>
      <w:tr>
        <w:trPr>
          <w:trHeight w:val="246"/>
        </w:trPr>
        <w:tc>
          <w:tcPr>
            <w:tcW w:w="3920" w:type="dxa"/>
            <w:vAlign w:val="bottom"/>
            <w:tcBorders>
              <w:bottom w:val="single" w:sz="8" w:color="auto"/>
            </w:tcBorders>
          </w:tcPr>
          <w:p>
            <w:pPr>
              <w:ind w:left="1700"/>
              <w:spacing w:after="0"/>
              <w:rPr>
                <w:sz w:val="20"/>
                <w:szCs w:val="20"/>
                <w:color w:val="auto"/>
              </w:rPr>
            </w:pPr>
            <w:r>
              <w:rPr>
                <w:rFonts w:ascii="Arial" w:cs="Arial" w:eastAsia="Arial" w:hAnsi="Arial"/>
                <w:sz w:val="20"/>
                <w:szCs w:val="20"/>
                <w:color w:val="auto"/>
              </w:rPr>
              <w:t>Period</w:t>
            </w:r>
          </w:p>
        </w:tc>
        <w:tc>
          <w:tcPr>
            <w:tcW w:w="14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w w:val="86"/>
              </w:rPr>
              <w:t>Shares Purchased</w:t>
            </w:r>
          </w:p>
        </w:tc>
        <w:tc>
          <w:tcPr>
            <w:tcW w:w="260" w:type="dxa"/>
            <w:vAlign w:val="bottom"/>
            <w:tcBorders>
              <w:bottom w:val="single" w:sz="8" w:color="CFF0FC"/>
            </w:tcBorders>
          </w:tcPr>
          <w:p>
            <w:pPr>
              <w:spacing w:after="0"/>
              <w:rPr>
                <w:sz w:val="21"/>
                <w:szCs w:val="21"/>
                <w:color w:val="auto"/>
              </w:rPr>
            </w:pPr>
          </w:p>
        </w:tc>
        <w:tc>
          <w:tcPr>
            <w:tcW w:w="12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20"/>
                <w:szCs w:val="20"/>
                <w:color w:val="auto"/>
                <w:w w:val="85"/>
              </w:rPr>
              <w:t>Paid per Share</w:t>
            </w:r>
          </w:p>
        </w:tc>
        <w:tc>
          <w:tcPr>
            <w:tcW w:w="140" w:type="dxa"/>
            <w:vAlign w:val="bottom"/>
            <w:tcBorders>
              <w:bottom w:val="single" w:sz="8" w:color="CFF0FC"/>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Plans or Programs</w:t>
            </w:r>
          </w:p>
        </w:tc>
        <w:tc>
          <w:tcPr>
            <w:tcW w:w="240" w:type="dxa"/>
            <w:vAlign w:val="bottom"/>
            <w:tcBorders>
              <w:bottom w:val="single" w:sz="8" w:color="CFF0FC"/>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6"/>
              </w:rPr>
              <w:t>the Plans or Programs</w:t>
            </w:r>
          </w:p>
        </w:tc>
        <w:tc>
          <w:tcPr>
            <w:tcW w:w="100" w:type="dxa"/>
            <w:vAlign w:val="bottom"/>
            <w:tcBorders>
              <w:bottom w:val="single" w:sz="8" w:color="CFF0FC"/>
            </w:tcBorders>
          </w:tcPr>
          <w:p>
            <w:pPr>
              <w:spacing w:after="0"/>
              <w:rPr>
                <w:sz w:val="21"/>
                <w:szCs w:val="21"/>
                <w:color w:val="auto"/>
              </w:rPr>
            </w:pPr>
          </w:p>
        </w:tc>
      </w:tr>
      <w:tr>
        <w:trPr>
          <w:trHeight w:val="237"/>
        </w:trPr>
        <w:tc>
          <w:tcPr>
            <w:tcW w:w="40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July 1, 2020 - July 31, 2020</w:t>
            </w:r>
          </w:p>
        </w:tc>
        <w:tc>
          <w:tcPr>
            <w:tcW w:w="1500" w:type="dxa"/>
            <w:vAlign w:val="bottom"/>
            <w:shd w:val="clear" w:color="auto" w:fill="CFF0FC"/>
          </w:tcPr>
          <w:p>
            <w:pPr>
              <w:ind w:left="1300"/>
              <w:spacing w:after="0"/>
              <w:rPr>
                <w:sz w:val="20"/>
                <w:szCs w:val="20"/>
                <w:color w:val="auto"/>
              </w:rPr>
            </w:pPr>
            <w:r>
              <w:rPr>
                <w:rFonts w:ascii="Arial" w:cs="Arial" w:eastAsia="Arial" w:hAnsi="Arial"/>
                <w:sz w:val="20"/>
                <w:szCs w:val="20"/>
                <w:color w:val="auto"/>
                <w:w w:val="89"/>
              </w:rPr>
              <w:t>—</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21"/>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shd w:val="clear" w:color="auto" w:fill="CFF0FC"/>
          </w:tcPr>
          <w:p>
            <w:pPr>
              <w:spacing w:after="0"/>
              <w:rPr>
                <w:sz w:val="20"/>
                <w:szCs w:val="20"/>
                <w:color w:val="auto"/>
              </w:rPr>
            </w:pPr>
          </w:p>
        </w:tc>
      </w:tr>
      <w:tr>
        <w:trPr>
          <w:trHeight w:val="243"/>
        </w:trPr>
        <w:tc>
          <w:tcPr>
            <w:tcW w:w="4060" w:type="dxa"/>
            <w:vAlign w:val="bottom"/>
            <w:gridSpan w:val="2"/>
          </w:tcPr>
          <w:p>
            <w:pPr>
              <w:spacing w:after="0"/>
              <w:rPr>
                <w:sz w:val="20"/>
                <w:szCs w:val="20"/>
                <w:color w:val="auto"/>
              </w:rPr>
            </w:pPr>
            <w:r>
              <w:rPr>
                <w:rFonts w:ascii="Arial" w:cs="Arial" w:eastAsia="Arial" w:hAnsi="Arial"/>
                <w:sz w:val="19"/>
                <w:szCs w:val="19"/>
                <w:color w:val="auto"/>
              </w:rPr>
              <w:t>August 1, 2020 - August 31, 2020</w:t>
            </w:r>
          </w:p>
        </w:tc>
        <w:tc>
          <w:tcPr>
            <w:tcW w:w="1500" w:type="dxa"/>
            <w:vAlign w:val="bottom"/>
          </w:tcPr>
          <w:p>
            <w:pPr>
              <w:ind w:left="1300"/>
              <w:spacing w:after="0"/>
              <w:rPr>
                <w:sz w:val="20"/>
                <w:szCs w:val="20"/>
                <w:color w:val="auto"/>
              </w:rPr>
            </w:pPr>
            <w:r>
              <w:rPr>
                <w:rFonts w:ascii="Arial" w:cs="Arial" w:eastAsia="Arial" w:hAnsi="Arial"/>
                <w:sz w:val="20"/>
                <w:szCs w:val="20"/>
                <w:color w:val="auto"/>
                <w:w w:val="89"/>
              </w:rPr>
              <w:t>—</w:t>
            </w:r>
          </w:p>
        </w:tc>
        <w:tc>
          <w:tcPr>
            <w:tcW w:w="780" w:type="dxa"/>
            <w:vAlign w:val="bottom"/>
            <w:gridSpan w:val="2"/>
          </w:tcPr>
          <w:p>
            <w:pPr>
              <w:jc w:val="right"/>
              <w:ind w:right="321"/>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tcPr>
          <w:p>
            <w:pPr>
              <w:spacing w:after="0"/>
              <w:rPr>
                <w:sz w:val="21"/>
                <w:szCs w:val="21"/>
                <w:color w:val="auto"/>
              </w:rPr>
            </w:pPr>
          </w:p>
        </w:tc>
      </w:tr>
      <w:tr>
        <w:trPr>
          <w:trHeight w:val="243"/>
        </w:trPr>
        <w:tc>
          <w:tcPr>
            <w:tcW w:w="40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September 1, 2020 - September 30, 2020</w:t>
            </w:r>
          </w:p>
        </w:tc>
        <w:tc>
          <w:tcPr>
            <w:tcW w:w="1500" w:type="dxa"/>
            <w:vAlign w:val="bottom"/>
            <w:tcBorders>
              <w:bottom w:val="single" w:sz="8" w:color="auto"/>
            </w:tcBorders>
            <w:shd w:val="clear" w:color="auto" w:fill="CFF0FC"/>
          </w:tcPr>
          <w:p>
            <w:pPr>
              <w:ind w:left="1300"/>
              <w:spacing w:after="0"/>
              <w:rPr>
                <w:sz w:val="20"/>
                <w:szCs w:val="20"/>
                <w:color w:val="auto"/>
              </w:rPr>
            </w:pPr>
            <w:r>
              <w:rPr>
                <w:rFonts w:ascii="Arial" w:cs="Arial" w:eastAsia="Arial" w:hAnsi="Arial"/>
                <w:sz w:val="20"/>
                <w:szCs w:val="20"/>
                <w:color w:val="auto"/>
                <w:w w:val="89"/>
              </w:rPr>
              <w:t>—</w:t>
            </w:r>
          </w:p>
        </w:tc>
        <w:tc>
          <w:tcPr>
            <w:tcW w:w="780" w:type="dxa"/>
            <w:vAlign w:val="bottom"/>
            <w:gridSpan w:val="2"/>
            <w:shd w:val="clear" w:color="auto" w:fill="CFF0FC"/>
          </w:tcPr>
          <w:p>
            <w:pPr>
              <w:jc w:val="right"/>
              <w:ind w:right="321"/>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shd w:val="clear" w:color="auto" w:fill="CFF0FC"/>
          </w:tcPr>
          <w:p>
            <w:pPr>
              <w:spacing w:after="0"/>
              <w:rPr>
                <w:sz w:val="21"/>
                <w:szCs w:val="21"/>
                <w:color w:val="auto"/>
              </w:rPr>
            </w:pPr>
          </w:p>
        </w:tc>
      </w:tr>
      <w:tr>
        <w:trPr>
          <w:trHeight w:val="237"/>
        </w:trPr>
        <w:tc>
          <w:tcPr>
            <w:tcW w:w="4060" w:type="dxa"/>
            <w:vAlign w:val="bottom"/>
            <w:gridSpan w:val="2"/>
          </w:tcPr>
          <w:p>
            <w:pPr>
              <w:spacing w:after="0"/>
              <w:rPr>
                <w:sz w:val="20"/>
                <w:szCs w:val="20"/>
                <w:color w:val="auto"/>
              </w:rPr>
            </w:pPr>
            <w:r>
              <w:rPr>
                <w:rFonts w:ascii="Arial" w:cs="Arial" w:eastAsia="Arial" w:hAnsi="Arial"/>
                <w:sz w:val="20"/>
                <w:szCs w:val="20"/>
                <w:color w:val="auto"/>
              </w:rPr>
              <w:t>Total</w:t>
            </w: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20"/>
                <w:szCs w:val="20"/>
                <w:color w:val="auto"/>
                <w:w w:val="89"/>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 but has been temporarily suspended in light of the COVID-19 pandemic.</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1"/>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jc w:val="center"/>
              <w:ind w:right="1201"/>
              <w:spacing w:after="0"/>
              <w:rPr>
                <w:sz w:val="20"/>
                <w:szCs w:val="20"/>
                <w:color w:val="auto"/>
              </w:rPr>
            </w:pPr>
            <w:r>
              <w:rPr>
                <w:rFonts w:ascii="Arial" w:cs="Arial" w:eastAsia="Arial" w:hAnsi="Arial"/>
                <w:sz w:val="20"/>
                <w:szCs w:val="20"/>
                <w:color w:val="auto"/>
                <w:w w:val="97"/>
              </w:rPr>
              <w:t>MARTIN MARIETTA MATERIALS, INC. AND CONSOLIDATED SUBSIDIARIES</w:t>
            </w:r>
          </w:p>
        </w:tc>
      </w:tr>
      <w:tr>
        <w:trPr>
          <w:trHeight w:val="229"/>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jc w:val="center"/>
              <w:ind w:right="1201"/>
              <w:spacing w:after="0"/>
              <w:rPr>
                <w:sz w:val="20"/>
                <w:szCs w:val="20"/>
                <w:color w:val="auto"/>
              </w:rPr>
            </w:pPr>
            <w:r>
              <w:rPr>
                <w:rFonts w:ascii="Arial" w:cs="Arial" w:eastAsia="Arial" w:hAnsi="Arial"/>
                <w:sz w:val="20"/>
                <w:szCs w:val="20"/>
                <w:color w:val="auto"/>
                <w:w w:val="93"/>
              </w:rPr>
              <w:t>FORM 10-Q</w:t>
            </w:r>
          </w:p>
        </w:tc>
      </w:tr>
      <w:tr>
        <w:trPr>
          <w:trHeight w:val="250"/>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jc w:val="center"/>
              <w:ind w:right="1201"/>
              <w:spacing w:after="0"/>
              <w:rPr>
                <w:sz w:val="20"/>
                <w:szCs w:val="20"/>
                <w:color w:val="auto"/>
              </w:rPr>
            </w:pPr>
            <w:r>
              <w:rPr>
                <w:rFonts w:ascii="Arial" w:cs="Arial" w:eastAsia="Arial" w:hAnsi="Arial"/>
                <w:sz w:val="20"/>
                <w:szCs w:val="20"/>
                <w:color w:val="auto"/>
                <w:w w:val="88"/>
              </w:rPr>
              <w:t>For the Quarter Ended September 30, 2020</w:t>
            </w:r>
          </w:p>
        </w:tc>
      </w:tr>
      <w:tr>
        <w:trPr>
          <w:trHeight w:val="425"/>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95"/>
              </w:rPr>
              <w:t>PART II- OTHER INFORMATION</w:t>
            </w:r>
          </w:p>
        </w:tc>
      </w:tr>
      <w:tr>
        <w:trPr>
          <w:trHeight w:val="250"/>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91"/>
              </w:rPr>
              <w:t>(Continued)</w:t>
            </w:r>
          </w:p>
        </w:tc>
      </w:tr>
      <w:tr>
        <w:trPr>
          <w:trHeight w:val="333"/>
        </w:trPr>
        <w:tc>
          <w:tcPr>
            <w:tcW w:w="11240" w:type="dxa"/>
            <w:vAlign w:val="bottom"/>
            <w:gridSpan w:val="4"/>
          </w:tcPr>
          <w:p>
            <w:pPr>
              <w:spacing w:after="0"/>
              <w:rPr>
                <w:sz w:val="20"/>
                <w:szCs w:val="20"/>
                <w:color w:val="auto"/>
              </w:rPr>
            </w:pPr>
            <w:r>
              <w:rPr>
                <w:rFonts w:ascii="Arial" w:cs="Arial" w:eastAsia="Arial" w:hAnsi="Arial"/>
                <w:sz w:val="20"/>
                <w:szCs w:val="20"/>
                <w:color w:val="auto"/>
              </w:rPr>
              <w:t>Item 6. Exhibits.</w:t>
            </w:r>
          </w:p>
        </w:tc>
      </w:tr>
      <w:tr>
        <w:trPr>
          <w:trHeight w:val="479"/>
        </w:trPr>
        <w:tc>
          <w:tcPr>
            <w:tcW w:w="10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20"/>
                <w:szCs w:val="20"/>
                <w:color w:val="auto"/>
                <w:w w:val="99"/>
              </w:rPr>
              <w:t>Exhibit No.</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920" w:type="dxa"/>
            <w:vAlign w:val="bottom"/>
            <w:tcBorders>
              <w:bottom w:val="single" w:sz="8" w:color="auto"/>
            </w:tcBorders>
          </w:tcPr>
          <w:p>
            <w:pPr>
              <w:ind w:left="4460"/>
              <w:spacing w:after="0"/>
              <w:rPr>
                <w:sz w:val="20"/>
                <w:szCs w:val="20"/>
                <w:color w:val="auto"/>
              </w:rPr>
            </w:pPr>
            <w:r>
              <w:rPr>
                <w:rFonts w:ascii="Arial" w:cs="Arial" w:eastAsia="Arial" w:hAnsi="Arial"/>
                <w:sz w:val="20"/>
                <w:szCs w:val="20"/>
                <w:color w:val="auto"/>
              </w:rPr>
              <w:t>Document</w:t>
            </w:r>
          </w:p>
        </w:tc>
      </w:tr>
      <w:tr>
        <w:trPr>
          <w:trHeight w:val="328"/>
        </w:trPr>
        <w:tc>
          <w:tcPr>
            <w:tcW w:w="1040" w:type="dxa"/>
            <w:vAlign w:val="bottom"/>
          </w:tcPr>
          <w:p>
            <w:pPr>
              <w:spacing w:after="0"/>
              <w:rPr>
                <w:rFonts w:ascii="Arial" w:cs="Arial" w:eastAsia="Arial" w:hAnsi="Arial"/>
                <w:sz w:val="20"/>
                <w:szCs w:val="20"/>
                <w:u w:val="single" w:color="auto"/>
                <w:color w:val="0000EE"/>
              </w:rPr>
            </w:pPr>
            <w:hyperlink r:id="rId66">
              <w:r>
                <w:rPr>
                  <w:rFonts w:ascii="Arial" w:cs="Arial" w:eastAsia="Arial" w:hAnsi="Arial"/>
                  <w:sz w:val="20"/>
                  <w:szCs w:val="20"/>
                  <w:u w:val="single" w:color="auto"/>
                  <w:color w:val="0000EE"/>
                </w:rPr>
                <w:t>10.01</w:t>
              </w:r>
            </w:hyperlink>
          </w:p>
        </w:tc>
        <w:tc>
          <w:tcPr>
            <w:tcW w:w="10200" w:type="dxa"/>
            <w:vAlign w:val="bottom"/>
            <w:gridSpan w:val="3"/>
          </w:tcPr>
          <w:p>
            <w:pPr>
              <w:spacing w:after="0"/>
              <w:rPr>
                <w:sz w:val="20"/>
                <w:szCs w:val="20"/>
                <w:color w:val="auto"/>
              </w:rPr>
            </w:pPr>
            <w:r>
              <w:rPr>
                <w:rFonts w:ascii="Arial" w:cs="Arial" w:eastAsia="Arial" w:hAnsi="Arial"/>
                <w:sz w:val="20"/>
                <w:szCs w:val="20"/>
                <w:color w:val="auto"/>
              </w:rPr>
              <w:t>Twelfth Amendment to Credit and Security Agreement, dated as</w:t>
            </w:r>
          </w:p>
        </w:tc>
      </w:tr>
      <w:tr>
        <w:trPr>
          <w:trHeight w:val="229"/>
        </w:trPr>
        <w:tc>
          <w:tcPr>
            <w:tcW w:w="104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20"/>
                <w:szCs w:val="20"/>
                <w:color w:val="auto"/>
              </w:rPr>
              <w:t>of September 23, 2020, among Martin Marietta Funding LLC, as</w:t>
            </w:r>
          </w:p>
        </w:tc>
      </w:tr>
      <w:tr>
        <w:trPr>
          <w:trHeight w:val="230"/>
        </w:trPr>
        <w:tc>
          <w:tcPr>
            <w:tcW w:w="104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20"/>
                <w:szCs w:val="20"/>
                <w:color w:val="auto"/>
              </w:rPr>
              <w:t>borrower, Martin Marietta Materials, Inc., as servicer, and Truist</w:t>
            </w:r>
          </w:p>
        </w:tc>
      </w:tr>
      <w:tr>
        <w:trPr>
          <w:trHeight w:val="229"/>
        </w:trPr>
        <w:tc>
          <w:tcPr>
            <w:tcW w:w="104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20"/>
                <w:szCs w:val="20"/>
                <w:color w:val="auto"/>
              </w:rPr>
              <w:t>Bank, successor by merger to SunTrust Bank, as lender together</w:t>
            </w:r>
          </w:p>
        </w:tc>
      </w:tr>
      <w:tr>
        <w:trPr>
          <w:trHeight w:val="229"/>
        </w:trPr>
        <w:tc>
          <w:tcPr>
            <w:tcW w:w="104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20"/>
                <w:szCs w:val="20"/>
                <w:color w:val="auto"/>
              </w:rPr>
              <w:t>with the other lenders from time to time party thereto, and Truist</w:t>
            </w:r>
          </w:p>
        </w:tc>
      </w:tr>
      <w:tr>
        <w:trPr>
          <w:trHeight w:val="230"/>
        </w:trPr>
        <w:tc>
          <w:tcPr>
            <w:tcW w:w="104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20"/>
                <w:szCs w:val="20"/>
                <w:color w:val="auto"/>
              </w:rPr>
              <w:t>Bank, successor by merger to Sun Trust Bank, as administrative</w:t>
            </w:r>
          </w:p>
        </w:tc>
      </w:tr>
      <w:tr>
        <w:trPr>
          <w:trHeight w:val="229"/>
        </w:trPr>
        <w:tc>
          <w:tcPr>
            <w:tcW w:w="104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20"/>
                <w:szCs w:val="20"/>
                <w:color w:val="auto"/>
              </w:rPr>
              <w:t>agent for the lenders (incorporated by reference to Exhibit 10.01</w:t>
            </w:r>
          </w:p>
        </w:tc>
      </w:tr>
      <w:tr>
        <w:trPr>
          <w:trHeight w:val="230"/>
        </w:trPr>
        <w:tc>
          <w:tcPr>
            <w:tcW w:w="104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20"/>
                <w:szCs w:val="20"/>
                <w:color w:val="auto"/>
              </w:rPr>
              <w:t>to the Martin Marietta Materials, Inc. Current Report on Form 8-</w:t>
            </w:r>
          </w:p>
        </w:tc>
      </w:tr>
      <w:tr>
        <w:trPr>
          <w:trHeight w:val="250"/>
        </w:trPr>
        <w:tc>
          <w:tcPr>
            <w:tcW w:w="1040" w:type="dxa"/>
            <w:vAlign w:val="bottom"/>
          </w:tcPr>
          <w:p>
            <w:pPr>
              <w:spacing w:after="0"/>
              <w:rPr>
                <w:sz w:val="21"/>
                <w:szCs w:val="21"/>
                <w:color w:val="auto"/>
              </w:rPr>
            </w:pPr>
          </w:p>
        </w:tc>
        <w:tc>
          <w:tcPr>
            <w:tcW w:w="10200" w:type="dxa"/>
            <w:vAlign w:val="bottom"/>
            <w:gridSpan w:val="3"/>
          </w:tcPr>
          <w:p>
            <w:pPr>
              <w:spacing w:after="0"/>
              <w:rPr>
                <w:sz w:val="20"/>
                <w:szCs w:val="20"/>
                <w:color w:val="auto"/>
              </w:rPr>
            </w:pPr>
            <w:r>
              <w:rPr>
                <w:rFonts w:ascii="Arial" w:cs="Arial" w:eastAsia="Arial" w:hAnsi="Arial"/>
                <w:sz w:val="20"/>
                <w:szCs w:val="20"/>
                <w:color w:val="auto"/>
              </w:rPr>
              <w:t>K filed on September 23, 2020) (Commission File No. 1-12744)</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54">
              <w:r>
                <w:rPr>
                  <w:rFonts w:ascii="Arial" w:cs="Arial" w:eastAsia="Arial" w:hAnsi="Arial"/>
                  <w:sz w:val="20"/>
                  <w:szCs w:val="20"/>
                  <w:u w:val="single" w:color="auto"/>
                  <w:color w:val="0000EE"/>
                </w:rPr>
                <w:t>31.01</w:t>
              </w:r>
            </w:hyperlink>
          </w:p>
        </w:tc>
        <w:tc>
          <w:tcPr>
            <w:tcW w:w="10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20"/>
                <w:szCs w:val="20"/>
                <w:color w:val="auto"/>
                <w:w w:val="91"/>
              </w:rPr>
              <w:t>Certification dated October 29, 2020 of Chief Executive Officer pursuant to Securities and Exchange Act of 1934 Rule 13a-14</w:t>
            </w:r>
          </w:p>
        </w:tc>
      </w:tr>
      <w:tr>
        <w:trPr>
          <w:trHeight w:val="250"/>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00" w:type="dxa"/>
            <w:vAlign w:val="bottom"/>
            <w:gridSpan w:val="2"/>
          </w:tcPr>
          <w:p>
            <w:pPr>
              <w:spacing w:after="0"/>
              <w:rPr>
                <w:sz w:val="20"/>
                <w:szCs w:val="20"/>
                <w:color w:val="auto"/>
              </w:rPr>
            </w:pPr>
            <w:r>
              <w:rPr>
                <w:rFonts w:ascii="Arial" w:cs="Arial" w:eastAsia="Arial" w:hAnsi="Arial"/>
                <w:sz w:val="20"/>
                <w:szCs w:val="20"/>
                <w:color w:val="auto"/>
              </w:rPr>
              <w:t>as adopted pursuant to Section 302 of the Sarbanes-Oxley Act of 2002</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56">
              <w:r>
                <w:rPr>
                  <w:rFonts w:ascii="Arial" w:cs="Arial" w:eastAsia="Arial" w:hAnsi="Arial"/>
                  <w:sz w:val="20"/>
                  <w:szCs w:val="20"/>
                  <w:u w:val="single" w:color="auto"/>
                  <w:color w:val="0000EE"/>
                </w:rPr>
                <w:t>31.02</w:t>
              </w:r>
            </w:hyperlink>
          </w:p>
        </w:tc>
        <w:tc>
          <w:tcPr>
            <w:tcW w:w="10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20"/>
                <w:szCs w:val="20"/>
                <w:color w:val="auto"/>
                <w:w w:val="91"/>
              </w:rPr>
              <w:t>Certification dated October 29, 2020 of Chief Financial Officer pursuant to Securities and Exchange Act of 1934 Rule 13a-14</w:t>
            </w:r>
          </w:p>
        </w:tc>
      </w:tr>
      <w:tr>
        <w:trPr>
          <w:trHeight w:val="250"/>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00" w:type="dxa"/>
            <w:vAlign w:val="bottom"/>
            <w:gridSpan w:val="2"/>
          </w:tcPr>
          <w:p>
            <w:pPr>
              <w:spacing w:after="0"/>
              <w:rPr>
                <w:sz w:val="20"/>
                <w:szCs w:val="20"/>
                <w:color w:val="auto"/>
              </w:rPr>
            </w:pPr>
            <w:r>
              <w:rPr>
                <w:rFonts w:ascii="Arial" w:cs="Arial" w:eastAsia="Arial" w:hAnsi="Arial"/>
                <w:sz w:val="20"/>
                <w:szCs w:val="20"/>
                <w:color w:val="auto"/>
              </w:rPr>
              <w:t>as adopted pursuant to Section 302 of the Sarbanes-Oxley Act of 2002</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58">
              <w:r>
                <w:rPr>
                  <w:rFonts w:ascii="Arial" w:cs="Arial" w:eastAsia="Arial" w:hAnsi="Arial"/>
                  <w:sz w:val="20"/>
                  <w:szCs w:val="20"/>
                  <w:u w:val="single" w:color="auto"/>
                  <w:color w:val="0000EE"/>
                </w:rPr>
                <w:t>32.01</w:t>
              </w:r>
            </w:hyperlink>
          </w:p>
        </w:tc>
        <w:tc>
          <w:tcPr>
            <w:tcW w:w="10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20"/>
                <w:szCs w:val="20"/>
                <w:color w:val="auto"/>
                <w:w w:val="94"/>
              </w:rPr>
              <w:t>Written Statement dated October 29, 2020 of Chief Executive Officer required by 18 U.S.C. 1350, as adopted pursuant to</w:t>
            </w:r>
          </w:p>
        </w:tc>
      </w:tr>
      <w:tr>
        <w:trPr>
          <w:trHeight w:val="250"/>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0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59">
              <w:r>
                <w:rPr>
                  <w:rFonts w:ascii="Arial" w:cs="Arial" w:eastAsia="Arial" w:hAnsi="Arial"/>
                  <w:sz w:val="20"/>
                  <w:szCs w:val="20"/>
                  <w:u w:val="single" w:color="auto"/>
                  <w:color w:val="0000EE"/>
                </w:rPr>
                <w:t>32.02</w:t>
              </w:r>
            </w:hyperlink>
          </w:p>
        </w:tc>
        <w:tc>
          <w:tcPr>
            <w:tcW w:w="10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20"/>
                <w:szCs w:val="20"/>
                <w:color w:val="auto"/>
                <w:w w:val="94"/>
              </w:rPr>
              <w:t>Written Statement dated October 29, 2020 of Chief Financial Officer required by 18 U.S.C. 1350, as adopted pursuant to</w:t>
            </w:r>
          </w:p>
        </w:tc>
      </w:tr>
      <w:tr>
        <w:trPr>
          <w:trHeight w:val="250"/>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0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101" w:lineRule="exact"/>
        <w:rPr>
          <w:sz w:val="20"/>
          <w:szCs w:val="20"/>
          <w:color w:val="auto"/>
        </w:rPr>
      </w:pPr>
    </w:p>
    <w:p>
      <w:pPr>
        <w:ind w:left="1140" w:hanging="1132"/>
        <w:spacing w:after="0"/>
        <w:tabs>
          <w:tab w:leader="none" w:pos="1140" w:val="left"/>
        </w:tabs>
        <w:numPr>
          <w:ilvl w:val="0"/>
          <w:numId w:val="20"/>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20"/>
                <w:szCs w:val="20"/>
                <w:color w:val="auto"/>
              </w:rPr>
              <w:t>101.INS</w:t>
            </w:r>
          </w:p>
        </w:tc>
        <w:tc>
          <w:tcPr>
            <w:tcW w:w="10300" w:type="dxa"/>
            <w:vAlign w:val="bottom"/>
          </w:tcPr>
          <w:p>
            <w:pPr>
              <w:ind w:left="200"/>
              <w:spacing w:after="0"/>
              <w:rPr>
                <w:sz w:val="20"/>
                <w:szCs w:val="20"/>
                <w:color w:val="auto"/>
              </w:rPr>
            </w:pPr>
            <w:r>
              <w:rPr>
                <w:rFonts w:ascii="Arial" w:cs="Arial" w:eastAsia="Arial" w:hAnsi="Arial"/>
                <w:sz w:val="20"/>
                <w:szCs w:val="20"/>
                <w:color w:val="auto"/>
                <w:w w:val="90"/>
              </w:rPr>
              <w:t>Inline XBRL Instance Document – The instance document does not appear in the Interactive Data File because its XBRL tags</w:t>
            </w:r>
          </w:p>
        </w:tc>
      </w:tr>
      <w:tr>
        <w:trPr>
          <w:trHeight w:val="250"/>
        </w:trPr>
        <w:tc>
          <w:tcPr>
            <w:tcW w:w="940" w:type="dxa"/>
            <w:vAlign w:val="bottom"/>
          </w:tcPr>
          <w:p>
            <w:pPr>
              <w:spacing w:after="0"/>
              <w:rPr>
                <w:sz w:val="21"/>
                <w:szCs w:val="21"/>
                <w:color w:val="auto"/>
              </w:rPr>
            </w:pPr>
          </w:p>
        </w:tc>
        <w:tc>
          <w:tcPr>
            <w:tcW w:w="10300" w:type="dxa"/>
            <w:vAlign w:val="bottom"/>
          </w:tcPr>
          <w:p>
            <w:pPr>
              <w:ind w:left="200"/>
              <w:spacing w:after="0"/>
              <w:rPr>
                <w:sz w:val="20"/>
                <w:szCs w:val="20"/>
                <w:color w:val="auto"/>
              </w:rPr>
            </w:pPr>
            <w:r>
              <w:rPr>
                <w:rFonts w:ascii="Arial" w:cs="Arial" w:eastAsia="Arial" w:hAnsi="Arial"/>
                <w:sz w:val="20"/>
                <w:szCs w:val="20"/>
                <w:color w:val="auto"/>
              </w:rPr>
              <w:t>are embedded within the Inline XBRL document.</w:t>
            </w:r>
          </w:p>
        </w:tc>
      </w:tr>
      <w:tr>
        <w:trPr>
          <w:trHeight w:val="351"/>
        </w:trPr>
        <w:tc>
          <w:tcPr>
            <w:tcW w:w="940" w:type="dxa"/>
            <w:vAlign w:val="bottom"/>
          </w:tcPr>
          <w:p>
            <w:pPr>
              <w:spacing w:after="0"/>
              <w:rPr>
                <w:sz w:val="20"/>
                <w:szCs w:val="20"/>
                <w:color w:val="auto"/>
              </w:rPr>
            </w:pPr>
            <w:r>
              <w:rPr>
                <w:rFonts w:ascii="Arial" w:cs="Arial" w:eastAsia="Arial" w:hAnsi="Arial"/>
                <w:sz w:val="20"/>
                <w:szCs w:val="20"/>
                <w:color w:val="auto"/>
              </w:rPr>
              <w:t>101.SCH</w:t>
            </w:r>
          </w:p>
        </w:tc>
        <w:tc>
          <w:tcPr>
            <w:tcW w:w="10300" w:type="dxa"/>
            <w:vAlign w:val="bottom"/>
          </w:tcPr>
          <w:p>
            <w:pPr>
              <w:ind w:left="200"/>
              <w:spacing w:after="0"/>
              <w:rPr>
                <w:sz w:val="20"/>
                <w:szCs w:val="20"/>
                <w:color w:val="auto"/>
              </w:rPr>
            </w:pPr>
            <w:r>
              <w:rPr>
                <w:rFonts w:ascii="Arial" w:cs="Arial" w:eastAsia="Arial" w:hAnsi="Arial"/>
                <w:sz w:val="20"/>
                <w:szCs w:val="20"/>
                <w:color w:val="auto"/>
              </w:rPr>
              <w:t>Inline XBRL Taxonomy Extension Schema Document</w:t>
            </w:r>
          </w:p>
        </w:tc>
      </w:tr>
      <w:tr>
        <w:trPr>
          <w:trHeight w:val="351"/>
        </w:trPr>
        <w:tc>
          <w:tcPr>
            <w:tcW w:w="940" w:type="dxa"/>
            <w:vAlign w:val="bottom"/>
          </w:tcPr>
          <w:p>
            <w:pPr>
              <w:spacing w:after="0"/>
              <w:rPr>
                <w:sz w:val="20"/>
                <w:szCs w:val="20"/>
                <w:color w:val="auto"/>
              </w:rPr>
            </w:pPr>
            <w:r>
              <w:rPr>
                <w:rFonts w:ascii="Arial" w:cs="Arial" w:eastAsia="Arial" w:hAnsi="Arial"/>
                <w:sz w:val="20"/>
                <w:szCs w:val="20"/>
                <w:color w:val="auto"/>
              </w:rPr>
              <w:t>101.CAL</w:t>
            </w:r>
          </w:p>
        </w:tc>
        <w:tc>
          <w:tcPr>
            <w:tcW w:w="10300" w:type="dxa"/>
            <w:vAlign w:val="bottom"/>
          </w:tcPr>
          <w:p>
            <w:pPr>
              <w:ind w:left="20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51"/>
        </w:trPr>
        <w:tc>
          <w:tcPr>
            <w:tcW w:w="940" w:type="dxa"/>
            <w:vAlign w:val="bottom"/>
          </w:tcPr>
          <w:p>
            <w:pPr>
              <w:spacing w:after="0"/>
              <w:rPr>
                <w:sz w:val="20"/>
                <w:szCs w:val="20"/>
                <w:color w:val="auto"/>
              </w:rPr>
            </w:pPr>
            <w:r>
              <w:rPr>
                <w:rFonts w:ascii="Arial" w:cs="Arial" w:eastAsia="Arial" w:hAnsi="Arial"/>
                <w:sz w:val="20"/>
                <w:szCs w:val="20"/>
                <w:color w:val="auto"/>
              </w:rPr>
              <w:t>101.LAB</w:t>
            </w:r>
          </w:p>
        </w:tc>
        <w:tc>
          <w:tcPr>
            <w:tcW w:w="10300" w:type="dxa"/>
            <w:vAlign w:val="bottom"/>
          </w:tcPr>
          <w:p>
            <w:pPr>
              <w:ind w:left="20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51"/>
        </w:trPr>
        <w:tc>
          <w:tcPr>
            <w:tcW w:w="940" w:type="dxa"/>
            <w:vAlign w:val="bottom"/>
          </w:tcPr>
          <w:p>
            <w:pPr>
              <w:spacing w:after="0"/>
              <w:rPr>
                <w:sz w:val="20"/>
                <w:szCs w:val="20"/>
                <w:color w:val="auto"/>
              </w:rPr>
            </w:pPr>
            <w:r>
              <w:rPr>
                <w:rFonts w:ascii="Arial" w:cs="Arial" w:eastAsia="Arial" w:hAnsi="Arial"/>
                <w:sz w:val="20"/>
                <w:szCs w:val="20"/>
                <w:color w:val="auto"/>
              </w:rPr>
              <w:t>101.PRE</w:t>
            </w:r>
          </w:p>
        </w:tc>
        <w:tc>
          <w:tcPr>
            <w:tcW w:w="10300" w:type="dxa"/>
            <w:vAlign w:val="bottom"/>
          </w:tcPr>
          <w:p>
            <w:pPr>
              <w:ind w:left="20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51"/>
        </w:trPr>
        <w:tc>
          <w:tcPr>
            <w:tcW w:w="940" w:type="dxa"/>
            <w:vAlign w:val="bottom"/>
          </w:tcPr>
          <w:p>
            <w:pPr>
              <w:spacing w:after="0"/>
              <w:rPr>
                <w:sz w:val="20"/>
                <w:szCs w:val="20"/>
                <w:color w:val="auto"/>
              </w:rPr>
            </w:pPr>
            <w:r>
              <w:rPr>
                <w:rFonts w:ascii="Arial" w:cs="Arial" w:eastAsia="Arial" w:hAnsi="Arial"/>
                <w:sz w:val="20"/>
                <w:szCs w:val="20"/>
                <w:color w:val="auto"/>
              </w:rPr>
              <w:t>101.DEF</w:t>
            </w:r>
          </w:p>
        </w:tc>
        <w:tc>
          <w:tcPr>
            <w:tcW w:w="10300" w:type="dxa"/>
            <w:vAlign w:val="bottom"/>
          </w:tcPr>
          <w:p>
            <w:pPr>
              <w:ind w:left="200"/>
              <w:spacing w:after="0"/>
              <w:rPr>
                <w:sz w:val="20"/>
                <w:szCs w:val="20"/>
                <w:color w:val="auto"/>
              </w:rPr>
            </w:pPr>
            <w:r>
              <w:rPr>
                <w:rFonts w:ascii="Arial" w:cs="Arial" w:eastAsia="Arial" w:hAnsi="Arial"/>
                <w:sz w:val="20"/>
                <w:szCs w:val="20"/>
                <w:color w:val="auto"/>
              </w:rPr>
              <w:t>Inline XBRL Taxonomy Extension Definition Linkbase</w:t>
            </w:r>
          </w:p>
        </w:tc>
      </w:tr>
    </w:tbl>
    <w:p>
      <w:pPr>
        <w:spacing w:after="0" w:line="101" w:lineRule="exact"/>
        <w:rPr>
          <w:sz w:val="20"/>
          <w:szCs w:val="20"/>
          <w:color w:val="auto"/>
        </w:rPr>
      </w:pPr>
    </w:p>
    <w:p>
      <w:pPr>
        <w:ind w:left="1140" w:hanging="1132"/>
        <w:spacing w:after="0"/>
        <w:tabs>
          <w:tab w:leader="none" w:pos="11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3" w:lineRule="exact"/>
        <w:rPr>
          <w:rFonts w:ascii="Arial" w:cs="Arial" w:eastAsia="Arial" w:hAnsi="Arial"/>
          <w:sz w:val="20"/>
          <w:szCs w:val="20"/>
          <w:color w:val="auto"/>
        </w:rPr>
      </w:pPr>
    </w:p>
    <w:p>
      <w:pPr>
        <w:ind w:left="5080"/>
        <w:spacing w:after="0"/>
        <w:rPr>
          <w:rFonts w:ascii="Arial" w:cs="Arial" w:eastAsia="Arial" w:hAnsi="Arial"/>
          <w:sz w:val="20"/>
          <w:szCs w:val="20"/>
          <w:color w:val="auto"/>
        </w:rPr>
      </w:pPr>
      <w:r>
        <w:rPr>
          <w:rFonts w:ascii="Arial" w:cs="Arial" w:eastAsia="Arial" w:hAnsi="Arial"/>
          <w:sz w:val="20"/>
          <w:szCs w:val="20"/>
          <w:color w:val="auto"/>
        </w:rPr>
        <w:t>Page 52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34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140" w:type="dxa"/>
            <w:vAlign w:val="bottom"/>
          </w:tcPr>
          <w:p>
            <w:pPr>
              <w:jc w:val="center"/>
              <w:ind w:right="1901"/>
              <w:spacing w:after="0"/>
              <w:rPr>
                <w:sz w:val="20"/>
                <w:szCs w:val="20"/>
                <w:color w:val="auto"/>
              </w:rPr>
            </w:pPr>
            <w:r>
              <w:rPr>
                <w:rFonts w:ascii="Arial" w:cs="Arial" w:eastAsia="Arial" w:hAnsi="Arial"/>
                <w:sz w:val="20"/>
                <w:szCs w:val="20"/>
                <w:color w:val="auto"/>
                <w:w w:val="89"/>
              </w:rPr>
              <w:t>(Registrant)</w:t>
            </w:r>
          </w:p>
        </w:tc>
      </w:tr>
      <w:tr>
        <w:trPr>
          <w:trHeight w:val="455"/>
        </w:trPr>
        <w:tc>
          <w:tcPr>
            <w:tcW w:w="3480" w:type="dxa"/>
            <w:vAlign w:val="bottom"/>
          </w:tcPr>
          <w:p>
            <w:pPr>
              <w:spacing w:after="0"/>
              <w:rPr>
                <w:sz w:val="20"/>
                <w:szCs w:val="20"/>
                <w:color w:val="auto"/>
              </w:rPr>
            </w:pPr>
            <w:r>
              <w:rPr>
                <w:rFonts w:ascii="Arial" w:cs="Arial" w:eastAsia="Arial" w:hAnsi="Arial"/>
                <w:sz w:val="20"/>
                <w:szCs w:val="20"/>
                <w:color w:val="auto"/>
              </w:rPr>
              <w:t>Date: October 29, 2020</w:t>
            </w:r>
          </w:p>
        </w:tc>
        <w:tc>
          <w:tcPr>
            <w:tcW w:w="7760" w:type="dxa"/>
            <w:vAlign w:val="bottom"/>
            <w:gridSpan w:val="2"/>
          </w:tcPr>
          <w:p>
            <w:pPr>
              <w:ind w:left="3220"/>
              <w:spacing w:after="0"/>
              <w:rPr>
                <w:sz w:val="20"/>
                <w:szCs w:val="20"/>
                <w:color w:val="auto"/>
              </w:rPr>
            </w:pPr>
            <w:r>
              <w:rPr>
                <w:rFonts w:ascii="Arial" w:cs="Arial" w:eastAsia="Arial" w:hAnsi="Arial"/>
                <w:sz w:val="20"/>
                <w:szCs w:val="20"/>
                <w:color w:val="auto"/>
              </w:rPr>
              <w:t>By: /s/ James A. J. Nickolas</w:t>
            </w:r>
          </w:p>
        </w:tc>
      </w:tr>
      <w:tr>
        <w:trPr>
          <w:trHeight w:val="206"/>
        </w:trPr>
        <w:tc>
          <w:tcPr>
            <w:tcW w:w="34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1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34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34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140" w:type="dxa"/>
            <w:vAlign w:val="bottom"/>
          </w:tcPr>
          <w:p>
            <w:pPr>
              <w:jc w:val="center"/>
              <w:ind w:right="1881"/>
              <w:spacing w:after="0"/>
              <w:rPr>
                <w:sz w:val="20"/>
                <w:szCs w:val="20"/>
                <w:color w:val="auto"/>
              </w:rPr>
            </w:pPr>
            <w:r>
              <w:rPr>
                <w:rFonts w:ascii="Arial" w:cs="Arial" w:eastAsia="Arial" w:hAnsi="Arial"/>
                <w:sz w:val="20"/>
                <w:szCs w:val="20"/>
                <w:color w:val="auto"/>
                <w:w w:val="93"/>
              </w:rPr>
              <w:t>Chief Financial Officer</w:t>
            </w:r>
          </w:p>
        </w:tc>
      </w:tr>
      <w:tr>
        <w:trPr>
          <w:trHeight w:val="904"/>
        </w:trPr>
        <w:tc>
          <w:tcPr>
            <w:tcW w:w="3480" w:type="dxa"/>
            <w:vAlign w:val="bottom"/>
          </w:tcPr>
          <w:p>
            <w:pPr>
              <w:spacing w:after="0"/>
              <w:rPr>
                <w:sz w:val="24"/>
                <w:szCs w:val="24"/>
                <w:color w:val="auto"/>
              </w:rPr>
            </w:pPr>
          </w:p>
        </w:tc>
        <w:tc>
          <w:tcPr>
            <w:tcW w:w="7760" w:type="dxa"/>
            <w:vAlign w:val="bottom"/>
            <w:gridSpan w:val="2"/>
          </w:tcPr>
          <w:p>
            <w:pPr>
              <w:ind w:left="1600"/>
              <w:spacing w:after="0"/>
              <w:rPr>
                <w:sz w:val="20"/>
                <w:szCs w:val="20"/>
                <w:color w:val="auto"/>
              </w:rPr>
            </w:pPr>
            <w:r>
              <w:rPr>
                <w:rFonts w:ascii="Arial" w:cs="Arial" w:eastAsia="Arial" w:hAnsi="Arial"/>
                <w:sz w:val="20"/>
                <w:szCs w:val="20"/>
                <w:color w:val="auto"/>
              </w:rPr>
              <w:t>Page 53 of 53</w:t>
            </w:r>
          </w:p>
        </w:tc>
      </w:tr>
    </w:tbl>
    <w:p>
      <w:pPr>
        <w:sectPr>
          <w:pgSz w:w="11900" w:h="16838" w:orient="portrait"/>
          <w:cols w:equalWidth="0" w:num="1">
            <w:col w:w="11240"/>
          </w:cols>
          <w:pgMar w:left="320" w:top="35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42"/>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4" w:name="page55"/>
    <w:bookmarkEnd w:id="54"/>
    <w:p>
      <w:pPr>
        <w:spacing w:after="0" w:line="47" w:lineRule="exact"/>
        <w:rPr>
          <w:sz w:val="20"/>
          <w:szCs w:val="20"/>
          <w:color w:val="auto"/>
        </w:rPr>
      </w:pPr>
    </w:p>
    <w:p>
      <w:pPr>
        <w:jc w:val="both"/>
        <w:ind w:left="1300" w:hanging="442"/>
        <w:spacing w:after="0" w:line="250"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20" w:type="dxa"/>
            <w:vAlign w:val="bottom"/>
          </w:tcPr>
          <w:p>
            <w:pPr>
              <w:spacing w:after="0"/>
              <w:rPr>
                <w:sz w:val="20"/>
                <w:szCs w:val="20"/>
                <w:color w:val="auto"/>
              </w:rPr>
            </w:pPr>
            <w:r>
              <w:rPr>
                <w:rFonts w:ascii="Arial" w:cs="Arial" w:eastAsia="Arial" w:hAnsi="Arial"/>
                <w:sz w:val="20"/>
                <w:szCs w:val="20"/>
                <w:color w:val="auto"/>
              </w:rPr>
              <w:t>Date: October 29, 2020</w:t>
            </w:r>
          </w:p>
        </w:tc>
        <w:tc>
          <w:tcPr>
            <w:tcW w:w="6920" w:type="dxa"/>
            <w:vAlign w:val="bottom"/>
            <w:gridSpan w:val="2"/>
          </w:tcPr>
          <w:p>
            <w:pPr>
              <w:ind w:left="2440"/>
              <w:spacing w:after="0"/>
              <w:rPr>
                <w:sz w:val="20"/>
                <w:szCs w:val="20"/>
                <w:color w:val="auto"/>
              </w:rPr>
            </w:pPr>
            <w:r>
              <w:rPr>
                <w:rFonts w:ascii="Arial" w:cs="Arial" w:eastAsia="Arial" w:hAnsi="Arial"/>
                <w:sz w:val="20"/>
                <w:szCs w:val="20"/>
                <w:color w:val="auto"/>
              </w:rPr>
              <w:t>By:  /s/ C. Howard Nye</w:t>
            </w:r>
          </w:p>
        </w:tc>
      </w:tr>
      <w:tr>
        <w:trPr>
          <w:trHeight w:val="206"/>
        </w:trPr>
        <w:tc>
          <w:tcPr>
            <w:tcW w:w="4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0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3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44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9" w:lineRule="exact"/>
        <w:rPr>
          <w:sz w:val="20"/>
          <w:szCs w:val="20"/>
          <w:color w:val="auto"/>
        </w:rPr>
      </w:pPr>
    </w:p>
    <w:p>
      <w:pPr>
        <w:ind w:left="1300" w:hanging="442"/>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6" w:name="page57"/>
    <w:bookmarkEnd w:id="56"/>
    <w:p>
      <w:pPr>
        <w:spacing w:after="0" w:line="47" w:lineRule="exact"/>
        <w:rPr>
          <w:sz w:val="20"/>
          <w:szCs w:val="20"/>
          <w:color w:val="auto"/>
        </w:rPr>
      </w:pPr>
    </w:p>
    <w:p>
      <w:pPr>
        <w:jc w:val="both"/>
        <w:ind w:left="1300" w:hanging="442"/>
        <w:spacing w:after="0" w:line="250"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tcPr>
          <w:p>
            <w:pPr>
              <w:spacing w:after="0"/>
              <w:rPr>
                <w:sz w:val="20"/>
                <w:szCs w:val="20"/>
                <w:color w:val="auto"/>
              </w:rPr>
            </w:pPr>
            <w:r>
              <w:rPr>
                <w:rFonts w:ascii="Arial" w:cs="Arial" w:eastAsia="Arial" w:hAnsi="Arial"/>
                <w:sz w:val="20"/>
                <w:szCs w:val="20"/>
                <w:color w:val="auto"/>
              </w:rPr>
              <w:t>Date: October 29, 2020</w:t>
            </w:r>
          </w:p>
        </w:tc>
        <w:tc>
          <w:tcPr>
            <w:tcW w:w="6940" w:type="dxa"/>
            <w:vAlign w:val="bottom"/>
            <w:gridSpan w:val="2"/>
          </w:tcPr>
          <w:p>
            <w:pPr>
              <w:ind w:left="2440"/>
              <w:spacing w:after="0"/>
              <w:rPr>
                <w:sz w:val="20"/>
                <w:szCs w:val="20"/>
                <w:color w:val="auto"/>
              </w:rPr>
            </w:pPr>
            <w:r>
              <w:rPr>
                <w:rFonts w:ascii="Arial" w:cs="Arial" w:eastAsia="Arial" w:hAnsi="Arial"/>
                <w:sz w:val="20"/>
                <w:szCs w:val="20"/>
                <w:color w:val="auto"/>
              </w:rPr>
              <w:t>By:  /s/ James A. J. Nickolas</w:t>
            </w:r>
          </w:p>
        </w:tc>
      </w:tr>
      <w:tr>
        <w:trPr>
          <w:trHeight w:val="206"/>
        </w:trPr>
        <w:tc>
          <w:tcPr>
            <w:tcW w:w="4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0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29"/>
        </w:trPr>
        <w:tc>
          <w:tcPr>
            <w:tcW w:w="4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3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144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32.01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September 30, 2020 (the “Report”) of Martin Marietta Materials, Inc. (the “Registrant”), as filed with the Securities and Exchange Commission on the date hereof, I, C. Howard Nye, the Chief Executive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Chairman, President and</w:t>
      </w:r>
    </w:p>
    <w:p>
      <w:pPr>
        <w:ind w:left="690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October 29, 2020</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32.02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September 30, 2020 (the “Report”) of Martin Marietta Materials, Inc. (the “Registrant”), as filed with the Securities and Exchange Commission on the date hereof, I, James A. J. Nickolas, the Chief Financial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Sr. Vice President and</w:t>
      </w:r>
    </w:p>
    <w:p>
      <w:pPr>
        <w:ind w:left="69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October 29, 2020</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95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presents the following items regarding certain mining safety and health matters for the three months ended September 30, 2020:</w:t>
      </w:r>
    </w:p>
    <w:p>
      <w:pPr>
        <w:spacing w:after="0" w:line="190" w:lineRule="exact"/>
        <w:rPr>
          <w:sz w:val="20"/>
          <w:szCs w:val="20"/>
          <w:color w:val="auto"/>
        </w:rPr>
      </w:pPr>
    </w:p>
    <w:p>
      <w:pPr>
        <w:jc w:val="both"/>
        <w:ind w:left="440" w:hanging="432"/>
        <w:spacing w:after="0" w:line="259" w:lineRule="auto"/>
        <w:tabs>
          <w:tab w:leader="none" w:pos="440"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64" w:lineRule="exact"/>
        <w:rPr>
          <w:rFonts w:ascii="Arial" w:cs="Arial" w:eastAsia="Arial" w:hAnsi="Arial"/>
          <w:sz w:val="19"/>
          <w:szCs w:val="19"/>
          <w:b w:val="1"/>
          <w:bCs w:val="1"/>
          <w:color w:val="auto"/>
        </w:rPr>
      </w:pPr>
    </w:p>
    <w:p>
      <w:pPr>
        <w:jc w:val="both"/>
        <w:ind w:left="440" w:hanging="432"/>
        <w:spacing w:after="0" w:line="246" w:lineRule="auto"/>
        <w:tabs>
          <w:tab w:leader="none" w:pos="44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4" w:lineRule="exact"/>
        <w:rPr>
          <w:rFonts w:ascii="Arial" w:cs="Arial" w:eastAsia="Arial" w:hAnsi="Arial"/>
          <w:sz w:val="20"/>
          <w:szCs w:val="20"/>
          <w:b w:val="1"/>
          <w:bCs w:val="1"/>
          <w:color w:val="auto"/>
        </w:rPr>
      </w:pPr>
    </w:p>
    <w:p>
      <w:pPr>
        <w:jc w:val="both"/>
        <w:ind w:left="440" w:hanging="432"/>
        <w:spacing w:after="0" w:line="291" w:lineRule="auto"/>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ind w:left="440"/>
        <w:spacing w:after="0" w:line="261"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89" w:lineRule="exact"/>
        <w:rPr>
          <w:sz w:val="20"/>
          <w:szCs w:val="20"/>
          <w:color w:val="auto"/>
        </w:rPr>
      </w:pPr>
    </w:p>
    <w:p>
      <w:pPr>
        <w:jc w:val="both"/>
        <w:ind w:left="440" w:hanging="432"/>
        <w:spacing w:after="0" w:line="244" w:lineRule="auto"/>
        <w:tabs>
          <w:tab w:leader="none" w:pos="440"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7" w:lineRule="exact"/>
        <w:rPr>
          <w:rFonts w:ascii="Arial" w:cs="Arial" w:eastAsia="Arial" w:hAnsi="Arial"/>
          <w:sz w:val="20"/>
          <w:szCs w:val="20"/>
          <w:b w:val="1"/>
          <w:bCs w:val="1"/>
          <w:color w:val="auto"/>
        </w:rPr>
      </w:pPr>
    </w:p>
    <w:p>
      <w:pPr>
        <w:jc w:val="both"/>
        <w:ind w:left="440" w:hanging="432"/>
        <w:spacing w:after="0" w:line="263" w:lineRule="auto"/>
        <w:tabs>
          <w:tab w:leader="none" w:pos="440"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89" w:lineRule="exact"/>
        <w:rPr>
          <w:rFonts w:ascii="Arial" w:cs="Arial" w:eastAsia="Arial" w:hAnsi="Arial"/>
          <w:sz w:val="19"/>
          <w:szCs w:val="19"/>
          <w:b w:val="1"/>
          <w:bCs w:val="1"/>
          <w:color w:val="auto"/>
        </w:rPr>
      </w:pPr>
    </w:p>
    <w:p>
      <w:pPr>
        <w:jc w:val="both"/>
        <w:ind w:left="440" w:hanging="432"/>
        <w:spacing w:after="0" w:line="282" w:lineRule="auto"/>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4" w:lineRule="exact"/>
        <w:rPr>
          <w:rFonts w:ascii="Arial" w:cs="Arial" w:eastAsia="Arial" w:hAnsi="Arial"/>
          <w:sz w:val="18"/>
          <w:szCs w:val="18"/>
          <w:b w:val="1"/>
          <w:bCs w:val="1"/>
          <w:color w:val="auto"/>
        </w:rPr>
      </w:pPr>
    </w:p>
    <w:p>
      <w:pPr>
        <w:jc w:val="both"/>
        <w:ind w:left="440" w:hanging="432"/>
        <w:spacing w:after="0" w:line="291" w:lineRule="auto"/>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65" w:lineRule="exact"/>
        <w:rPr>
          <w:rFonts w:ascii="Arial" w:cs="Arial" w:eastAsia="Arial" w:hAnsi="Arial"/>
          <w:sz w:val="18"/>
          <w:szCs w:val="18"/>
          <w:b w:val="1"/>
          <w:bCs w:val="1"/>
          <w:color w:val="auto"/>
        </w:rPr>
      </w:pPr>
    </w:p>
    <w:p>
      <w:pPr>
        <w:jc w:val="both"/>
        <w:ind w:left="440" w:hanging="432"/>
        <w:spacing w:after="0" w:line="282" w:lineRule="auto"/>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4" w:lineRule="exact"/>
        <w:rPr>
          <w:rFonts w:ascii="Arial" w:cs="Arial" w:eastAsia="Arial" w:hAnsi="Arial"/>
          <w:sz w:val="18"/>
          <w:szCs w:val="18"/>
          <w:b w:val="1"/>
          <w:bCs w:val="1"/>
          <w:color w:val="auto"/>
        </w:rPr>
      </w:pPr>
    </w:p>
    <w:p>
      <w:pPr>
        <w:ind w:left="440" w:hanging="432"/>
        <w:spacing w:after="0"/>
        <w:tabs>
          <w:tab w:leader="none" w:pos="440"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9"/>
          <w:szCs w:val="19"/>
          <w:color w:val="auto"/>
        </w:rPr>
        <w:t>penalties they have received from MSHA, or complaints of discrimination by miners under Section 105 of the Mine Act. Appendix 1 shows, for each of the Corporation’s quarries and mines identified, as of September 30, 2020,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781685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2"/>
        </w:trPr>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gridSpan w:val="2"/>
          </w:tcPr>
          <w:p>
            <w:pPr>
              <w:ind w:left="660"/>
              <w:spacing w:after="0"/>
              <w:rPr>
                <w:sz w:val="20"/>
                <w:szCs w:val="20"/>
                <w:color w:val="auto"/>
              </w:rPr>
            </w:pPr>
            <w:r>
              <w:rPr>
                <w:rFonts w:ascii="Arial" w:cs="Arial" w:eastAsia="Arial" w:hAnsi="Arial"/>
                <w:sz w:val="20"/>
                <w:szCs w:val="20"/>
                <w:color w:val="auto"/>
                <w:w w:val="95"/>
              </w:rPr>
              <w:t>Appendix 1</w:t>
            </w:r>
          </w:p>
        </w:tc>
      </w:tr>
      <w:tr>
        <w:trPr>
          <w:trHeight w:val="446"/>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Received Received</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8"/>
              </w:rPr>
              <w:t>Notice of Notice of</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7"/>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2280" w:type="dxa"/>
            <w:vAlign w:val="bottom"/>
            <w:gridSpan w:val="3"/>
          </w:tcPr>
          <w:p>
            <w:pPr>
              <w:jc w:val="center"/>
              <w:spacing w:after="0"/>
              <w:rPr>
                <w:sz w:val="20"/>
                <w:szCs w:val="20"/>
                <w:color w:val="auto"/>
              </w:rPr>
            </w:pPr>
            <w:r>
              <w:rPr>
                <w:rFonts w:ascii="Arial" w:cs="Arial" w:eastAsia="Arial" w:hAnsi="Arial"/>
                <w:sz w:val="20"/>
                <w:szCs w:val="20"/>
                <w:b w:val="1"/>
                <w:bCs w:val="1"/>
                <w:color w:val="auto"/>
                <w:w w:val="90"/>
              </w:rPr>
              <w:t>Pattern 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Total</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2"/>
              </w:rPr>
              <w:t>Number</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1500" w:type="dxa"/>
            <w:vAlign w:val="bottom"/>
            <w:gridSpan w:val="2"/>
          </w:tcPr>
          <w:p>
            <w:pPr>
              <w:ind w:left="100"/>
              <w:spacing w:after="0"/>
              <w:rPr>
                <w:sz w:val="20"/>
                <w:szCs w:val="20"/>
                <w:color w:val="auto"/>
              </w:rPr>
            </w:pPr>
            <w:r>
              <w:rPr>
                <w:rFonts w:ascii="Arial" w:cs="Arial" w:eastAsia="Arial" w:hAnsi="Arial"/>
                <w:sz w:val="20"/>
                <w:szCs w:val="20"/>
                <w:b w:val="1"/>
                <w:bCs w:val="1"/>
                <w:color w:val="auto"/>
                <w:w w:val="89"/>
              </w:rPr>
              <w:t>to have Pending</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Legal</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7"/>
              </w:rPr>
              <w:t>Legal</w:t>
            </w: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101"/>
              <w:spacing w:after="0"/>
              <w:rPr>
                <w:sz w:val="20"/>
                <w:szCs w:val="20"/>
                <w:color w:val="auto"/>
              </w:rPr>
            </w:pPr>
            <w:r>
              <w:rPr>
                <w:rFonts w:ascii="Arial" w:cs="Arial" w:eastAsia="Arial" w:hAnsi="Arial"/>
                <w:sz w:val="20"/>
                <w:szCs w:val="20"/>
                <w:b w:val="1"/>
                <w:bCs w:val="1"/>
                <w:color w:val="auto"/>
                <w:w w:val="95"/>
              </w:rPr>
              <w:t>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600" w:type="dxa"/>
            <w:vAlign w:val="bottom"/>
            <w:gridSpan w:val="2"/>
          </w:tcPr>
          <w:p>
            <w:pPr>
              <w:spacing w:after="0"/>
              <w:rPr>
                <w:sz w:val="20"/>
                <w:szCs w:val="20"/>
                <w:color w:val="auto"/>
              </w:rPr>
            </w:pPr>
            <w:r>
              <w:rPr>
                <w:rFonts w:ascii="Arial" w:cs="Arial" w:eastAsia="Arial" w:hAnsi="Arial"/>
                <w:sz w:val="20"/>
                <w:szCs w:val="20"/>
                <w:b w:val="1"/>
                <w:bCs w:val="1"/>
                <w:color w:val="auto"/>
                <w:w w:val="99"/>
              </w:rPr>
              <w:t>Violation Pattern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1"/>
              </w:rPr>
              <w:t>as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4"/>
              </w:rPr>
              <w:t>Actions</w:t>
            </w: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rPr>
                <w:sz w:val="20"/>
                <w:szCs w:val="20"/>
                <w:color w:val="auto"/>
              </w:rPr>
            </w:pPr>
            <w:r>
              <w:rPr>
                <w:rFonts w:ascii="Arial" w:cs="Arial" w:eastAsia="Arial" w:hAnsi="Arial"/>
                <w:sz w:val="20"/>
                <w:szCs w:val="20"/>
                <w:b w:val="1"/>
                <w:bCs w:val="1"/>
                <w:color w:val="auto"/>
                <w:w w:val="91"/>
              </w:rPr>
              <w:t>Section</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91"/>
              </w:rPr>
              <w:t>Section</w:t>
            </w:r>
          </w:p>
        </w:tc>
        <w:tc>
          <w:tcPr>
            <w:tcW w:w="18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6"/>
              </w:rPr>
              <w:t>Mining</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2"/>
              </w:rPr>
              <w:t>Last</w:t>
            </w:r>
          </w:p>
        </w:tc>
        <w:tc>
          <w:tcPr>
            <w:tcW w:w="164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Instituted Resolved</w:t>
            </w: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96"/>
              </w:rPr>
              <w:t>110(b)(2) 107(a)</w:t>
            </w:r>
          </w:p>
        </w:tc>
        <w:tc>
          <w:tcPr>
            <w:tcW w:w="18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Related</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8"/>
              </w:rPr>
              <w:t>Day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6"/>
              </w:rPr>
              <w:t>During</w:t>
            </w:r>
          </w:p>
        </w:tc>
      </w:tr>
      <w:tr>
        <w:trPr>
          <w:trHeight w:val="230"/>
        </w:trPr>
        <w:tc>
          <w:tcPr>
            <w:tcW w:w="98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87"/>
              </w:rPr>
              <w:t>Violations Orders</w:t>
            </w:r>
          </w:p>
        </w:tc>
        <w:tc>
          <w:tcPr>
            <w:tcW w:w="1940" w:type="dxa"/>
            <w:vAlign w:val="bottom"/>
            <w:gridSpan w:val="3"/>
          </w:tcPr>
          <w:p>
            <w:pPr>
              <w:ind w:left="40"/>
              <w:spacing w:after="0"/>
              <w:rPr>
                <w:sz w:val="20"/>
                <w:szCs w:val="20"/>
                <w:color w:val="auto"/>
              </w:rPr>
            </w:pPr>
            <w:r>
              <w:rPr>
                <w:rFonts w:ascii="Arial" w:cs="Arial" w:eastAsia="Arial" w:hAnsi="Arial"/>
                <w:sz w:val="20"/>
                <w:szCs w:val="20"/>
                <w:b w:val="1"/>
                <w:bCs w:val="1"/>
                <w:color w:val="auto"/>
                <w:w w:val="87"/>
              </w:rPr>
              <w:t>Assessment/ Fatalities</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98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3101636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Amelia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4407372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3100189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157</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Creek</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4402963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Appling</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0901083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3100059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3100066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Auburn Al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0100006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6"/>
              </w:rPr>
              <w:t>Auburn GA</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0900436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Augusta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700" w:type="dxa"/>
            <w:vAlign w:val="bottom"/>
            <w:gridSpan w:val="2"/>
          </w:tcPr>
          <w:p>
            <w:pPr>
              <w:spacing w:after="0"/>
              <w:rPr>
                <w:sz w:val="20"/>
                <w:szCs w:val="20"/>
                <w:color w:val="auto"/>
              </w:rPr>
            </w:pPr>
            <w:r>
              <w:rPr>
                <w:rFonts w:ascii="Arial" w:cs="Arial" w:eastAsia="Arial" w:hAnsi="Arial"/>
                <w:sz w:val="20"/>
                <w:szCs w:val="20"/>
                <w:color w:val="auto"/>
                <w:w w:val="93"/>
              </w:rPr>
              <w:t>GA Quarry 0900065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3100071</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Ball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Ground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0900955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123</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3100064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3101979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3800072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700" w:type="dxa"/>
            <w:vAlign w:val="bottom"/>
            <w:gridSpan w:val="2"/>
          </w:tcPr>
          <w:p>
            <w:pPr>
              <w:spacing w:after="0"/>
              <w:rPr>
                <w:sz w:val="20"/>
                <w:szCs w:val="20"/>
                <w:color w:val="auto"/>
              </w:rPr>
            </w:pPr>
            <w:r>
              <w:rPr>
                <w:rFonts w:ascii="Arial" w:cs="Arial" w:eastAsia="Arial" w:hAnsi="Arial"/>
                <w:sz w:val="20"/>
                <w:szCs w:val="20"/>
                <w:color w:val="auto"/>
                <w:w w:val="91"/>
              </w:rPr>
              <w:t>City Quarry 3101105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Ankle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3102220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3101963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8"/>
              </w:rPr>
              <w:t>Boonesboro</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1800024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3100042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3101869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4003395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3800716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20"/>
                <w:szCs w:val="20"/>
                <w:color w:val="auto"/>
              </w:rPr>
            </w:pPr>
            <w:r>
              <w:rPr>
                <w:rFonts w:ascii="Arial" w:cs="Arial" w:eastAsia="Arial" w:hAnsi="Arial"/>
                <w:sz w:val="20"/>
                <w:szCs w:val="20"/>
                <w:color w:val="auto"/>
              </w:rPr>
              <w:t>Hayne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3"/>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Cayce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3800016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20"/>
                <w:szCs w:val="20"/>
                <w:color w:val="auto"/>
              </w:rPr>
            </w:pPr>
            <w:r>
              <w:rPr>
                <w:rFonts w:ascii="Arial" w:cs="Arial" w:eastAsia="Arial" w:hAnsi="Arial"/>
                <w:sz w:val="20"/>
                <w:szCs w:val="20"/>
                <w:color w:val="auto"/>
              </w:rPr>
              <w:t>Rock</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3100050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320" w:top="122" w:right="279" w:bottom="389"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2"/>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Charlotte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3100057</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Chattanooga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4003159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Churchville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1800012</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Clarks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3102009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Cumberland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3102237</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Cumming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0900460</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Denver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3101971</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Doswell Quarry VA</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4400045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0900024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246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w w:val="99"/>
              </w:rPr>
              <w:t>East Alamance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3102021</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Edgefield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3800738</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Edmund Sand</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3800662</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3100065</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Franklin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3102130</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1800013</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Fuquay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3102055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3100072</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770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Georgetown II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3800525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246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w w:val="93"/>
              </w:rPr>
              <w:t>Greensboro Portable Plt</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3102336</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940" w:type="dxa"/>
            <w:vAlign w:val="bottom"/>
            <w:gridSpan w:val="2"/>
          </w:tcPr>
          <w:p>
            <w:pPr>
              <w:spacing w:after="0"/>
              <w:rPr>
                <w:sz w:val="20"/>
                <w:szCs w:val="20"/>
                <w:color w:val="auto"/>
              </w:rPr>
            </w:pPr>
            <w:r>
              <w:rPr>
                <w:rFonts w:ascii="Arial" w:cs="Arial" w:eastAsia="Arial" w:hAnsi="Arial"/>
                <w:sz w:val="20"/>
                <w:szCs w:val="20"/>
                <w:color w:val="auto"/>
                <w:w w:val="92"/>
              </w:rPr>
              <w:t>Greensboro Portable Plt II 3102335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Hickory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3100043</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Hicone</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3102088</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Jamestown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3100051</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Jefferson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0901106</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Junction City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0901029</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Kannapolis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3100070</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Kent Sand &amp; Gravel</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1800745</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w w:val="97"/>
              </w:rPr>
              <w:t>Kings Mountain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3100047</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w w:val="99"/>
              </w:rPr>
              <w:t>Lemon Springs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3101104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Lithonia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0900023</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Loamy Sand Gravel</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3800721</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Maiden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3102125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Mallard Creek Quarry</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3102006</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020" w:type="dxa"/>
            <w:vAlign w:val="bottom"/>
          </w:tcPr>
          <w:p>
            <w:pPr>
              <w:spacing w:after="0"/>
              <w:rPr>
                <w:sz w:val="20"/>
                <w:szCs w:val="20"/>
                <w:color w:val="auto"/>
              </w:rPr>
            </w:pPr>
            <w:r>
              <w:rPr>
                <w:rFonts w:ascii="Arial" w:cs="Arial" w:eastAsia="Arial" w:hAnsi="Arial"/>
                <w:sz w:val="20"/>
                <w:szCs w:val="20"/>
                <w:color w:val="auto"/>
              </w:rPr>
              <w:t>Matthews Quarry</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3102084</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308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6"/>
        </w:trPr>
        <w:tc>
          <w:tcPr>
            <w:tcW w:w="20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2"/>
        </w:trPr>
        <w:tc>
          <w:tcPr>
            <w:tcW w:w="2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Maylene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0100634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Medford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1800035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246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Midlothian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4403767</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4"/>
              </w:rPr>
              <w:t>Misc Greensboro District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B8611</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0901126</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Newton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0900899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North Columbia</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3800146</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North East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1800417</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Old Charleston Sand</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3800702</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O'Neal Plant  Co 19</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0103076</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Onslow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3102120</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Paulding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0901107</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0801083</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246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Pinesburg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1800021</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Pomona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3100052</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7"/>
              </w:rPr>
              <w:t>Raleigh Durham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3101941</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Red Hill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4400072</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Red Oak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0900069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3100068</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Rock Hill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3800026</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0900074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199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Salem Stone</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3102038</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Six Mile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0901144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940" w:type="dxa"/>
            <w:vAlign w:val="bottom"/>
            <w:gridSpan w:val="2"/>
          </w:tcPr>
          <w:p>
            <w:pPr>
              <w:spacing w:after="0"/>
              <w:rPr>
                <w:sz w:val="20"/>
                <w:szCs w:val="20"/>
                <w:color w:val="auto"/>
              </w:rPr>
            </w:pPr>
            <w:r>
              <w:rPr>
                <w:rFonts w:ascii="Arial" w:cs="Arial" w:eastAsia="Arial" w:hAnsi="Arial"/>
                <w:sz w:val="20"/>
                <w:szCs w:val="20"/>
                <w:color w:val="auto"/>
                <w:w w:val="93"/>
              </w:rPr>
              <w:t>St. Marys Sand Company 0901199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Statesville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3100055</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Texas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1800009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171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Thomasville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3101475</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Tyrone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0900306</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Vance Quarry  Co 19</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0103022</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Warfordsburg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3600168</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Warrenton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0900580</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Wilmington Sand</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3101308</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3102230</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080" w:type="dxa"/>
            <w:vAlign w:val="bottom"/>
          </w:tcPr>
          <w:p>
            <w:pPr>
              <w:spacing w:after="0"/>
              <w:rPr>
                <w:sz w:val="20"/>
                <w:szCs w:val="20"/>
                <w:color w:val="auto"/>
              </w:rPr>
            </w:pPr>
            <w:r>
              <w:rPr>
                <w:rFonts w:ascii="Arial" w:cs="Arial" w:eastAsia="Arial" w:hAnsi="Arial"/>
                <w:sz w:val="20"/>
                <w:szCs w:val="20"/>
                <w:color w:val="auto"/>
              </w:rPr>
              <w:t>Woodleaf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3100069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6"/>
        </w:trPr>
        <w:tc>
          <w:tcPr>
            <w:tcW w:w="20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2"/>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20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8"/>
              </w:rPr>
              <w:t>(45) North Indianapolis</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1200002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w w:val="95"/>
              </w:rPr>
              <w:t>Alden Portable Plant #1</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1302031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w w:val="95"/>
              </w:rPr>
              <w:t>Alden Portable Plant #2</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1302033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Alden Portable Sand</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1302037</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Alden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1300228</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Alden Shop</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1302320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1300014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369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Apple Grove S G</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3301676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1201911</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20" w:type="dxa"/>
            <w:vAlign w:val="bottom"/>
          </w:tcPr>
          <w:p>
            <w:pPr>
              <w:spacing w:after="0" w:line="227" w:lineRule="exact"/>
              <w:rPr>
                <w:sz w:val="20"/>
                <w:szCs w:val="20"/>
                <w:color w:val="auto"/>
              </w:rPr>
            </w:pPr>
            <w:r>
              <w:rPr>
                <w:rFonts w:ascii="Arial" w:cs="Arial" w:eastAsia="Arial" w:hAnsi="Arial"/>
                <w:sz w:val="20"/>
                <w:szCs w:val="20"/>
                <w:color w:val="auto"/>
              </w:rPr>
              <w:t>Bowling Green North</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20" w:type="dxa"/>
            <w:vAlign w:val="bottom"/>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1500065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2</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702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Bowling Green South</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1500025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2</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Burning Springs Mine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4608862</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1202124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246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Cedar Rapids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1300122</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Cedarville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3304072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Cloverdale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1201744</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Cumberland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1500037</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Des Moines Portable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1300150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w w:val="93"/>
              </w:rPr>
              <w:t>Des Moines Portable #2</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1300932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Dubois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2501046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1301225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E Town Sand Gravel</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3304279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Earlham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1302123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Fairfield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3301396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1300124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Fort Calhoun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2500006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1300032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693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940" w:type="dxa"/>
            <w:vAlign w:val="bottom"/>
            <w:gridSpan w:val="2"/>
          </w:tcPr>
          <w:p>
            <w:pPr>
              <w:spacing w:after="0"/>
              <w:rPr>
                <w:sz w:val="20"/>
                <w:szCs w:val="20"/>
                <w:color w:val="auto"/>
              </w:rPr>
            </w:pPr>
            <w:r>
              <w:rPr>
                <w:rFonts w:ascii="Arial" w:cs="Arial" w:eastAsia="Arial" w:hAnsi="Arial"/>
                <w:sz w:val="20"/>
                <w:szCs w:val="20"/>
                <w:color w:val="auto"/>
                <w:w w:val="95"/>
              </w:rPr>
              <w:t>Greenwood Quarry  New 2300141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Harlan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1500071</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Hartford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1500095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Inactive Iowa Grading</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1302126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Iowa Grading</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1302316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Kentucky Ave Mine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1201762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0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2"/>
        </w:trPr>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060" w:type="dxa"/>
            <w:vAlign w:val="bottom"/>
          </w:tcPr>
          <w:p>
            <w:pPr>
              <w:spacing w:after="0"/>
              <w:rPr>
                <w:sz w:val="20"/>
                <w:szCs w:val="20"/>
                <w:color w:val="auto"/>
              </w:rPr>
            </w:pPr>
            <w:r>
              <w:rPr>
                <w:rFonts w:ascii="Arial" w:cs="Arial" w:eastAsia="Arial" w:hAnsi="Arial"/>
                <w:sz w:val="20"/>
                <w:szCs w:val="20"/>
                <w:color w:val="auto"/>
              </w:rPr>
              <w:t>Kokomo Mine</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1202105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720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Kokomo Sand</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1202203</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Kokomo Stone</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1200142</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Linn County Sand</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1302208</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Malcom Mine</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1300112</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Marshalltown Sand</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1300718</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Midwest Division OH</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A2354</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Moore 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1302188</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New Harvey Sand</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1301778</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Noblesville Sand</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1201994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Noblesville Stone</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1202176</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905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26"/>
        </w:trPr>
        <w:tc>
          <w:tcPr>
            <w:tcW w:w="20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North Indianapolis</w:t>
            </w: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1201993</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North Valley Sand</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2501271</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Ottawa Quarry  New</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1401590</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Pedersen Quarry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1302192</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Petersburg Ky Gravel</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1516895</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Phillipsburg Quarry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3300006</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Portland 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1302122</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Raccoon River Sand</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1302315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Randolph Mine</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2302308</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1,894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Reasnor Sand</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1300814</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1302290</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Shamrock SG</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3304011</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Spring Valley Cook Rd</w:t>
            </w: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SG</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3304534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St Cloud Quarry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2100081</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Stamper Mine</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2302232</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6</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2,415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Sully Mine</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1300063</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861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Sunflower Qy  Co 61</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1401556</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Troy Gravel</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3301678</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1202038</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Weeping Water Mine</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2500998</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1,711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West Center Sand</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2501231</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Xenia Gravel</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3301393</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6"/>
              </w:rPr>
              <w:t>Yellow Medicine 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2100033</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2"/>
        </w:trPr>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060" w:type="dxa"/>
            <w:vAlign w:val="bottom"/>
          </w:tcPr>
          <w:p>
            <w:pPr>
              <w:spacing w:after="0"/>
              <w:rPr>
                <w:sz w:val="20"/>
                <w:szCs w:val="20"/>
                <w:color w:val="auto"/>
              </w:rPr>
            </w:pPr>
            <w:r>
              <w:rPr>
                <w:rFonts w:ascii="Arial" w:cs="Arial" w:eastAsia="Arial" w:hAnsi="Arial"/>
                <w:sz w:val="20"/>
                <w:szCs w:val="20"/>
                <w:color w:val="auto"/>
                <w:w w:val="98"/>
              </w:rPr>
              <w:t>Granite Canyon Quarry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4800018</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5"/>
              </w:rPr>
              <w:t>Greeley 35th Ready Mix</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0503215</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60" w:type="dxa"/>
            <w:vAlign w:val="bottom"/>
          </w:tcPr>
          <w:p>
            <w:pPr>
              <w:spacing w:after="0" w:line="227" w:lineRule="exact"/>
              <w:rPr>
                <w:sz w:val="20"/>
                <w:szCs w:val="20"/>
                <w:color w:val="auto"/>
              </w:rPr>
            </w:pPr>
            <w:r>
              <w:rPr>
                <w:rFonts w:ascii="Arial" w:cs="Arial" w:eastAsia="Arial" w:hAnsi="Arial"/>
                <w:sz w:val="20"/>
                <w:szCs w:val="20"/>
                <w:color w:val="auto"/>
              </w:rPr>
              <w:t>Greeley 35th</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60" w:type="dxa"/>
            <w:vAlign w:val="bottom"/>
          </w:tcPr>
          <w:p>
            <w:pPr>
              <w:spacing w:after="0"/>
              <w:rPr>
                <w:sz w:val="20"/>
                <w:szCs w:val="20"/>
                <w:color w:val="auto"/>
              </w:rPr>
            </w:pPr>
            <w:r>
              <w:rPr>
                <w:rFonts w:ascii="Arial" w:cs="Arial" w:eastAsia="Arial" w:hAnsi="Arial"/>
                <w:sz w:val="20"/>
                <w:szCs w:val="20"/>
                <w:color w:val="auto"/>
              </w:rPr>
              <w:t>Sand Gravel</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0504613</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Guernsey 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4800004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Milford Quarry  Utah</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4202177</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Pacific 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4500844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Parkdale Quarry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0504635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Parsons Sand Gravel</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0504382</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60" w:type="dxa"/>
            <w:vAlign w:val="bottom"/>
          </w:tcPr>
          <w:p>
            <w:pPr>
              <w:spacing w:after="0" w:line="227" w:lineRule="exact"/>
              <w:rPr>
                <w:sz w:val="20"/>
                <w:szCs w:val="20"/>
                <w:color w:val="auto"/>
              </w:rPr>
            </w:pPr>
            <w:r>
              <w:rPr>
                <w:rFonts w:ascii="Arial" w:cs="Arial" w:eastAsia="Arial" w:hAnsi="Arial"/>
                <w:sz w:val="20"/>
                <w:szCs w:val="20"/>
                <w:color w:val="auto"/>
              </w:rPr>
              <w:t>Northern PC Portable</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60" w:type="dxa"/>
            <w:vAlign w:val="bottom"/>
          </w:tcPr>
          <w:p>
            <w:pPr>
              <w:spacing w:after="0"/>
              <w:rPr>
                <w:sz w:val="20"/>
                <w:szCs w:val="20"/>
                <w:color w:val="auto"/>
              </w:rPr>
            </w:pPr>
            <w:r>
              <w:rPr>
                <w:rFonts w:ascii="Arial" w:cs="Arial" w:eastAsia="Arial" w:hAnsi="Arial"/>
                <w:sz w:val="20"/>
                <w:szCs w:val="20"/>
                <w:color w:val="auto"/>
              </w:rPr>
              <w:t>Plant 4</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4801565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88"/>
              </w:rPr>
              <w:t>Penrose Sand and Gravel</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0504509</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Platte Sand &amp; Gravel</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0504418</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Portable Crushing</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0503984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Portable Plant 1</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0504359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21</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0504520</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Red Canyon Quarry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0504136</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8"/>
              </w:rPr>
              <w:t>Riverbend Sand Gravel</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0504841</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60" w:type="dxa"/>
            <w:vAlign w:val="bottom"/>
          </w:tcPr>
          <w:p>
            <w:pPr>
              <w:spacing w:after="0" w:line="227" w:lineRule="exact"/>
              <w:rPr>
                <w:sz w:val="20"/>
                <w:szCs w:val="20"/>
                <w:color w:val="auto"/>
              </w:rPr>
            </w:pPr>
            <w:r>
              <w:rPr>
                <w:rFonts w:ascii="Arial" w:cs="Arial" w:eastAsia="Arial" w:hAnsi="Arial"/>
                <w:sz w:val="20"/>
                <w:szCs w:val="20"/>
                <w:color w:val="auto"/>
                <w:w w:val="96"/>
              </w:rPr>
              <w:t>Spanish Springs Quarry</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60" w:type="dxa"/>
            <w:vAlign w:val="bottom"/>
          </w:tcPr>
          <w:p>
            <w:pPr>
              <w:spacing w:after="0"/>
              <w:rPr>
                <w:sz w:val="20"/>
                <w:szCs w:val="20"/>
                <w:color w:val="auto"/>
              </w:rPr>
            </w:pPr>
            <w:r>
              <w:rPr>
                <w:rFonts w:ascii="Arial" w:cs="Arial" w:eastAsia="Arial" w:hAnsi="Arial"/>
                <w:sz w:val="20"/>
                <w:szCs w:val="20"/>
                <w:color w:val="auto"/>
              </w:rPr>
              <w:t>Co 2</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2600803</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1,620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Spec Agg 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0500860</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Taft Sand Gravel</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0504526</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0504735</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Beckmann Quarry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4101335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246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4103283</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Bells Savoy SG</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4104019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0300011</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Black Spur Quarry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4104159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1401584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Bridgeport Stone</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4100007</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3400460</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Chico Quarry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4103360</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3401299</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Garfield SG</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w w:val="95"/>
              </w:rPr>
              <w:t>4103909</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4102886</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GMS</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C335</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Gulf Coast Port #2</w:t>
            </w:r>
          </w:p>
        </w:tc>
        <w:tc>
          <w:tcPr>
            <w:tcW w:w="8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4104204</w:t>
            </w:r>
          </w:p>
        </w:tc>
        <w:tc>
          <w:tcPr>
            <w:tcW w:w="5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2"/>
        </w:trPr>
        <w:tc>
          <w:tcPr>
            <w:tcW w:w="2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1"/>
              </w:rPr>
              <w:t>Appendix 1</w:t>
            </w:r>
          </w:p>
        </w:tc>
      </w:tr>
      <w:tr>
        <w:trPr>
          <w:trHeight w:val="468"/>
        </w:trPr>
        <w:tc>
          <w:tcPr>
            <w:tcW w:w="2060" w:type="dxa"/>
            <w:vAlign w:val="bottom"/>
          </w:tcPr>
          <w:p>
            <w:pPr>
              <w:spacing w:after="0"/>
              <w:rPr>
                <w:sz w:val="20"/>
                <w:szCs w:val="20"/>
                <w:color w:val="auto"/>
              </w:rPr>
            </w:pPr>
            <w:r>
              <w:rPr>
                <w:rFonts w:ascii="Arial" w:cs="Arial" w:eastAsia="Arial" w:hAnsi="Arial"/>
                <w:sz w:val="20"/>
                <w:szCs w:val="20"/>
                <w:color w:val="auto"/>
              </w:rPr>
              <w:t>Hatton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0301614</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Helotes</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4103137</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Highway 211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4103829</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Hondo</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4104708</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Hondo West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4104090</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Hugo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3400061</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Hunter Cement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4102820</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1</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Hunter Stone</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4105230</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Idabel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3400507</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Jones Mill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0301586</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Koontz McCombs Pit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4105048</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Medina Rock Rail</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4105170</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1</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Midlothian Cement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4100071</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1</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Mill Creek Limestone</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3401859</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Mill Creek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3401285</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Perryville Aggregates</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1601417</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Poteet Sand</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4101342</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Rio Medina</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4103594</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San Pedro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4101337</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Sawyer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3401634</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w w:val="97"/>
              </w:rPr>
              <w:t>Smithson Valley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4104108</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Snyder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3401651</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Tin Top SG</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4102852</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1</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1,386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3402049</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Webberville</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4104363</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199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7"/>
              </w:rPr>
              <w:t>Woodworth Aggregates</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1601070</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51 Sand and Gravel**</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4105381</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3"/>
              </w:rPr>
              <w:t>Geology and Exploration</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B7127</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Salisbury Shop</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3101235</w:t>
            </w:r>
          </w:p>
        </w:tc>
        <w:tc>
          <w:tcPr>
            <w:tcW w:w="56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Woodville  Stone</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3300156</w:t>
            </w:r>
          </w:p>
        </w:tc>
        <w:tc>
          <w:tcPr>
            <w:tcW w:w="5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1,773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r>
      <w:tr>
        <w:trPr>
          <w:trHeight w:val="256"/>
        </w:trPr>
        <w:tc>
          <w:tcPr>
            <w:tcW w:w="20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860" w:type="dxa"/>
            <w:vAlign w:val="bottom"/>
          </w:tcPr>
          <w:p>
            <w:pPr>
              <w:spacing w:after="0"/>
              <w:rPr>
                <w:sz w:val="22"/>
                <w:szCs w:val="22"/>
                <w:color w:val="auto"/>
              </w:rPr>
            </w:pPr>
          </w:p>
        </w:tc>
        <w:tc>
          <w:tcPr>
            <w:tcW w:w="56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21</w:t>
            </w:r>
          </w:p>
        </w:tc>
        <w:tc>
          <w:tcPr>
            <w:tcW w:w="600" w:type="dxa"/>
            <w:vAlign w:val="bottom"/>
          </w:tcPr>
          <w:p>
            <w:pPr>
              <w:jc w:val="right"/>
              <w:ind w:right="161"/>
              <w:spacing w:after="0"/>
              <w:rPr>
                <w:sz w:val="20"/>
                <w:szCs w:val="20"/>
                <w:color w:val="auto"/>
              </w:rPr>
            </w:pPr>
            <w:r>
              <w:rPr>
                <w:rFonts w:ascii="Arial" w:cs="Arial" w:eastAsia="Arial" w:hAnsi="Arial"/>
                <w:sz w:val="20"/>
                <w:szCs w:val="20"/>
                <w:b w:val="1"/>
                <w:bCs w:val="1"/>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b w:val="1"/>
                <w:bCs w:val="1"/>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b w:val="1"/>
                <w:bCs w:val="1"/>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b w:val="1"/>
                <w:bCs w:val="1"/>
                <w:color w:val="auto"/>
              </w:rPr>
              <w:t>0</w:t>
            </w:r>
          </w:p>
        </w:tc>
        <w:tc>
          <w:tcPr>
            <w:tcW w:w="34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b w:val="1"/>
                <w:bCs w:val="1"/>
                <w:color w:val="auto"/>
              </w:rPr>
              <w:t>20,682</w:t>
            </w:r>
          </w:p>
        </w:tc>
        <w:tc>
          <w:tcPr>
            <w:tcW w:w="540" w:type="dxa"/>
            <w:vAlign w:val="bottom"/>
          </w:tcPr>
          <w:p>
            <w:pPr>
              <w:jc w:val="right"/>
              <w:ind w:right="181"/>
              <w:spacing w:after="0"/>
              <w:rPr>
                <w:sz w:val="20"/>
                <w:szCs w:val="20"/>
                <w:color w:val="auto"/>
              </w:rPr>
            </w:pPr>
            <w:r>
              <w:rPr>
                <w:rFonts w:ascii="Arial" w:cs="Arial" w:eastAsia="Arial" w:hAnsi="Arial"/>
                <w:sz w:val="20"/>
                <w:szCs w:val="20"/>
                <w:b w:val="1"/>
                <w:bCs w:val="1"/>
                <w:color w:val="auto"/>
              </w:rPr>
              <w:t>0</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jc w:val="right"/>
              <w:ind w:right="201"/>
              <w:spacing w:after="0"/>
              <w:rPr>
                <w:sz w:val="20"/>
                <w:szCs w:val="20"/>
                <w:color w:val="auto"/>
              </w:rPr>
            </w:pPr>
            <w:r>
              <w:rPr>
                <w:rFonts w:ascii="Arial" w:cs="Arial" w:eastAsia="Arial" w:hAnsi="Arial"/>
                <w:sz w:val="20"/>
                <w:szCs w:val="20"/>
                <w:b w:val="1"/>
                <w:bCs w:val="1"/>
                <w:color w:val="auto"/>
              </w:rPr>
              <w:t>7</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5</w:t>
            </w:r>
          </w:p>
        </w:tc>
        <w:tc>
          <w:tcPr>
            <w:tcW w:w="940" w:type="dxa"/>
            <w:vAlign w:val="bottom"/>
          </w:tcPr>
          <w:p>
            <w:pPr>
              <w:jc w:val="right"/>
              <w:ind w:right="181"/>
              <w:spacing w:after="0"/>
              <w:rPr>
                <w:sz w:val="20"/>
                <w:szCs w:val="20"/>
                <w:color w:val="auto"/>
              </w:rPr>
            </w:pPr>
            <w:r>
              <w:rPr>
                <w:rFonts w:ascii="Arial" w:cs="Arial" w:eastAsia="Arial" w:hAnsi="Arial"/>
                <w:sz w:val="20"/>
                <w:szCs w:val="20"/>
                <w:b w:val="1"/>
                <w:bCs w:val="1"/>
                <w:color w:val="auto"/>
              </w:rPr>
              <w:t>5</w:t>
            </w:r>
          </w:p>
        </w:tc>
      </w:tr>
    </w:tbl>
    <w:p>
      <w:pPr>
        <w:spacing w:after="0" w:line="186" w:lineRule="exact"/>
        <w:rPr>
          <w:sz w:val="20"/>
          <w:szCs w:val="20"/>
          <w:color w:val="auto"/>
        </w:rPr>
      </w:pPr>
    </w:p>
    <w:p>
      <w:pPr>
        <w:jc w:val="both"/>
        <w:ind w:firstLine="8"/>
        <w:spacing w:after="0" w:line="250" w:lineRule="auto"/>
        <w:tabs>
          <w:tab w:leader="none" w:pos="166" w:val="left"/>
        </w:tabs>
        <w:numPr>
          <w:ilvl w:val="0"/>
          <w:numId w:val="30"/>
        </w:numPr>
        <w:rPr>
          <w:rFonts w:ascii="Arial" w:cs="Arial" w:eastAsia="Arial" w:hAnsi="Arial"/>
          <w:sz w:val="20"/>
          <w:szCs w:val="20"/>
          <w:color w:val="auto"/>
        </w:rPr>
      </w:pPr>
      <w:r>
        <w:rPr>
          <w:rFonts w:ascii="Arial" w:cs="Arial" w:eastAsia="Arial" w:hAnsi="Arial"/>
          <w:sz w:val="20"/>
          <w:szCs w:val="20"/>
          <w:color w:val="auto"/>
        </w:rPr>
        <w:t>Of the seven legal actions pending on September 30, 2020, six were contests of citations or orders referenced in Subpart B of CFR Part 2700, which includes contests of citations and orders issued under Section 104 of the Mine Act and contests of imminent danger orders under Section 107 of the Mine Act, and one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contest of proposed penalties referenced in Subpart C of 29 CFR Part 2700, which are administrative proceedings before the Commission challenging a civil penalty that MSHA has proposed for the violation contained in a citation or order.</w:t>
      </w:r>
    </w:p>
    <w:p>
      <w:pPr>
        <w:spacing w:after="0" w:line="150" w:lineRule="exact"/>
        <w:rPr>
          <w:sz w:val="20"/>
          <w:szCs w:val="20"/>
          <w:color w:val="auto"/>
        </w:rPr>
      </w:pPr>
    </w:p>
    <w:p>
      <w:pPr>
        <w:ind w:firstLine="8"/>
        <w:spacing w:after="0" w:line="260" w:lineRule="auto"/>
        <w:tabs>
          <w:tab w:leader="none" w:pos="252" w:val="left"/>
        </w:tabs>
        <w:numPr>
          <w:ilvl w:val="0"/>
          <w:numId w:val="31"/>
        </w:numPr>
        <w:rPr>
          <w:rFonts w:ascii="Arial" w:cs="Arial" w:eastAsia="Arial" w:hAnsi="Arial"/>
          <w:sz w:val="20"/>
          <w:szCs w:val="20"/>
          <w:color w:val="auto"/>
        </w:rPr>
      </w:pPr>
      <w:r>
        <w:rPr>
          <w:rFonts w:ascii="Arial" w:cs="Arial" w:eastAsia="Arial" w:hAnsi="Arial"/>
          <w:sz w:val="20"/>
          <w:szCs w:val="20"/>
          <w:color w:val="auto"/>
        </w:rPr>
        <w:t>Site acquired by the Company on September 1, 2020. Represents citations, orders, violations, assessments, etc. with respect to the period of ownership by the Company from September 1 through September 30, 2020.</w:t>
      </w:r>
    </w:p>
    <w:p>
      <w:pPr>
        <w:spacing w:after="0" w:line="163" w:lineRule="exact"/>
        <w:rPr>
          <w:rFonts w:ascii="Arial" w:cs="Arial" w:eastAsia="Arial" w:hAnsi="Arial"/>
          <w:sz w:val="20"/>
          <w:szCs w:val="20"/>
          <w:color w:val="auto"/>
        </w:rPr>
      </w:pPr>
    </w:p>
    <w:p>
      <w:pPr>
        <w:ind w:left="360" w:hanging="352"/>
        <w:spacing w:after="0"/>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Site sold by the Company on July 3, 2020.</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1."/>
      <w:numFmt w:val="decimal"/>
      <w:start w:val="7"/>
    </w:lvl>
  </w:abstractNum>
  <w:abstractNum w:abstractNumId="7">
    <w:nsid w:val="62BBD95A"/>
    <w:multiLevelType w:val="hybridMultilevel"/>
    <w:lvl w:ilvl="0">
      <w:lvlJc w:val="left"/>
      <w:lvlText w:val="%1."/>
      <w:numFmt w:val="decimal"/>
      <w:start w:val="9"/>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1"/>
    </w:lvl>
  </w:abstractNum>
  <w:abstractNum w:abstractNumId="10">
    <w:nsid w:val="333AB105"/>
    <w:multiLevelType w:val="hybridMultilevel"/>
    <w:lvl w:ilvl="0">
      <w:lvlJc w:val="left"/>
      <w:lvlText w:val="%1."/>
      <w:numFmt w:val="decimal"/>
      <w:start w:val="13"/>
    </w:lvl>
  </w:abstractNum>
  <w:abstractNum w:abstractNumId="11">
    <w:nsid w:val="721DA317"/>
    <w:multiLevelType w:val="hybridMultilevel"/>
    <w:lvl w:ilvl="0">
      <w:lvlJc w:val="left"/>
      <w:lvlText w:val="♦"/>
      <w:numFmt w:val="bullet"/>
      <w:start w:val="1"/>
    </w:lvl>
    <w:lvl w:ilvl="1">
      <w:lvlJc w:val="left"/>
      <w:lvlText w:val="(%2)"/>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lvl w:ilvl="1">
      <w:lvlJc w:val="left"/>
      <w:lvlText w:val="(%2)"/>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95"/>
    </w:lvl>
  </w:abstractNum>
  <w:abstractNum w:abstractNumId="20">
    <w:nsid w:val="189A769B"/>
    <w:multiLevelType w:val="hybridMultilevel"/>
    <w:lvl w:ilvl="0">
      <w:lvlJc w:val="left"/>
      <w:lvlText w:val="%1"/>
      <w:numFmt w:val="decimal"/>
      <w:start w:val="104"/>
    </w:lvl>
  </w:abstractNum>
  <w:abstractNum w:abstractNumId="21">
    <w:nsid w:val="54E49EB4"/>
    <w:multiLevelType w:val="hybridMultilevel"/>
    <w:lvl w:ilvl="0">
      <w:lvlJc w:val="left"/>
      <w:lvlText w:val="%1."/>
      <w:numFmt w:val="decimal"/>
      <w:start w:val="1"/>
    </w:lvl>
    <w:lvl w:ilvl="1">
      <w:lvlJc w:val="left"/>
      <w:lvlText w:val="%2."/>
      <w:numFmt w:val="lowerLetter"/>
      <w:start w:val="1"/>
    </w:lvl>
  </w:abstractNum>
  <w:abstractNum w:abstractNumId="22">
    <w:nsid w:val="71F32454"/>
    <w:multiLevelType w:val="hybridMultilevel"/>
    <w:lvl w:ilvl="0">
      <w:lvlJc w:val="left"/>
      <w:lvlText w:val="%1."/>
      <w:numFmt w:val="decimal"/>
      <w:start w:val="5"/>
    </w:lvl>
    <w:lvl w:ilvl="1">
      <w:lvlJc w:val="left"/>
      <w:lvlText w:val="%2."/>
      <w:numFmt w:val="lowerLetter"/>
      <w:start w:val="1"/>
    </w:lvl>
  </w:abstractNum>
  <w:abstractNum w:abstractNumId="23">
    <w:nsid w:val="2CA88611"/>
    <w:multiLevelType w:val="hybridMultilevel"/>
    <w:lvl w:ilvl="0">
      <w:lvlJc w:val="left"/>
      <w:lvlText w:val="%1."/>
      <w:numFmt w:val="decimal"/>
      <w:start w:val="1"/>
    </w:lvl>
    <w:lvl w:ilvl="1">
      <w:lvlJc w:val="left"/>
      <w:lvlText w:val="%2."/>
      <w:numFmt w:val="lowerLetter"/>
      <w:start w:val="1"/>
    </w:lvl>
  </w:abstractNum>
  <w:abstractNum w:abstractNumId="24">
    <w:nsid w:val="836C40E"/>
    <w:multiLevelType w:val="hybridMultilevel"/>
    <w:lvl w:ilvl="0">
      <w:lvlJc w:val="left"/>
      <w:lvlText w:val="%1."/>
      <w:numFmt w:val="decimal"/>
      <w:start w:val="5"/>
    </w:lvl>
    <w:lvl w:ilvl="1">
      <w:lvlJc w:val="left"/>
      <w:lvlText w:val="%2."/>
      <w:numFmt w:val="lowerLetter"/>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66" Type="http://schemas.openxmlformats.org/officeDocument/2006/relationships/hyperlink" Target="http://www.sec.gov/Archives/edgar/data/916076/00009501572000116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2020-10-29T15:34:58Z</dcterms:created>
  <dcterms:modified xsi:type="dcterms:W3CDTF">2020-10-29T15:34:58Z</dcterms:modified>
</cp:coreProperties>
</file>