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320675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0" w:lineRule="exact"/>
        <w:rPr>
          <w:sz w:val="24"/>
          <w:szCs w:val="24"/>
          <w:color w:val="auto"/>
        </w:rPr>
      </w:pPr>
    </w:p>
    <w:p>
      <w:pPr>
        <w:jc w:val="center"/>
        <w:ind w:right="20"/>
        <w:spacing w:after="0"/>
        <w:rPr>
          <w:sz w:val="20"/>
          <w:szCs w:val="20"/>
          <w:color w:val="auto"/>
        </w:rPr>
      </w:pPr>
      <w:r>
        <w:rPr>
          <w:rFonts w:ascii="Arial" w:cs="Arial" w:eastAsia="Arial" w:hAnsi="Arial"/>
          <w:sz w:val="19"/>
          <w:szCs w:val="19"/>
          <w:b w:val="1"/>
          <w:bCs w:val="1"/>
          <w:color w:val="auto"/>
        </w:rPr>
        <w:t>WASHINGTON, D.C. 20549</w:t>
      </w:r>
    </w:p>
    <w:p>
      <w:pPr>
        <w:spacing w:after="0" w:line="84" w:lineRule="exact"/>
        <w:rPr>
          <w:sz w:val="24"/>
          <w:szCs w:val="24"/>
          <w:color w:val="auto"/>
        </w:rPr>
      </w:pPr>
    </w:p>
    <w:p>
      <w:pPr>
        <w:jc w:val="center"/>
        <w:ind w:right="20"/>
        <w:spacing w:after="0"/>
        <w:rPr>
          <w:sz w:val="20"/>
          <w:szCs w:val="20"/>
          <w:color w:val="auto"/>
        </w:rPr>
      </w:pPr>
      <w:r>
        <w:rPr>
          <w:rFonts w:ascii="Arial" w:cs="Arial" w:eastAsia="Arial" w:hAnsi="Arial"/>
          <w:sz w:val="19"/>
          <w:szCs w:val="1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-128905</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86" w:lineRule="exact"/>
        <w:rPr>
          <w:sz w:val="24"/>
          <w:szCs w:val="24"/>
          <w:color w:val="auto"/>
        </w:rPr>
      </w:pPr>
    </w:p>
    <w:p>
      <w:pPr>
        <w:spacing w:after="0"/>
        <w:rPr>
          <w:sz w:val="20"/>
          <w:szCs w:val="20"/>
          <w:color w:val="auto"/>
        </w:rPr>
      </w:pPr>
      <w:r>
        <w:rPr>
          <w:rFonts w:ascii="Arial" w:cs="Arial" w:eastAsia="Arial" w:hAnsi="Arial"/>
          <w:sz w:val="19"/>
          <w:szCs w:val="19"/>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-128905</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ind w:left="3640" w:right="1300" w:hanging="3632"/>
        <w:spacing w:after="0" w:line="243" w:lineRule="auto"/>
        <w:tabs>
          <w:tab w:leader="none" w:pos="515" w:val="left"/>
        </w:tabs>
        <w:numPr>
          <w:ilvl w:val="0"/>
          <w:numId w:val="1"/>
        </w:numPr>
        <w:rPr>
          <w:rFonts w:ascii="MS PGothic" w:cs="MS PGothic" w:eastAsia="MS PGothic" w:hAnsi="MS PGothic"/>
          <w:sz w:val="18"/>
          <w:szCs w:val="18"/>
          <w:color w:val="auto"/>
        </w:rPr>
      </w:pPr>
      <w:r>
        <w:rPr>
          <w:rFonts w:ascii="Arial" w:cs="Arial" w:eastAsia="Arial" w:hAnsi="Arial"/>
          <w:sz w:val="19"/>
          <w:szCs w:val="19"/>
          <w:b w:val="1"/>
          <w:bCs w:val="1"/>
          <w:color w:val="auto"/>
        </w:rPr>
        <w:t>QUARTERLY REPORT PURSUANT TO SECTION 13 OR 15(d) OF THE SECURITIES EXCHANGE ACT OF 1934 For the quarterly period ended September 30, 2015</w:t>
      </w:r>
    </w:p>
    <w:p>
      <w:pPr>
        <w:spacing w:after="0" w:line="184" w:lineRule="exact"/>
        <w:rPr>
          <w:sz w:val="24"/>
          <w:szCs w:val="24"/>
          <w:color w:val="auto"/>
        </w:rPr>
      </w:pPr>
    </w:p>
    <w:p>
      <w:pPr>
        <w:ind w:left="520" w:hanging="512"/>
        <w:spacing w:after="0"/>
        <w:tabs>
          <w:tab w:leader="none" w:pos="520" w:val="left"/>
        </w:tabs>
        <w:numPr>
          <w:ilvl w:val="0"/>
          <w:numId w:val="2"/>
        </w:numPr>
        <w:rPr>
          <w:rFonts w:ascii="Arial" w:cs="Arial" w:eastAsia="Arial" w:hAnsi="Arial"/>
          <w:sz w:val="17"/>
          <w:szCs w:val="17"/>
          <w:color w:val="auto"/>
        </w:rPr>
      </w:pPr>
      <w:r>
        <w:rPr>
          <w:rFonts w:ascii="Arial" w:cs="Arial" w:eastAsia="Arial" w:hAnsi="Arial"/>
          <w:sz w:val="18"/>
          <w:szCs w:val="18"/>
          <w:b w:val="1"/>
          <w:bCs w:val="1"/>
          <w:color w:val="auto"/>
        </w:rPr>
        <w:t>TRANSITION REPORT PURSUANT TO SECTION 13 OR 15(d) OF THE SECURITIES EXCHANGE ACT OF 1934</w:t>
      </w:r>
    </w:p>
    <w:p>
      <w:pPr>
        <w:sectPr>
          <w:pgSz w:w="11900" w:h="16838" w:orient="portrait"/>
          <w:cols w:equalWidth="0" w:num="1">
            <w:col w:w="11440"/>
          </w:cols>
          <w:pgMar w:left="240" w:top="597" w:right="219" w:bottom="1440" w:gutter="0" w:footer="0" w:header="0"/>
        </w:sectPr>
      </w:pPr>
    </w:p>
    <w:p>
      <w:pPr>
        <w:spacing w:after="0" w:line="29" w:lineRule="exact"/>
        <w:rPr>
          <w:sz w:val="24"/>
          <w:szCs w:val="24"/>
          <w:color w:val="auto"/>
        </w:rPr>
      </w:pPr>
    </w:p>
    <w:p>
      <w:pPr>
        <w:jc w:val="right"/>
        <w:ind w:right="4400"/>
        <w:spacing w:after="0"/>
        <w:tabs>
          <w:tab w:leader="none" w:pos="180" w:val="left"/>
        </w:tabs>
        <w:rPr>
          <w:sz w:val="20"/>
          <w:szCs w:val="20"/>
          <w:color w:val="auto"/>
        </w:rPr>
      </w:pPr>
      <w:r>
        <w:rPr>
          <w:rFonts w:ascii="Arial" w:cs="Arial" w:eastAsia="Arial" w:hAnsi="Arial"/>
          <w:sz w:val="19"/>
          <w:szCs w:val="19"/>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jc w:val="right"/>
        <w:ind w:right="4360"/>
        <w:spacing w:after="0"/>
        <w:rPr>
          <w:sz w:val="20"/>
          <w:szCs w:val="20"/>
          <w:color w:val="auto"/>
        </w:rPr>
      </w:pPr>
      <w:r>
        <w:rPr>
          <w:rFonts w:ascii="Arial" w:cs="Arial" w:eastAsia="Arial" w:hAnsi="Arial"/>
          <w:sz w:val="19"/>
          <w:szCs w:val="19"/>
          <w:b w:val="1"/>
          <w:bCs w:val="1"/>
          <w:color w:val="auto"/>
        </w:rPr>
        <w:t>Commission File Number 1-12744</w:t>
      </w:r>
    </w:p>
    <w:p>
      <w:pPr>
        <w:sectPr>
          <w:pgSz w:w="11900" w:h="16838" w:orient="portrait"/>
          <w:cols w:equalWidth="0" w:num="1">
            <w:col w:w="11440"/>
          </w:cols>
          <w:pgMar w:left="240" w:top="597" w:right="219" w:bottom="1440" w:gutter="0" w:footer="0" w:header="0"/>
          <w:type w:val="continuous"/>
        </w:sectPr>
      </w:pPr>
    </w:p>
    <w:p>
      <w:pPr>
        <w:spacing w:after="0" w:line="70" w:lineRule="exact"/>
        <w:rPr>
          <w:sz w:val="24"/>
          <w:szCs w:val="24"/>
          <w:color w:val="auto"/>
        </w:rPr>
      </w:pPr>
    </w:p>
    <w:p>
      <w:pPr>
        <w:jc w:val="center"/>
        <w:ind w:right="20"/>
        <w:spacing w:after="0"/>
        <w:rPr>
          <w:sz w:val="20"/>
          <w:szCs w:val="20"/>
          <w:color w:val="auto"/>
        </w:rPr>
      </w:pPr>
      <w:r>
        <w:rPr>
          <w:rFonts w:ascii="Arial" w:cs="Arial" w:eastAsia="Arial" w:hAnsi="Arial"/>
          <w:sz w:val="19"/>
          <w:szCs w:val="19"/>
          <w:b w:val="1"/>
          <w:bCs w:val="1"/>
          <w:color w:val="auto"/>
        </w:rPr>
        <w:t>MARTIN MARIETTA MATERIALS,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-128905</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19"/>
          <w:szCs w:val="19"/>
          <w:b w:val="1"/>
          <w:bCs w:val="1"/>
          <w:color w:val="auto"/>
        </w:rPr>
        <w:t>(Exact name of registrant as specified in its charter)</w:t>
      </w:r>
    </w:p>
    <w:p>
      <w:pPr>
        <w:spacing w:after="0" w:line="79" w:lineRule="exact"/>
        <w:rPr>
          <w:sz w:val="24"/>
          <w:szCs w:val="24"/>
          <w:color w:val="auto"/>
        </w:rPr>
      </w:pPr>
    </w:p>
    <w:tbl>
      <w:tblPr>
        <w:tblLayout w:type="fixed"/>
        <w:tblInd w:w="1240" w:type="dxa"/>
        <w:tblCellMar>
          <w:top w:w="0" w:type="dxa"/>
          <w:left w:w="0" w:type="dxa"/>
          <w:bottom w:w="0" w:type="dxa"/>
          <w:right w:w="0" w:type="dxa"/>
        </w:tblCellMar>
      </w:tblPr>
      <w:tr>
        <w:trPr>
          <w:trHeight w:val="201"/>
        </w:trPr>
        <w:tc>
          <w:tcPr>
            <w:tcW w:w="3340" w:type="dxa"/>
            <w:vAlign w:val="bottom"/>
          </w:tcPr>
          <w:p>
            <w:pPr>
              <w:jc w:val="center"/>
              <w:ind w:right="45"/>
              <w:spacing w:after="0" w:line="201" w:lineRule="exact"/>
              <w:rPr>
                <w:sz w:val="20"/>
                <w:szCs w:val="20"/>
                <w:color w:val="auto"/>
              </w:rPr>
            </w:pPr>
            <w:r>
              <w:rPr>
                <w:rFonts w:ascii="Arial" w:cs="Arial" w:eastAsia="Arial" w:hAnsi="Arial"/>
                <w:sz w:val="19"/>
                <w:szCs w:val="19"/>
                <w:b w:val="1"/>
                <w:bCs w:val="1"/>
                <w:color w:val="auto"/>
                <w:w w:val="93"/>
              </w:rPr>
              <w:t>North Carolina</w:t>
            </w:r>
          </w:p>
        </w:tc>
        <w:tc>
          <w:tcPr>
            <w:tcW w:w="2280" w:type="dxa"/>
            <w:vAlign w:val="bottom"/>
            <w:tcBorders>
              <w:top w:val="single" w:sz="8" w:color="auto"/>
            </w:tcBorders>
          </w:tcPr>
          <w:p>
            <w:pPr>
              <w:spacing w:after="0"/>
              <w:rPr>
                <w:sz w:val="17"/>
                <w:szCs w:val="17"/>
                <w:color w:val="auto"/>
              </w:rPr>
            </w:pPr>
          </w:p>
        </w:tc>
        <w:tc>
          <w:tcPr>
            <w:tcW w:w="2700" w:type="dxa"/>
            <w:vAlign w:val="bottom"/>
          </w:tcPr>
          <w:p>
            <w:pPr>
              <w:jc w:val="center"/>
              <w:ind w:left="725"/>
              <w:spacing w:after="0" w:line="201" w:lineRule="exact"/>
              <w:rPr>
                <w:sz w:val="20"/>
                <w:szCs w:val="20"/>
                <w:color w:val="auto"/>
              </w:rPr>
            </w:pPr>
            <w:r>
              <w:rPr>
                <w:rFonts w:ascii="Arial" w:cs="Arial" w:eastAsia="Arial" w:hAnsi="Arial"/>
                <w:sz w:val="19"/>
                <w:szCs w:val="19"/>
                <w:b w:val="1"/>
                <w:bCs w:val="1"/>
                <w:color w:val="auto"/>
                <w:w w:val="90"/>
              </w:rPr>
              <w:t>56-1848578</w:t>
            </w:r>
          </w:p>
        </w:tc>
      </w:tr>
      <w:tr>
        <w:trPr>
          <w:trHeight w:val="216"/>
        </w:trPr>
        <w:tc>
          <w:tcPr>
            <w:tcW w:w="3340" w:type="dxa"/>
            <w:vAlign w:val="bottom"/>
          </w:tcPr>
          <w:p>
            <w:pPr>
              <w:jc w:val="center"/>
              <w:ind w:right="105"/>
              <w:spacing w:after="0" w:line="216" w:lineRule="exact"/>
              <w:rPr>
                <w:sz w:val="20"/>
                <w:szCs w:val="20"/>
                <w:color w:val="auto"/>
              </w:rPr>
            </w:pPr>
            <w:r>
              <w:rPr>
                <w:rFonts w:ascii="Arial" w:cs="Arial" w:eastAsia="Arial" w:hAnsi="Arial"/>
                <w:sz w:val="19"/>
                <w:szCs w:val="19"/>
                <w:b w:val="1"/>
                <w:bCs w:val="1"/>
                <w:color w:val="auto"/>
                <w:w w:val="91"/>
              </w:rPr>
              <w:t>(State or other jurisdiction of</w:t>
            </w:r>
          </w:p>
        </w:tc>
        <w:tc>
          <w:tcPr>
            <w:tcW w:w="2280" w:type="dxa"/>
            <w:vAlign w:val="bottom"/>
          </w:tcPr>
          <w:p>
            <w:pPr>
              <w:spacing w:after="0"/>
              <w:rPr>
                <w:sz w:val="18"/>
                <w:szCs w:val="18"/>
                <w:color w:val="auto"/>
              </w:rPr>
            </w:pPr>
          </w:p>
        </w:tc>
        <w:tc>
          <w:tcPr>
            <w:tcW w:w="2700" w:type="dxa"/>
            <w:vAlign w:val="bottom"/>
          </w:tcPr>
          <w:p>
            <w:pPr>
              <w:jc w:val="center"/>
              <w:ind w:left="725"/>
              <w:spacing w:after="0" w:line="216" w:lineRule="exact"/>
              <w:rPr>
                <w:sz w:val="20"/>
                <w:szCs w:val="20"/>
                <w:color w:val="auto"/>
              </w:rPr>
            </w:pPr>
            <w:r>
              <w:rPr>
                <w:rFonts w:ascii="Arial" w:cs="Arial" w:eastAsia="Arial" w:hAnsi="Arial"/>
                <w:sz w:val="19"/>
                <w:szCs w:val="19"/>
                <w:b w:val="1"/>
                <w:bCs w:val="1"/>
                <w:color w:val="auto"/>
                <w:w w:val="93"/>
              </w:rPr>
              <w:t>(I.R.S. Employer</w:t>
            </w:r>
          </w:p>
        </w:tc>
      </w:tr>
      <w:tr>
        <w:trPr>
          <w:trHeight w:val="246"/>
        </w:trPr>
        <w:tc>
          <w:tcPr>
            <w:tcW w:w="3340" w:type="dxa"/>
            <w:vAlign w:val="bottom"/>
          </w:tcPr>
          <w:p>
            <w:pPr>
              <w:jc w:val="center"/>
              <w:ind w:right="105"/>
              <w:spacing w:after="0"/>
              <w:rPr>
                <w:sz w:val="20"/>
                <w:szCs w:val="20"/>
                <w:color w:val="auto"/>
              </w:rPr>
            </w:pPr>
            <w:r>
              <w:rPr>
                <w:rFonts w:ascii="Arial" w:cs="Arial" w:eastAsia="Arial" w:hAnsi="Arial"/>
                <w:sz w:val="19"/>
                <w:szCs w:val="19"/>
                <w:b w:val="1"/>
                <w:bCs w:val="1"/>
                <w:color w:val="auto"/>
                <w:w w:val="90"/>
              </w:rPr>
              <w:t>incorporation or organization)</w:t>
            </w:r>
          </w:p>
        </w:tc>
        <w:tc>
          <w:tcPr>
            <w:tcW w:w="2280" w:type="dxa"/>
            <w:vAlign w:val="bottom"/>
          </w:tcPr>
          <w:p>
            <w:pPr>
              <w:spacing w:after="0"/>
              <w:rPr>
                <w:sz w:val="21"/>
                <w:szCs w:val="21"/>
                <w:color w:val="auto"/>
              </w:rPr>
            </w:pPr>
          </w:p>
        </w:tc>
        <w:tc>
          <w:tcPr>
            <w:tcW w:w="2700" w:type="dxa"/>
            <w:vAlign w:val="bottom"/>
          </w:tcPr>
          <w:p>
            <w:pPr>
              <w:jc w:val="center"/>
              <w:ind w:left="725"/>
              <w:spacing w:after="0"/>
              <w:rPr>
                <w:sz w:val="20"/>
                <w:szCs w:val="20"/>
                <w:color w:val="auto"/>
              </w:rPr>
            </w:pPr>
            <w:r>
              <w:rPr>
                <w:rFonts w:ascii="Arial" w:cs="Arial" w:eastAsia="Arial" w:hAnsi="Arial"/>
                <w:sz w:val="19"/>
                <w:szCs w:val="19"/>
                <w:b w:val="1"/>
                <w:bCs w:val="1"/>
                <w:color w:val="auto"/>
                <w:w w:val="93"/>
              </w:rPr>
              <w:t>Identification Number)</w:t>
            </w:r>
          </w:p>
        </w:tc>
      </w:tr>
      <w:tr>
        <w:trPr>
          <w:trHeight w:val="415"/>
        </w:trPr>
        <w:tc>
          <w:tcPr>
            <w:tcW w:w="3340" w:type="dxa"/>
            <w:vAlign w:val="bottom"/>
          </w:tcPr>
          <w:p>
            <w:pPr>
              <w:jc w:val="center"/>
              <w:ind w:right="105"/>
              <w:spacing w:after="0"/>
              <w:rPr>
                <w:sz w:val="20"/>
                <w:szCs w:val="20"/>
                <w:color w:val="auto"/>
              </w:rPr>
            </w:pPr>
            <w:r>
              <w:rPr>
                <w:rFonts w:ascii="Arial" w:cs="Arial" w:eastAsia="Arial" w:hAnsi="Arial"/>
                <w:sz w:val="19"/>
                <w:szCs w:val="19"/>
                <w:b w:val="1"/>
                <w:bCs w:val="1"/>
                <w:color w:val="auto"/>
                <w:w w:val="92"/>
              </w:rPr>
              <w:t>2710 Wycliff Road, Raleigh, NC</w:t>
            </w:r>
          </w:p>
        </w:tc>
        <w:tc>
          <w:tcPr>
            <w:tcW w:w="4980" w:type="dxa"/>
            <w:vAlign w:val="bottom"/>
            <w:gridSpan w:val="2"/>
          </w:tcPr>
          <w:p>
            <w:pPr>
              <w:jc w:val="center"/>
              <w:ind w:left="3005"/>
              <w:spacing w:after="0"/>
              <w:rPr>
                <w:sz w:val="20"/>
                <w:szCs w:val="20"/>
                <w:color w:val="auto"/>
              </w:rPr>
            </w:pPr>
            <w:r>
              <w:rPr>
                <w:rFonts w:ascii="Arial" w:cs="Arial" w:eastAsia="Arial" w:hAnsi="Arial"/>
                <w:sz w:val="19"/>
                <w:szCs w:val="19"/>
                <w:b w:val="1"/>
                <w:bCs w:val="1"/>
                <w:color w:val="auto"/>
                <w:w w:val="90"/>
              </w:rPr>
              <w:t>27607-3033</w:t>
            </w:r>
          </w:p>
        </w:tc>
      </w:tr>
      <w:tr>
        <w:trPr>
          <w:trHeight w:val="238"/>
        </w:trPr>
        <w:tc>
          <w:tcPr>
            <w:tcW w:w="3340" w:type="dxa"/>
            <w:vAlign w:val="bottom"/>
          </w:tcPr>
          <w:p>
            <w:pPr>
              <w:jc w:val="center"/>
              <w:ind w:right="105"/>
              <w:spacing w:after="0"/>
              <w:rPr>
                <w:sz w:val="20"/>
                <w:szCs w:val="20"/>
                <w:color w:val="auto"/>
              </w:rPr>
            </w:pPr>
            <w:r>
              <w:rPr>
                <w:rFonts w:ascii="Arial" w:cs="Arial" w:eastAsia="Arial" w:hAnsi="Arial"/>
                <w:sz w:val="19"/>
                <w:szCs w:val="19"/>
                <w:b w:val="1"/>
                <w:bCs w:val="1"/>
                <w:color w:val="auto"/>
                <w:w w:val="88"/>
              </w:rPr>
              <w:t>(Address of principal executive offices)</w:t>
            </w:r>
          </w:p>
        </w:tc>
        <w:tc>
          <w:tcPr>
            <w:tcW w:w="2280" w:type="dxa"/>
            <w:vAlign w:val="bottom"/>
          </w:tcPr>
          <w:p>
            <w:pPr>
              <w:spacing w:after="0"/>
              <w:rPr>
                <w:sz w:val="20"/>
                <w:szCs w:val="20"/>
                <w:color w:val="auto"/>
              </w:rPr>
            </w:pPr>
          </w:p>
        </w:tc>
        <w:tc>
          <w:tcPr>
            <w:tcW w:w="2700" w:type="dxa"/>
            <w:vAlign w:val="bottom"/>
          </w:tcPr>
          <w:p>
            <w:pPr>
              <w:jc w:val="center"/>
              <w:ind w:left="725"/>
              <w:spacing w:after="0"/>
              <w:rPr>
                <w:sz w:val="20"/>
                <w:szCs w:val="20"/>
                <w:color w:val="auto"/>
              </w:rPr>
            </w:pPr>
            <w:r>
              <w:rPr>
                <w:rFonts w:ascii="Arial" w:cs="Arial" w:eastAsia="Arial" w:hAnsi="Arial"/>
                <w:sz w:val="19"/>
                <w:szCs w:val="19"/>
                <w:b w:val="1"/>
                <w:bCs w:val="1"/>
                <w:color w:val="auto"/>
                <w:w w:val="93"/>
              </w:rPr>
              <w:t>(Zip Code)</w:t>
            </w:r>
          </w:p>
        </w:tc>
      </w:tr>
    </w:tbl>
    <w:p>
      <w:pPr>
        <w:jc w:val="center"/>
        <w:ind w:right="20"/>
        <w:spacing w:after="0" w:line="237" w:lineRule="auto"/>
        <w:rPr>
          <w:sz w:val="20"/>
          <w:szCs w:val="20"/>
          <w:color w:val="auto"/>
        </w:rPr>
      </w:pPr>
      <w:r>
        <w:rPr>
          <w:rFonts w:ascii="Arial" w:cs="Arial" w:eastAsia="Arial" w:hAnsi="Arial"/>
          <w:sz w:val="19"/>
          <w:szCs w:val="19"/>
          <w:b w:val="1"/>
          <w:bCs w:val="1"/>
          <w:color w:val="auto"/>
        </w:rPr>
        <w:t>Registrant’s telephone number, including area code 919-781-4550</w:t>
      </w:r>
    </w:p>
    <w:p>
      <w:pPr>
        <w:jc w:val="center"/>
        <w:ind w:right="20"/>
        <w:spacing w:after="0" w:line="237" w:lineRule="auto"/>
        <w:rPr>
          <w:sz w:val="20"/>
          <w:szCs w:val="20"/>
          <w:color w:val="auto"/>
        </w:rPr>
      </w:pPr>
      <w:r>
        <w:rPr>
          <w:rFonts w:ascii="Arial" w:cs="Arial" w:eastAsia="Arial" w:hAnsi="Arial"/>
          <w:sz w:val="19"/>
          <w:szCs w:val="19"/>
          <w:b w:val="1"/>
          <w:bCs w:val="1"/>
          <w:color w:val="auto"/>
        </w:rPr>
        <w:t>Former name: None</w:t>
      </w:r>
    </w:p>
    <w:p>
      <w:pPr>
        <w:jc w:val="center"/>
        <w:ind w:right="20"/>
        <w:spacing w:after="0" w:line="238" w:lineRule="auto"/>
        <w:rPr>
          <w:sz w:val="20"/>
          <w:szCs w:val="20"/>
          <w:color w:val="auto"/>
        </w:rPr>
      </w:pPr>
      <w:r>
        <w:rPr>
          <w:rFonts w:ascii="Arial" w:cs="Arial" w:eastAsia="Arial" w:hAnsi="Arial"/>
          <w:sz w:val="19"/>
          <w:szCs w:val="19"/>
          <w:b w:val="1"/>
          <w:bCs w:val="1"/>
          <w:color w:val="auto"/>
        </w:rPr>
        <w:t>Former name, former address and former fiscal year, if changes since last report.</w:t>
      </w:r>
    </w:p>
    <w:p>
      <w:pPr>
        <w:ind w:right="140"/>
        <w:spacing w:after="0" w:line="237" w:lineRule="auto"/>
        <w:rPr>
          <w:sz w:val="20"/>
          <w:szCs w:val="20"/>
          <w:color w:val="auto"/>
        </w:rPr>
      </w:pPr>
      <w:r>
        <w:rPr>
          <w:rFonts w:ascii="Arial" w:cs="Arial" w:eastAsia="Arial" w:hAnsi="Arial"/>
          <w:sz w:val="19"/>
          <w:szCs w:val="19"/>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jc w:val="center"/>
        <w:ind w:right="20"/>
        <w:spacing w:after="0" w:line="217" w:lineRule="exact"/>
        <w:tabs>
          <w:tab w:leader="none" w:pos="160" w:val="left"/>
        </w:tabs>
        <w:rPr>
          <w:sz w:val="20"/>
          <w:szCs w:val="20"/>
          <w:color w:val="auto"/>
        </w:rPr>
      </w:pPr>
      <w:r>
        <w:rPr>
          <w:rFonts w:ascii="Arial" w:cs="Arial" w:eastAsia="Arial" w:hAnsi="Arial"/>
          <w:sz w:val="19"/>
          <w:szCs w:val="19"/>
          <w:color w:val="auto"/>
        </w:rPr>
        <w:t xml:space="preserve">Yes </w:t>
      </w:r>
      <w:r>
        <w:rPr>
          <w:rFonts w:ascii="MS PGothic" w:cs="MS PGothic" w:eastAsia="MS PGothic" w:hAnsi="MS PGothic"/>
          <w:sz w:val="18"/>
          <w:szCs w:val="18"/>
          <w:color w:val="auto"/>
        </w:rPr>
        <w:t>☑</w:t>
      </w:r>
      <w:r>
        <w:rPr>
          <w:rFonts w:ascii="Arial" w:cs="Arial" w:eastAsia="Arial" w:hAnsi="Arial"/>
          <w:sz w:val="19"/>
          <w:szCs w:val="19"/>
          <w:color w:val="auto"/>
        </w:rPr>
        <w:tab/>
        <w:t xml:space="preserve">No </w:t>
      </w:r>
      <w:r>
        <w:rPr>
          <w:rFonts w:ascii="Arial" w:cs="Arial" w:eastAsia="Arial" w:hAnsi="Arial"/>
          <w:sz w:val="18"/>
          <w:szCs w:val="18"/>
          <w:color w:val="auto"/>
        </w:rPr>
        <w:t>o</w:t>
      </w:r>
    </w:p>
    <w:p>
      <w:pPr>
        <w:ind w:right="380"/>
        <w:spacing w:after="0" w:line="237" w:lineRule="auto"/>
        <w:rPr>
          <w:sz w:val="20"/>
          <w:szCs w:val="20"/>
          <w:color w:val="auto"/>
        </w:rPr>
      </w:pPr>
      <w:r>
        <w:rPr>
          <w:rFonts w:ascii="Arial" w:cs="Arial" w:eastAsia="Arial" w:hAnsi="Arial"/>
          <w:sz w:val="19"/>
          <w:szCs w:val="19"/>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w:t>
      </w:r>
    </w:p>
    <w:p>
      <w:pPr>
        <w:jc w:val="center"/>
        <w:ind w:right="20"/>
        <w:spacing w:after="0" w:line="217" w:lineRule="exact"/>
        <w:tabs>
          <w:tab w:leader="none" w:pos="160" w:val="left"/>
        </w:tabs>
        <w:rPr>
          <w:sz w:val="20"/>
          <w:szCs w:val="20"/>
          <w:color w:val="auto"/>
        </w:rPr>
      </w:pPr>
      <w:r>
        <w:rPr>
          <w:rFonts w:ascii="Arial" w:cs="Arial" w:eastAsia="Arial" w:hAnsi="Arial"/>
          <w:sz w:val="19"/>
          <w:szCs w:val="19"/>
          <w:color w:val="auto"/>
        </w:rPr>
        <w:t xml:space="preserve">Yes </w:t>
      </w:r>
      <w:r>
        <w:rPr>
          <w:rFonts w:ascii="MS PGothic" w:cs="MS PGothic" w:eastAsia="MS PGothic" w:hAnsi="MS PGothic"/>
          <w:sz w:val="18"/>
          <w:szCs w:val="18"/>
          <w:color w:val="auto"/>
        </w:rPr>
        <w:t>☑</w:t>
      </w:r>
      <w:r>
        <w:rPr>
          <w:rFonts w:ascii="Arial" w:cs="Arial" w:eastAsia="Arial" w:hAnsi="Arial"/>
          <w:sz w:val="19"/>
          <w:szCs w:val="19"/>
          <w:color w:val="auto"/>
        </w:rPr>
        <w:tab/>
        <w:t xml:space="preserve">No </w:t>
      </w:r>
      <w:r>
        <w:rPr>
          <w:rFonts w:ascii="Arial" w:cs="Arial" w:eastAsia="Arial" w:hAnsi="Arial"/>
          <w:sz w:val="18"/>
          <w:szCs w:val="18"/>
          <w:color w:val="auto"/>
        </w:rPr>
        <w:t>o</w:t>
      </w:r>
    </w:p>
    <w:p>
      <w:pPr>
        <w:spacing w:after="0"/>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w:t>
      </w:r>
    </w:p>
    <w:p>
      <w:pPr>
        <w:spacing w:after="0" w:line="21" w:lineRule="exact"/>
        <w:rPr>
          <w:sz w:val="24"/>
          <w:szCs w:val="24"/>
          <w:color w:val="auto"/>
        </w:rPr>
      </w:pPr>
    </w:p>
    <w:p>
      <w:pPr>
        <w:spacing w:after="0"/>
        <w:rPr>
          <w:sz w:val="20"/>
          <w:szCs w:val="20"/>
          <w:color w:val="auto"/>
        </w:rPr>
      </w:pPr>
      <w:r>
        <w:rPr>
          <w:rFonts w:ascii="Arial" w:cs="Arial" w:eastAsia="Arial" w:hAnsi="Arial"/>
          <w:sz w:val="19"/>
          <w:szCs w:val="19"/>
          <w:color w:val="auto"/>
        </w:rPr>
        <w:t>See the definitions of “large accelerated filer,” “accelerated filer” and “smaller reporting company” in Rule 12b-2 of the Exchange Act.</w:t>
      </w:r>
    </w:p>
    <w:p>
      <w:pPr>
        <w:spacing w:after="0" w:line="52"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0" w:type="dxa"/>
            <w:vAlign w:val="bottom"/>
          </w:tcPr>
          <w:p>
            <w:pPr>
              <w:spacing w:after="0"/>
              <w:rPr>
                <w:sz w:val="24"/>
                <w:szCs w:val="24"/>
                <w:color w:val="auto"/>
              </w:rPr>
            </w:pPr>
          </w:p>
        </w:tc>
        <w:tc>
          <w:tcPr>
            <w:tcW w:w="2160" w:type="dxa"/>
            <w:vAlign w:val="bottom"/>
          </w:tcPr>
          <w:p>
            <w:pPr>
              <w:ind w:left="40"/>
              <w:spacing w:after="0"/>
              <w:rPr>
                <w:sz w:val="20"/>
                <w:szCs w:val="20"/>
                <w:color w:val="auto"/>
              </w:rPr>
            </w:pPr>
            <w:r>
              <w:rPr>
                <w:rFonts w:ascii="Arial" w:cs="Arial" w:eastAsia="Arial" w:hAnsi="Arial"/>
                <w:sz w:val="19"/>
                <w:szCs w:val="19"/>
                <w:color w:val="auto"/>
              </w:rPr>
              <w:t>Large accelerated filer</w:t>
            </w:r>
          </w:p>
        </w:tc>
        <w:tc>
          <w:tcPr>
            <w:tcW w:w="3440" w:type="dxa"/>
            <w:vAlign w:val="bottom"/>
          </w:tcPr>
          <w:p>
            <w:pPr>
              <w:ind w:left="1380"/>
              <w:spacing w:after="0" w:line="181" w:lineRule="exact"/>
              <w:rPr>
                <w:sz w:val="20"/>
                <w:szCs w:val="20"/>
                <w:color w:val="auto"/>
              </w:rPr>
            </w:pPr>
            <w:r>
              <w:rPr>
                <w:rFonts w:ascii="MS PGothic" w:cs="MS PGothic" w:eastAsia="MS PGothic" w:hAnsi="MS PGothic"/>
                <w:sz w:val="18"/>
                <w:szCs w:val="18"/>
                <w:color w:val="auto"/>
              </w:rPr>
              <w:t>☑</w:t>
            </w:r>
          </w:p>
        </w:tc>
        <w:tc>
          <w:tcPr>
            <w:tcW w:w="200" w:type="dxa"/>
            <w:vAlign w:val="bottom"/>
          </w:tcPr>
          <w:p>
            <w:pPr>
              <w:spacing w:after="0"/>
              <w:rPr>
                <w:sz w:val="24"/>
                <w:szCs w:val="24"/>
                <w:color w:val="auto"/>
              </w:rPr>
            </w:pPr>
          </w:p>
        </w:tc>
        <w:tc>
          <w:tcPr>
            <w:tcW w:w="4800" w:type="dxa"/>
            <w:vAlign w:val="bottom"/>
          </w:tcPr>
          <w:p>
            <w:pPr>
              <w:ind w:left="1860"/>
              <w:spacing w:after="0"/>
              <w:rPr>
                <w:sz w:val="20"/>
                <w:szCs w:val="20"/>
                <w:color w:val="auto"/>
              </w:rPr>
            </w:pPr>
            <w:r>
              <w:rPr>
                <w:rFonts w:ascii="Arial" w:cs="Arial" w:eastAsia="Arial" w:hAnsi="Arial"/>
                <w:sz w:val="19"/>
                <w:szCs w:val="19"/>
                <w:color w:val="auto"/>
              </w:rPr>
              <w:t>Accelerated filer</w:t>
            </w:r>
          </w:p>
        </w:tc>
        <w:tc>
          <w:tcPr>
            <w:tcW w:w="800" w:type="dxa"/>
            <w:vAlign w:val="bottom"/>
          </w:tcPr>
          <w:p>
            <w:pPr>
              <w:ind w:left="580"/>
              <w:spacing w:after="0"/>
              <w:rPr>
                <w:sz w:val="20"/>
                <w:szCs w:val="20"/>
                <w:color w:val="auto"/>
              </w:rPr>
            </w:pPr>
            <w:r>
              <w:rPr>
                <w:rFonts w:ascii="Arial" w:cs="Arial" w:eastAsia="Arial" w:hAnsi="Arial"/>
                <w:sz w:val="18"/>
                <w:szCs w:val="18"/>
                <w:color w:val="auto"/>
              </w:rPr>
              <w:t>o</w:t>
            </w:r>
          </w:p>
        </w:tc>
        <w:tc>
          <w:tcPr>
            <w:tcW w:w="20" w:type="dxa"/>
            <w:vAlign w:val="bottom"/>
          </w:tcPr>
          <w:p>
            <w:pPr>
              <w:spacing w:after="0"/>
              <w:rPr>
                <w:sz w:val="24"/>
                <w:szCs w:val="24"/>
                <w:color w:val="auto"/>
              </w:rPr>
            </w:pPr>
          </w:p>
        </w:tc>
      </w:tr>
      <w:tr>
        <w:trPr>
          <w:trHeight w:val="390"/>
        </w:trPr>
        <w:tc>
          <w:tcPr>
            <w:tcW w:w="2180" w:type="dxa"/>
            <w:vAlign w:val="bottom"/>
            <w:gridSpan w:val="2"/>
          </w:tcPr>
          <w:p>
            <w:pPr>
              <w:spacing w:after="0"/>
              <w:rPr>
                <w:sz w:val="20"/>
                <w:szCs w:val="20"/>
                <w:color w:val="auto"/>
              </w:rPr>
            </w:pPr>
            <w:r>
              <w:rPr>
                <w:rFonts w:ascii="Arial" w:cs="Arial" w:eastAsia="Arial" w:hAnsi="Arial"/>
                <w:sz w:val="19"/>
                <w:szCs w:val="19"/>
                <w:color w:val="auto"/>
              </w:rPr>
              <w:t>Non-accelerated filer</w:t>
            </w:r>
          </w:p>
        </w:tc>
        <w:tc>
          <w:tcPr>
            <w:tcW w:w="3440" w:type="dxa"/>
            <w:vAlign w:val="bottom"/>
          </w:tcPr>
          <w:p>
            <w:pPr>
              <w:ind w:left="1380"/>
              <w:spacing w:after="0"/>
              <w:rPr>
                <w:sz w:val="20"/>
                <w:szCs w:val="20"/>
                <w:color w:val="auto"/>
              </w:rPr>
            </w:pPr>
            <w:r>
              <w:rPr>
                <w:rFonts w:ascii="Arial" w:cs="Arial" w:eastAsia="Arial" w:hAnsi="Arial"/>
                <w:sz w:val="18"/>
                <w:szCs w:val="18"/>
                <w:color w:val="auto"/>
              </w:rPr>
              <w:t>o</w:t>
            </w:r>
          </w:p>
        </w:tc>
        <w:tc>
          <w:tcPr>
            <w:tcW w:w="200" w:type="dxa"/>
            <w:vAlign w:val="bottom"/>
          </w:tcPr>
          <w:p>
            <w:pPr>
              <w:spacing w:after="0"/>
              <w:rPr>
                <w:sz w:val="24"/>
                <w:szCs w:val="24"/>
                <w:color w:val="auto"/>
              </w:rPr>
            </w:pPr>
          </w:p>
        </w:tc>
        <w:tc>
          <w:tcPr>
            <w:tcW w:w="4800" w:type="dxa"/>
            <w:vAlign w:val="bottom"/>
          </w:tcPr>
          <w:p>
            <w:pPr>
              <w:ind w:left="1860"/>
              <w:spacing w:after="0"/>
              <w:rPr>
                <w:sz w:val="20"/>
                <w:szCs w:val="20"/>
                <w:color w:val="auto"/>
              </w:rPr>
            </w:pPr>
            <w:r>
              <w:rPr>
                <w:rFonts w:ascii="Arial" w:cs="Arial" w:eastAsia="Arial" w:hAnsi="Arial"/>
                <w:sz w:val="19"/>
                <w:szCs w:val="19"/>
                <w:color w:val="auto"/>
              </w:rPr>
              <w:t>Smaller reporting company</w:t>
            </w:r>
          </w:p>
        </w:tc>
        <w:tc>
          <w:tcPr>
            <w:tcW w:w="800" w:type="dxa"/>
            <w:vAlign w:val="bottom"/>
          </w:tcPr>
          <w:p>
            <w:pPr>
              <w:ind w:left="580"/>
              <w:spacing w:after="0"/>
              <w:rPr>
                <w:sz w:val="20"/>
                <w:szCs w:val="20"/>
                <w:color w:val="auto"/>
              </w:rPr>
            </w:pPr>
            <w:r>
              <w:rPr>
                <w:rFonts w:ascii="Arial" w:cs="Arial" w:eastAsia="Arial" w:hAnsi="Arial"/>
                <w:sz w:val="18"/>
                <w:szCs w:val="18"/>
                <w:color w:val="auto"/>
              </w:rPr>
              <w:t>o</w:t>
            </w:r>
          </w:p>
        </w:tc>
        <w:tc>
          <w:tcPr>
            <w:tcW w:w="20" w:type="dxa"/>
            <w:vAlign w:val="bottom"/>
          </w:tcPr>
          <w:p>
            <w:pPr>
              <w:spacing w:after="0"/>
              <w:rPr>
                <w:sz w:val="24"/>
                <w:szCs w:val="24"/>
                <w:color w:val="auto"/>
              </w:rPr>
            </w:pPr>
          </w:p>
        </w:tc>
      </w:tr>
      <w:tr>
        <w:trPr>
          <w:trHeight w:val="191"/>
        </w:trPr>
        <w:tc>
          <w:tcPr>
            <w:tcW w:w="10620" w:type="dxa"/>
            <w:vAlign w:val="bottom"/>
            <w:gridSpan w:val="5"/>
          </w:tcPr>
          <w:p>
            <w:pPr>
              <w:spacing w:after="0" w:line="192" w:lineRule="exact"/>
              <w:rPr>
                <w:sz w:val="20"/>
                <w:szCs w:val="20"/>
                <w:color w:val="auto"/>
              </w:rPr>
            </w:pPr>
            <w:r>
              <w:rPr>
                <w:rFonts w:ascii="Arial" w:cs="Arial" w:eastAsia="Arial" w:hAnsi="Arial"/>
                <w:sz w:val="19"/>
                <w:szCs w:val="19"/>
                <w:color w:val="auto"/>
              </w:rPr>
              <w:t>Indicate by check mark whether the registrant is a shell company (as defined in Rule 12b-2 of the Exchange Act).</w:t>
            </w: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41"/>
        </w:trPr>
        <w:tc>
          <w:tcPr>
            <w:tcW w:w="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3440" w:type="dxa"/>
            <w:vAlign w:val="bottom"/>
          </w:tcPr>
          <w:p>
            <w:pPr>
              <w:ind w:left="2940"/>
              <w:spacing w:after="0"/>
              <w:rPr>
                <w:sz w:val="20"/>
                <w:szCs w:val="20"/>
                <w:color w:val="auto"/>
              </w:rPr>
            </w:pPr>
            <w:r>
              <w:rPr>
                <w:rFonts w:ascii="Arial" w:cs="Arial" w:eastAsia="Arial" w:hAnsi="Arial"/>
                <w:sz w:val="19"/>
                <w:szCs w:val="19"/>
                <w:color w:val="auto"/>
                <w:w w:val="99"/>
              </w:rPr>
              <w:t xml:space="preserve">Yes </w:t>
            </w:r>
            <w:r>
              <w:rPr>
                <w:rFonts w:ascii="Arial" w:cs="Arial" w:eastAsia="Arial" w:hAnsi="Arial"/>
                <w:sz w:val="18"/>
                <w:szCs w:val="18"/>
                <w:color w:val="auto"/>
                <w:w w:val="99"/>
              </w:rPr>
              <w:t>o</w:t>
            </w:r>
          </w:p>
        </w:tc>
        <w:tc>
          <w:tcPr>
            <w:tcW w:w="5000" w:type="dxa"/>
            <w:vAlign w:val="bottom"/>
            <w:gridSpan w:val="2"/>
          </w:tcPr>
          <w:p>
            <w:pPr>
              <w:ind w:left="160"/>
              <w:spacing w:after="0" w:line="219" w:lineRule="exact"/>
              <w:rPr>
                <w:sz w:val="20"/>
                <w:szCs w:val="20"/>
                <w:color w:val="auto"/>
              </w:rPr>
            </w:pPr>
            <w:r>
              <w:rPr>
                <w:rFonts w:ascii="Arial" w:cs="Arial" w:eastAsia="Arial" w:hAnsi="Arial"/>
                <w:sz w:val="19"/>
                <w:szCs w:val="19"/>
                <w:color w:val="auto"/>
              </w:rPr>
              <w:t xml:space="preserve">No  </w:t>
            </w:r>
            <w:r>
              <w:rPr>
                <w:rFonts w:ascii="MS PGothic" w:cs="MS PGothic" w:eastAsia="MS PGothic" w:hAnsi="MS PGothic"/>
                <w:sz w:val="18"/>
                <w:szCs w:val="18"/>
                <w:color w:val="auto"/>
              </w:rPr>
              <w:t>☑</w:t>
            </w: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0"/>
        </w:trPr>
        <w:tc>
          <w:tcPr>
            <w:tcW w:w="10620" w:type="dxa"/>
            <w:vAlign w:val="bottom"/>
            <w:gridSpan w:val="5"/>
          </w:tcPr>
          <w:p>
            <w:pPr>
              <w:spacing w:after="0"/>
              <w:rPr>
                <w:sz w:val="20"/>
                <w:szCs w:val="20"/>
                <w:color w:val="auto"/>
              </w:rPr>
            </w:pPr>
            <w:r>
              <w:rPr>
                <w:rFonts w:ascii="Arial" w:cs="Arial" w:eastAsia="Arial" w:hAnsi="Arial"/>
                <w:sz w:val="19"/>
                <w:szCs w:val="19"/>
                <w:color w:val="auto"/>
              </w:rPr>
              <w:t>Indicate the number of shares outstanding of each of the issuer’s classes of Common Stock, as of the latest practicable date.</w:t>
            </w: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44"/>
        </w:trPr>
        <w:tc>
          <w:tcPr>
            <w:tcW w:w="20" w:type="dxa"/>
            <w:vAlign w:val="bottom"/>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tcPr>
          <w:p>
            <w:pPr>
              <w:jc w:val="center"/>
              <w:ind w:right="2088"/>
              <w:spacing w:after="0"/>
              <w:rPr>
                <w:sz w:val="20"/>
                <w:szCs w:val="20"/>
                <w:color w:val="auto"/>
              </w:rPr>
            </w:pPr>
            <w:r>
              <w:rPr>
                <w:rFonts w:ascii="Arial" w:cs="Arial" w:eastAsia="Arial" w:hAnsi="Arial"/>
                <w:sz w:val="19"/>
                <w:szCs w:val="19"/>
                <w:b w:val="1"/>
                <w:bCs w:val="1"/>
                <w:color w:val="auto"/>
                <w:w w:val="82"/>
              </w:rPr>
              <w:t>Class</w:t>
            </w:r>
          </w:p>
        </w:tc>
        <w:tc>
          <w:tcPr>
            <w:tcW w:w="200" w:type="dxa"/>
            <w:vAlign w:val="bottom"/>
          </w:tcPr>
          <w:p>
            <w:pPr>
              <w:spacing w:after="0"/>
              <w:rPr>
                <w:sz w:val="24"/>
                <w:szCs w:val="24"/>
                <w:color w:val="auto"/>
              </w:rPr>
            </w:pPr>
          </w:p>
        </w:tc>
        <w:tc>
          <w:tcPr>
            <w:tcW w:w="4800" w:type="dxa"/>
            <w:vAlign w:val="bottom"/>
            <w:tcBorders>
              <w:bottom w:val="single" w:sz="8" w:color="auto"/>
            </w:tcBorders>
          </w:tcPr>
          <w:p>
            <w:pPr>
              <w:jc w:val="center"/>
              <w:ind w:left="705"/>
              <w:spacing w:after="0"/>
              <w:rPr>
                <w:sz w:val="20"/>
                <w:szCs w:val="20"/>
                <w:color w:val="auto"/>
              </w:rPr>
            </w:pPr>
            <w:r>
              <w:rPr>
                <w:rFonts w:ascii="Arial" w:cs="Arial" w:eastAsia="Arial" w:hAnsi="Arial"/>
                <w:sz w:val="19"/>
                <w:szCs w:val="19"/>
                <w:b w:val="1"/>
                <w:bCs w:val="1"/>
                <w:color w:val="auto"/>
                <w:w w:val="89"/>
              </w:rPr>
              <w:t>Outstanding as of October 30, 2015</w:t>
            </w:r>
          </w:p>
        </w:tc>
        <w:tc>
          <w:tcPr>
            <w:tcW w:w="8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34"/>
        </w:trPr>
        <w:tc>
          <w:tcPr>
            <w:tcW w:w="20" w:type="dxa"/>
            <w:vAlign w:val="bottom"/>
          </w:tcPr>
          <w:p>
            <w:pPr>
              <w:spacing w:after="0"/>
              <w:rPr>
                <w:sz w:val="20"/>
                <w:szCs w:val="20"/>
                <w:color w:val="auto"/>
              </w:rPr>
            </w:pPr>
          </w:p>
        </w:tc>
        <w:tc>
          <w:tcPr>
            <w:tcW w:w="5600" w:type="dxa"/>
            <w:vAlign w:val="bottom"/>
            <w:gridSpan w:val="2"/>
          </w:tcPr>
          <w:p>
            <w:pPr>
              <w:jc w:val="center"/>
              <w:spacing w:after="0"/>
              <w:rPr>
                <w:sz w:val="20"/>
                <w:szCs w:val="20"/>
                <w:color w:val="auto"/>
              </w:rPr>
            </w:pPr>
            <w:r>
              <w:rPr>
                <w:rFonts w:ascii="Arial" w:cs="Arial" w:eastAsia="Arial" w:hAnsi="Arial"/>
                <w:sz w:val="19"/>
                <w:szCs w:val="19"/>
                <w:color w:val="auto"/>
                <w:w w:val="90"/>
              </w:rPr>
              <w:t>Common Stock, $0.01 par value</w:t>
            </w:r>
          </w:p>
        </w:tc>
        <w:tc>
          <w:tcPr>
            <w:tcW w:w="200" w:type="dxa"/>
            <w:vAlign w:val="bottom"/>
          </w:tcPr>
          <w:p>
            <w:pPr>
              <w:spacing w:after="0"/>
              <w:rPr>
                <w:sz w:val="20"/>
                <w:szCs w:val="20"/>
                <w:color w:val="auto"/>
              </w:rPr>
            </w:pPr>
          </w:p>
        </w:tc>
        <w:tc>
          <w:tcPr>
            <w:tcW w:w="4800" w:type="dxa"/>
            <w:vAlign w:val="bottom"/>
          </w:tcPr>
          <w:p>
            <w:pPr>
              <w:jc w:val="right"/>
              <w:ind w:right="1485"/>
              <w:spacing w:after="0"/>
              <w:rPr>
                <w:sz w:val="20"/>
                <w:szCs w:val="20"/>
                <w:color w:val="auto"/>
              </w:rPr>
            </w:pPr>
            <w:r>
              <w:rPr>
                <w:rFonts w:ascii="Arial" w:cs="Arial" w:eastAsia="Arial" w:hAnsi="Arial"/>
                <w:sz w:val="19"/>
                <w:szCs w:val="19"/>
                <w:color w:val="auto"/>
              </w:rPr>
              <w:t>66,140,560</w:t>
            </w: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151"/>
        </w:trPr>
        <w:tc>
          <w:tcPr>
            <w:tcW w:w="20" w:type="dxa"/>
            <w:vAlign w:val="bottom"/>
          </w:tcPr>
          <w:p>
            <w:pPr>
              <w:spacing w:after="0"/>
              <w:rPr>
                <w:sz w:val="13"/>
                <w:szCs w:val="13"/>
                <w:color w:val="auto"/>
              </w:rPr>
            </w:pPr>
          </w:p>
        </w:tc>
        <w:tc>
          <w:tcPr>
            <w:tcW w:w="2160" w:type="dxa"/>
            <w:vAlign w:val="bottom"/>
            <w:tcBorders>
              <w:bottom w:val="single" w:sz="8" w:color="auto"/>
            </w:tcBorders>
          </w:tcPr>
          <w:p>
            <w:pPr>
              <w:spacing w:after="0"/>
              <w:rPr>
                <w:sz w:val="13"/>
                <w:szCs w:val="13"/>
                <w:color w:val="auto"/>
              </w:rPr>
            </w:pPr>
          </w:p>
        </w:tc>
        <w:tc>
          <w:tcPr>
            <w:tcW w:w="34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48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34"/>
        </w:trPr>
        <w:tc>
          <w:tcPr>
            <w:tcW w:w="20" w:type="dxa"/>
            <w:vAlign w:val="bottom"/>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34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8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1121"/>
        </w:trPr>
        <w:tc>
          <w:tcPr>
            <w:tcW w:w="20" w:type="dxa"/>
            <w:vAlign w:val="bottom"/>
          </w:tcPr>
          <w:p>
            <w:pPr>
              <w:spacing w:after="0"/>
              <w:rPr>
                <w:sz w:val="24"/>
                <w:szCs w:val="24"/>
                <w:color w:val="auto"/>
              </w:rPr>
            </w:pPr>
          </w:p>
        </w:tc>
        <w:tc>
          <w:tcPr>
            <w:tcW w:w="2160" w:type="dxa"/>
            <w:vAlign w:val="bottom"/>
            <w:tcBorders>
              <w:bottom w:val="single" w:sz="8" w:color="9A9A9A"/>
            </w:tcBorders>
          </w:tcPr>
          <w:p>
            <w:pPr>
              <w:spacing w:after="0"/>
              <w:rPr>
                <w:sz w:val="24"/>
                <w:szCs w:val="24"/>
                <w:color w:val="auto"/>
              </w:rPr>
            </w:pPr>
          </w:p>
        </w:tc>
        <w:tc>
          <w:tcPr>
            <w:tcW w:w="34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80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97" w:right="21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September 30, 2015</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10860" w:type="dxa"/>
            <w:vAlign w:val="bottom"/>
            <w:gridSpan w:val="18"/>
            <w:vMerge w:val="restart"/>
          </w:tcPr>
          <w:p>
            <w:pPr>
              <w:spacing w:after="0"/>
              <w:rPr>
                <w:sz w:val="20"/>
                <w:szCs w:val="20"/>
                <w:color w:val="auto"/>
              </w:rPr>
            </w:pPr>
            <w:r>
              <w:rPr>
                <w:rFonts w:ascii="Arial" w:cs="Arial" w:eastAsia="Arial" w:hAnsi="Arial"/>
                <w:sz w:val="20"/>
                <w:szCs w:val="20"/>
                <w:color w:val="auto"/>
              </w:rPr>
              <w:t>Part I. Financial Information:</w:t>
            </w:r>
          </w:p>
        </w:tc>
        <w:tc>
          <w:tcPr>
            <w:tcW w:w="56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w w:val="81"/>
              </w:rPr>
              <w:t>Page</w:t>
            </w:r>
          </w:p>
        </w:tc>
        <w:tc>
          <w:tcPr>
            <w:tcW w:w="0" w:type="dxa"/>
            <w:vAlign w:val="bottom"/>
          </w:tcPr>
          <w:p>
            <w:pPr>
              <w:spacing w:after="0"/>
              <w:rPr>
                <w:sz w:val="1"/>
                <w:szCs w:val="1"/>
                <w:color w:val="auto"/>
              </w:rPr>
            </w:pPr>
          </w:p>
        </w:tc>
      </w:tr>
      <w:tr>
        <w:trPr>
          <w:trHeight w:val="227"/>
        </w:trPr>
        <w:tc>
          <w:tcPr>
            <w:tcW w:w="10860" w:type="dxa"/>
            <w:vAlign w:val="bottom"/>
            <w:gridSpan w:val="18"/>
            <w:vMerge w:val="continue"/>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6"/>
        </w:trPr>
        <w:tc>
          <w:tcPr>
            <w:tcW w:w="220" w:type="dxa"/>
            <w:vAlign w:val="bottom"/>
          </w:tcPr>
          <w:p>
            <w:pPr>
              <w:spacing w:after="0"/>
              <w:rPr>
                <w:sz w:val="24"/>
                <w:szCs w:val="24"/>
                <w:color w:val="auto"/>
              </w:rPr>
            </w:pPr>
          </w:p>
        </w:tc>
        <w:tc>
          <w:tcPr>
            <w:tcW w:w="10640" w:type="dxa"/>
            <w:vAlign w:val="bottom"/>
            <w:gridSpan w:val="17"/>
          </w:tcPr>
          <w:p>
            <w:pPr>
              <w:spacing w:after="0"/>
              <w:rPr>
                <w:sz w:val="20"/>
                <w:szCs w:val="20"/>
                <w:color w:val="auto"/>
              </w:rPr>
            </w:pPr>
            <w:r>
              <w:rPr>
                <w:rFonts w:ascii="Arial" w:cs="Arial" w:eastAsia="Arial" w:hAnsi="Arial"/>
                <w:sz w:val="20"/>
                <w:szCs w:val="20"/>
                <w:color w:val="auto"/>
              </w:rPr>
              <w:t>Item 1. Financial Statements.</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5"/>
        </w:trPr>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720" w:type="dxa"/>
            <w:vAlign w:val="bottom"/>
            <w:tcBorders>
              <w:bottom w:val="single" w:sz="8" w:color="0000EE"/>
            </w:tcBorders>
            <w:gridSpan w:val="14"/>
          </w:tcPr>
          <w:p>
            <w:pPr>
              <w:spacing w:after="0"/>
              <w:rPr>
                <w:rFonts w:ascii="Arial" w:cs="Arial" w:eastAsia="Arial" w:hAnsi="Arial"/>
                <w:sz w:val="20"/>
                <w:szCs w:val="20"/>
                <w:color w:val="0000EE"/>
                <w:w w:val="87"/>
              </w:rPr>
            </w:pPr>
            <w:hyperlink w:anchor="page3">
              <w:r>
                <w:rPr>
                  <w:rFonts w:ascii="Arial" w:cs="Arial" w:eastAsia="Arial" w:hAnsi="Arial"/>
                  <w:sz w:val="20"/>
                  <w:szCs w:val="20"/>
                  <w:color w:val="0000EE"/>
                  <w:w w:val="87"/>
                </w:rPr>
                <w:t>Consolidated Balance Sheets – September 30, 2015, December 31, 2014 and September 30, 2014</w:t>
              </w:r>
            </w:hyperlink>
          </w:p>
        </w:tc>
        <w:tc>
          <w:tcPr>
            <w:tcW w:w="2700" w:type="dxa"/>
            <w:vAlign w:val="bottom"/>
            <w:gridSpan w:val="2"/>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20"/>
                <w:szCs w:val="20"/>
                <w:color w:val="auto"/>
              </w:rPr>
              <w:t>3</w:t>
            </w:r>
          </w:p>
        </w:tc>
        <w:tc>
          <w:tcPr>
            <w:tcW w:w="0" w:type="dxa"/>
            <w:vAlign w:val="bottom"/>
          </w:tcPr>
          <w:p>
            <w:pPr>
              <w:spacing w:after="0"/>
              <w:rPr>
                <w:sz w:val="1"/>
                <w:szCs w:val="1"/>
                <w:color w:val="auto"/>
              </w:rPr>
            </w:pPr>
          </w:p>
        </w:tc>
      </w:tr>
      <w:tr>
        <w:trPr>
          <w:trHeight w:val="669"/>
        </w:trPr>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20" w:type="dxa"/>
            <w:vAlign w:val="bottom"/>
            <w:gridSpan w:val="16"/>
          </w:tcPr>
          <w:p>
            <w:pPr>
              <w:spacing w:after="0"/>
              <w:rPr>
                <w:rFonts w:ascii="Arial" w:cs="Arial" w:eastAsia="Arial" w:hAnsi="Arial"/>
                <w:sz w:val="20"/>
                <w:szCs w:val="20"/>
                <w:color w:val="0000EE"/>
                <w:w w:val="88"/>
              </w:rPr>
            </w:pPr>
            <w:hyperlink w:anchor="page4">
              <w:r>
                <w:rPr>
                  <w:rFonts w:ascii="Arial" w:cs="Arial" w:eastAsia="Arial" w:hAnsi="Arial"/>
                  <w:sz w:val="20"/>
                  <w:szCs w:val="20"/>
                  <w:color w:val="0000EE"/>
                  <w:w w:val="88"/>
                </w:rPr>
                <w:t>Consolidated Statements of Earnings and Comprehensive Earnings – Three and Nine Months Ended September 30, 2015 and 2014</w:t>
              </w:r>
            </w:hyperlink>
          </w:p>
        </w:tc>
        <w:tc>
          <w:tcPr>
            <w:tcW w:w="560" w:type="dxa"/>
            <w:vAlign w:val="bottom"/>
          </w:tcPr>
          <w:p>
            <w:pPr>
              <w:jc w:val="right"/>
              <w:spacing w:after="0"/>
              <w:rPr>
                <w:sz w:val="20"/>
                <w:szCs w:val="20"/>
                <w:color w:val="auto"/>
              </w:rPr>
            </w:pPr>
            <w:r>
              <w:rPr>
                <w:rFonts w:ascii="Arial" w:cs="Arial" w:eastAsia="Arial" w:hAnsi="Arial"/>
                <w:sz w:val="20"/>
                <w:szCs w:val="20"/>
                <w:color w:val="auto"/>
              </w:rPr>
              <w:t>4</w:t>
            </w:r>
          </w:p>
        </w:tc>
        <w:tc>
          <w:tcPr>
            <w:tcW w:w="0" w:type="dxa"/>
            <w:vAlign w:val="bottom"/>
          </w:tcPr>
          <w:p>
            <w:pPr>
              <w:spacing w:after="0"/>
              <w:rPr>
                <w:sz w:val="1"/>
                <w:szCs w:val="1"/>
                <w:color w:val="auto"/>
              </w:rPr>
            </w:pPr>
          </w:p>
        </w:tc>
      </w:tr>
      <w:tr>
        <w:trPr>
          <w:trHeight w:val="439"/>
        </w:trPr>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340" w:type="dxa"/>
            <w:vAlign w:val="bottom"/>
            <w:tcBorders>
              <w:top w:val="single" w:sz="8" w:color="0000EE"/>
              <w:bottom w:val="single" w:sz="8" w:color="0000EE"/>
            </w:tcBorders>
            <w:gridSpan w:val="12"/>
          </w:tcPr>
          <w:p>
            <w:pPr>
              <w:spacing w:after="0"/>
              <w:rPr>
                <w:rFonts w:ascii="Arial" w:cs="Arial" w:eastAsia="Arial" w:hAnsi="Arial"/>
                <w:sz w:val="20"/>
                <w:szCs w:val="20"/>
                <w:color w:val="0000EE"/>
                <w:w w:val="88"/>
              </w:rPr>
            </w:pPr>
            <w:hyperlink w:anchor="page5">
              <w:r>
                <w:rPr>
                  <w:rFonts w:ascii="Arial" w:cs="Arial" w:eastAsia="Arial" w:hAnsi="Arial"/>
                  <w:sz w:val="20"/>
                  <w:szCs w:val="20"/>
                  <w:color w:val="0000EE"/>
                  <w:w w:val="88"/>
                </w:rPr>
                <w:t>Consolidated Statements of Cash Flows - Nine Months Ended September 30, 2015 and 2014</w:t>
              </w:r>
            </w:hyperlink>
          </w:p>
        </w:tc>
        <w:tc>
          <w:tcPr>
            <w:tcW w:w="3020" w:type="dxa"/>
            <w:vAlign w:val="bottom"/>
            <w:tcBorders>
              <w:top w:val="single" w:sz="8" w:color="0000EE"/>
            </w:tcBorders>
            <w:gridSpan w:val="3"/>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20"/>
                <w:szCs w:val="20"/>
                <w:color w:val="auto"/>
              </w:rPr>
              <w:t>5</w:t>
            </w:r>
          </w:p>
        </w:tc>
        <w:tc>
          <w:tcPr>
            <w:tcW w:w="0" w:type="dxa"/>
            <w:vAlign w:val="bottom"/>
          </w:tcPr>
          <w:p>
            <w:pPr>
              <w:spacing w:after="0"/>
              <w:rPr>
                <w:sz w:val="1"/>
                <w:szCs w:val="1"/>
                <w:color w:val="auto"/>
              </w:rPr>
            </w:pPr>
          </w:p>
        </w:tc>
      </w:tr>
      <w:tr>
        <w:trPr>
          <w:trHeight w:val="439"/>
        </w:trPr>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20" w:type="dxa"/>
            <w:vAlign w:val="bottom"/>
            <w:gridSpan w:val="16"/>
          </w:tcPr>
          <w:p>
            <w:pPr>
              <w:spacing w:after="0"/>
              <w:rPr>
                <w:rFonts w:ascii="Arial" w:cs="Arial" w:eastAsia="Arial" w:hAnsi="Arial"/>
                <w:sz w:val="20"/>
                <w:szCs w:val="20"/>
                <w:color w:val="0000EE"/>
              </w:rPr>
            </w:pPr>
            <w:hyperlink w:anchor="page6">
              <w:r>
                <w:rPr>
                  <w:rFonts w:ascii="Arial" w:cs="Arial" w:eastAsia="Arial" w:hAnsi="Arial"/>
                  <w:sz w:val="20"/>
                  <w:szCs w:val="20"/>
                  <w:color w:val="0000EE"/>
                </w:rPr>
                <w:t>Consolidated Statement of Total Equity - Nine Months Ended September 30, 2015</w:t>
              </w:r>
            </w:hyperlink>
          </w:p>
        </w:tc>
        <w:tc>
          <w:tcPr>
            <w:tcW w:w="560" w:type="dxa"/>
            <w:vAlign w:val="bottom"/>
          </w:tcPr>
          <w:p>
            <w:pPr>
              <w:jc w:val="right"/>
              <w:spacing w:after="0"/>
              <w:rPr>
                <w:sz w:val="20"/>
                <w:szCs w:val="20"/>
                <w:color w:val="auto"/>
              </w:rPr>
            </w:pPr>
            <w:r>
              <w:rPr>
                <w:rFonts w:ascii="Arial" w:cs="Arial" w:eastAsia="Arial" w:hAnsi="Arial"/>
                <w:sz w:val="20"/>
                <w:szCs w:val="20"/>
                <w:color w:val="auto"/>
              </w:rPr>
              <w:t>6</w:t>
            </w:r>
          </w:p>
        </w:tc>
        <w:tc>
          <w:tcPr>
            <w:tcW w:w="0" w:type="dxa"/>
            <w:vAlign w:val="bottom"/>
          </w:tcPr>
          <w:p>
            <w:pPr>
              <w:spacing w:after="0"/>
              <w:rPr>
                <w:sz w:val="1"/>
                <w:szCs w:val="1"/>
                <w:color w:val="auto"/>
              </w:rPr>
            </w:pPr>
          </w:p>
        </w:tc>
      </w:tr>
      <w:tr>
        <w:trPr>
          <w:trHeight w:val="439"/>
        </w:trPr>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520" w:type="dxa"/>
            <w:vAlign w:val="bottom"/>
            <w:tcBorders>
              <w:top w:val="single" w:sz="8" w:color="0000EE"/>
            </w:tcBorders>
            <w:gridSpan w:val="11"/>
          </w:tcPr>
          <w:p>
            <w:pPr>
              <w:spacing w:after="0"/>
              <w:rPr>
                <w:rFonts w:ascii="Arial" w:cs="Arial" w:eastAsia="Arial" w:hAnsi="Arial"/>
                <w:sz w:val="20"/>
                <w:szCs w:val="20"/>
                <w:color w:val="0000EE"/>
              </w:rPr>
            </w:pPr>
            <w:hyperlink w:anchor="page7">
              <w:r>
                <w:rPr>
                  <w:rFonts w:ascii="Arial" w:cs="Arial" w:eastAsia="Arial" w:hAnsi="Arial"/>
                  <w:sz w:val="20"/>
                  <w:szCs w:val="20"/>
                  <w:color w:val="0000EE"/>
                </w:rPr>
                <w:t>Notes to Consolidated Financial Statements</w:t>
              </w:r>
            </w:hyperlink>
          </w:p>
        </w:tc>
        <w:tc>
          <w:tcPr>
            <w:tcW w:w="3900" w:type="dxa"/>
            <w:vAlign w:val="bottom"/>
            <w:gridSpan w:val="5"/>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20"/>
                <w:szCs w:val="20"/>
                <w:color w:val="auto"/>
              </w:rPr>
              <w:t>7</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80" w:type="dxa"/>
            <w:vAlign w:val="bottom"/>
            <w:gridSpan w:val="3"/>
          </w:tcPr>
          <w:p>
            <w:pPr>
              <w:spacing w:after="0" w:line="20" w:lineRule="exact"/>
              <w:rPr>
                <w:sz w:val="1"/>
                <w:szCs w:val="1"/>
                <w:color w:val="auto"/>
              </w:rPr>
            </w:pPr>
          </w:p>
        </w:tc>
        <w:tc>
          <w:tcPr>
            <w:tcW w:w="292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20" w:type="dxa"/>
            <w:vAlign w:val="bottom"/>
          </w:tcPr>
          <w:p>
            <w:pPr>
              <w:spacing w:after="0"/>
              <w:rPr>
                <w:sz w:val="24"/>
                <w:szCs w:val="24"/>
                <w:color w:val="auto"/>
              </w:rPr>
            </w:pPr>
          </w:p>
        </w:tc>
        <w:tc>
          <w:tcPr>
            <w:tcW w:w="10640" w:type="dxa"/>
            <w:vAlign w:val="bottom"/>
            <w:gridSpan w:val="17"/>
          </w:tcPr>
          <w:p>
            <w:pPr>
              <w:spacing w:after="0"/>
              <w:rPr>
                <w:rFonts w:ascii="Arial" w:cs="Arial" w:eastAsia="Arial" w:hAnsi="Arial"/>
                <w:sz w:val="20"/>
                <w:szCs w:val="20"/>
                <w:color w:val="0000EE"/>
              </w:rPr>
            </w:pPr>
            <w:hyperlink w:anchor="page25">
              <w:r>
                <w:rPr>
                  <w:rFonts w:ascii="Arial" w:cs="Arial" w:eastAsia="Arial" w:hAnsi="Arial"/>
                  <w:sz w:val="20"/>
                  <w:szCs w:val="20"/>
                  <w:color w:val="0000EE"/>
                </w:rPr>
                <w:t>Item 2. Management’s Discussion and Analysis of Financial Condition and Results of Operations</w:t>
              </w:r>
            </w:hyperlink>
            <w:r>
              <w:rPr>
                <w:rFonts w:ascii="Arial" w:cs="Arial" w:eastAsia="Arial" w:hAnsi="Arial"/>
                <w:sz w:val="20"/>
                <w:szCs w:val="20"/>
                <w:color w:val="000000"/>
              </w:rPr>
              <w:t>.</w:t>
            </w:r>
          </w:p>
        </w:tc>
        <w:tc>
          <w:tcPr>
            <w:tcW w:w="560" w:type="dxa"/>
            <w:vAlign w:val="bottom"/>
          </w:tcPr>
          <w:p>
            <w:pPr>
              <w:jc w:val="right"/>
              <w:spacing w:after="0"/>
              <w:rPr>
                <w:sz w:val="20"/>
                <w:szCs w:val="20"/>
                <w:color w:val="auto"/>
              </w:rPr>
            </w:pPr>
            <w:r>
              <w:rPr>
                <w:rFonts w:ascii="Arial" w:cs="Arial" w:eastAsia="Arial" w:hAnsi="Arial"/>
                <w:sz w:val="20"/>
                <w:szCs w:val="20"/>
                <w:color w:val="auto"/>
              </w:rPr>
              <w:t>25</w:t>
            </w:r>
          </w:p>
        </w:tc>
        <w:tc>
          <w:tcPr>
            <w:tcW w:w="0" w:type="dxa"/>
            <w:vAlign w:val="bottom"/>
          </w:tcPr>
          <w:p>
            <w:pPr>
              <w:spacing w:after="0"/>
              <w:rPr>
                <w:sz w:val="1"/>
                <w:szCs w:val="1"/>
                <w:color w:val="auto"/>
              </w:rPr>
            </w:pPr>
          </w:p>
        </w:tc>
      </w:tr>
      <w:tr>
        <w:trPr>
          <w:trHeight w:val="439"/>
        </w:trPr>
        <w:tc>
          <w:tcPr>
            <w:tcW w:w="220" w:type="dxa"/>
            <w:vAlign w:val="bottom"/>
          </w:tcPr>
          <w:p>
            <w:pPr>
              <w:spacing w:after="0"/>
              <w:rPr>
                <w:sz w:val="24"/>
                <w:szCs w:val="24"/>
                <w:color w:val="auto"/>
              </w:rPr>
            </w:pPr>
          </w:p>
        </w:tc>
        <w:tc>
          <w:tcPr>
            <w:tcW w:w="7720" w:type="dxa"/>
            <w:vAlign w:val="bottom"/>
            <w:tcBorders>
              <w:top w:val="single" w:sz="8" w:color="0000EE"/>
            </w:tcBorders>
            <w:gridSpan w:val="14"/>
          </w:tcPr>
          <w:p>
            <w:pPr>
              <w:spacing w:after="0"/>
              <w:rPr>
                <w:rFonts w:ascii="Arial" w:cs="Arial" w:eastAsia="Arial" w:hAnsi="Arial"/>
                <w:sz w:val="20"/>
                <w:szCs w:val="20"/>
                <w:color w:val="0000EE"/>
              </w:rPr>
            </w:pPr>
            <w:hyperlink w:anchor="page58">
              <w:r>
                <w:rPr>
                  <w:rFonts w:ascii="Arial" w:cs="Arial" w:eastAsia="Arial" w:hAnsi="Arial"/>
                  <w:sz w:val="20"/>
                  <w:szCs w:val="20"/>
                  <w:color w:val="0000EE"/>
                </w:rPr>
                <w:t>Item 3. Quantitative and Qualitative Disclosures About Market Risk</w:t>
              </w:r>
            </w:hyperlink>
            <w:r>
              <w:rPr>
                <w:rFonts w:ascii="Arial" w:cs="Arial" w:eastAsia="Arial" w:hAnsi="Arial"/>
                <w:sz w:val="20"/>
                <w:szCs w:val="20"/>
                <w:color w:val="000000"/>
              </w:rPr>
              <w:t>.</w:t>
            </w:r>
          </w:p>
        </w:tc>
        <w:tc>
          <w:tcPr>
            <w:tcW w:w="2920" w:type="dxa"/>
            <w:vAlign w:val="bottom"/>
            <w:gridSpan w:val="3"/>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20"/>
                <w:szCs w:val="20"/>
                <w:color w:val="auto"/>
              </w:rPr>
              <w:t>58</w:t>
            </w:r>
          </w:p>
        </w:tc>
        <w:tc>
          <w:tcPr>
            <w:tcW w:w="0" w:type="dxa"/>
            <w:vAlign w:val="bottom"/>
          </w:tcPr>
          <w:p>
            <w:pPr>
              <w:spacing w:after="0"/>
              <w:rPr>
                <w:sz w:val="1"/>
                <w:szCs w:val="1"/>
                <w:color w:val="auto"/>
              </w:rPr>
            </w:pPr>
          </w:p>
        </w:tc>
      </w:tr>
      <w:tr>
        <w:trPr>
          <w:trHeight w:val="439"/>
        </w:trPr>
        <w:tc>
          <w:tcPr>
            <w:tcW w:w="220" w:type="dxa"/>
            <w:vAlign w:val="bottom"/>
          </w:tcPr>
          <w:p>
            <w:pPr>
              <w:spacing w:after="0"/>
              <w:rPr>
                <w:sz w:val="24"/>
                <w:szCs w:val="24"/>
                <w:color w:val="auto"/>
              </w:rPr>
            </w:pPr>
          </w:p>
        </w:tc>
        <w:tc>
          <w:tcPr>
            <w:tcW w:w="5400" w:type="dxa"/>
            <w:vAlign w:val="bottom"/>
            <w:tcBorders>
              <w:top w:val="single" w:sz="8" w:color="0000EE"/>
            </w:tcBorders>
            <w:gridSpan w:val="10"/>
          </w:tcPr>
          <w:p>
            <w:pPr>
              <w:spacing w:after="0"/>
              <w:rPr>
                <w:rFonts w:ascii="Arial" w:cs="Arial" w:eastAsia="Arial" w:hAnsi="Arial"/>
                <w:sz w:val="20"/>
                <w:szCs w:val="20"/>
                <w:color w:val="0000EE"/>
              </w:rPr>
            </w:pPr>
            <w:hyperlink w:anchor="page59">
              <w:r>
                <w:rPr>
                  <w:rFonts w:ascii="Arial" w:cs="Arial" w:eastAsia="Arial" w:hAnsi="Arial"/>
                  <w:sz w:val="20"/>
                  <w:szCs w:val="20"/>
                  <w:color w:val="0000EE"/>
                </w:rPr>
                <w:t>Item 4. Controls and Procedures</w:t>
              </w:r>
            </w:hyperlink>
            <w:r>
              <w:rPr>
                <w:rFonts w:ascii="Arial" w:cs="Arial" w:eastAsia="Arial" w:hAnsi="Arial"/>
                <w:sz w:val="20"/>
                <w:szCs w:val="20"/>
                <w:color w:val="000000"/>
              </w:rPr>
              <w:t>.</w:t>
            </w:r>
          </w:p>
        </w:tc>
        <w:tc>
          <w:tcPr>
            <w:tcW w:w="5240" w:type="dxa"/>
            <w:vAlign w:val="bottom"/>
            <w:gridSpan w:val="7"/>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20"/>
                <w:szCs w:val="20"/>
                <w:color w:val="auto"/>
              </w:rPr>
              <w:t>59</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880" w:type="dxa"/>
            <w:vAlign w:val="bottom"/>
            <w:gridSpan w:val="3"/>
          </w:tcPr>
          <w:p>
            <w:pPr>
              <w:spacing w:after="0" w:line="20" w:lineRule="exact"/>
              <w:rPr>
                <w:sz w:val="1"/>
                <w:szCs w:val="1"/>
                <w:color w:val="auto"/>
              </w:rPr>
            </w:pPr>
          </w:p>
        </w:tc>
        <w:tc>
          <w:tcPr>
            <w:tcW w:w="5200" w:type="dxa"/>
            <w:vAlign w:val="bottom"/>
            <w:gridSpan w:val="6"/>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4"/>
        </w:trPr>
        <w:tc>
          <w:tcPr>
            <w:tcW w:w="10860" w:type="dxa"/>
            <w:vAlign w:val="bottom"/>
            <w:gridSpan w:val="18"/>
          </w:tcPr>
          <w:p>
            <w:pPr>
              <w:spacing w:after="0"/>
              <w:rPr>
                <w:sz w:val="20"/>
                <w:szCs w:val="20"/>
                <w:color w:val="auto"/>
              </w:rPr>
            </w:pPr>
            <w:r>
              <w:rPr>
                <w:rFonts w:ascii="Arial" w:cs="Arial" w:eastAsia="Arial" w:hAnsi="Arial"/>
                <w:sz w:val="20"/>
                <w:szCs w:val="20"/>
                <w:color w:val="auto"/>
              </w:rPr>
              <w:t>Part II. Other Information:</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5"/>
        </w:trPr>
        <w:tc>
          <w:tcPr>
            <w:tcW w:w="220" w:type="dxa"/>
            <w:vAlign w:val="bottom"/>
          </w:tcPr>
          <w:p>
            <w:pPr>
              <w:spacing w:after="0"/>
              <w:rPr>
                <w:sz w:val="24"/>
                <w:szCs w:val="24"/>
                <w:color w:val="auto"/>
              </w:rPr>
            </w:pPr>
          </w:p>
        </w:tc>
        <w:tc>
          <w:tcPr>
            <w:tcW w:w="580" w:type="dxa"/>
            <w:vAlign w:val="bottom"/>
            <w:gridSpan w:val="2"/>
          </w:tcPr>
          <w:p>
            <w:pPr>
              <w:spacing w:after="0"/>
              <w:rPr>
                <w:rFonts w:ascii="Arial" w:cs="Arial" w:eastAsia="Arial" w:hAnsi="Arial"/>
                <w:sz w:val="20"/>
                <w:szCs w:val="20"/>
                <w:color w:val="0000EE"/>
                <w:w w:val="91"/>
              </w:rPr>
            </w:pPr>
            <w:hyperlink w:anchor="page60">
              <w:r>
                <w:rPr>
                  <w:rFonts w:ascii="Arial" w:cs="Arial" w:eastAsia="Arial" w:hAnsi="Arial"/>
                  <w:sz w:val="20"/>
                  <w:szCs w:val="20"/>
                  <w:color w:val="0000EE"/>
                  <w:w w:val="91"/>
                </w:rPr>
                <w:t>Item 1.</w:t>
              </w:r>
            </w:hyperlink>
          </w:p>
        </w:tc>
        <w:tc>
          <w:tcPr>
            <w:tcW w:w="10060" w:type="dxa"/>
            <w:vAlign w:val="bottom"/>
            <w:gridSpan w:val="15"/>
          </w:tcPr>
          <w:p>
            <w:pPr>
              <w:ind w:left="40"/>
              <w:spacing w:after="0"/>
              <w:rPr>
                <w:rFonts w:ascii="Arial" w:cs="Arial" w:eastAsia="Arial" w:hAnsi="Arial"/>
                <w:sz w:val="20"/>
                <w:szCs w:val="20"/>
                <w:color w:val="0000EE"/>
              </w:rPr>
            </w:pPr>
            <w:hyperlink w:anchor="page60">
              <w:r>
                <w:rPr>
                  <w:rFonts w:ascii="Arial" w:cs="Arial" w:eastAsia="Arial" w:hAnsi="Arial"/>
                  <w:sz w:val="20"/>
                  <w:szCs w:val="20"/>
                  <w:color w:val="0000EE"/>
                </w:rPr>
                <w:t>Legal Proceedings</w:t>
              </w:r>
            </w:hyperlink>
            <w:r>
              <w:rPr>
                <w:rFonts w:ascii="Arial" w:cs="Arial" w:eastAsia="Arial" w:hAnsi="Arial"/>
                <w:sz w:val="20"/>
                <w:szCs w:val="20"/>
                <w:color w:val="000000"/>
              </w:rPr>
              <w:t>.</w:t>
            </w:r>
          </w:p>
        </w:tc>
        <w:tc>
          <w:tcPr>
            <w:tcW w:w="560" w:type="dxa"/>
            <w:vAlign w:val="bottom"/>
          </w:tcPr>
          <w:p>
            <w:pPr>
              <w:jc w:val="right"/>
              <w:spacing w:after="0"/>
              <w:rPr>
                <w:sz w:val="20"/>
                <w:szCs w:val="20"/>
                <w:color w:val="auto"/>
              </w:rPr>
            </w:pPr>
            <w:r>
              <w:rPr>
                <w:rFonts w:ascii="Arial" w:cs="Arial" w:eastAsia="Arial" w:hAnsi="Arial"/>
                <w:sz w:val="20"/>
                <w:szCs w:val="20"/>
                <w:color w:val="auto"/>
              </w:rPr>
              <w:t>60</w:t>
            </w:r>
          </w:p>
        </w:tc>
        <w:tc>
          <w:tcPr>
            <w:tcW w:w="0" w:type="dxa"/>
            <w:vAlign w:val="bottom"/>
          </w:tcPr>
          <w:p>
            <w:pPr>
              <w:spacing w:after="0"/>
              <w:rPr>
                <w:sz w:val="1"/>
                <w:szCs w:val="1"/>
                <w:color w:val="auto"/>
              </w:rPr>
            </w:pPr>
          </w:p>
        </w:tc>
      </w:tr>
      <w:tr>
        <w:trPr>
          <w:trHeight w:val="439"/>
        </w:trPr>
        <w:tc>
          <w:tcPr>
            <w:tcW w:w="220" w:type="dxa"/>
            <w:vAlign w:val="bottom"/>
          </w:tcPr>
          <w:p>
            <w:pPr>
              <w:spacing w:after="0"/>
              <w:rPr>
                <w:sz w:val="24"/>
                <w:szCs w:val="24"/>
                <w:color w:val="auto"/>
              </w:rPr>
            </w:pPr>
          </w:p>
        </w:tc>
        <w:tc>
          <w:tcPr>
            <w:tcW w:w="2080" w:type="dxa"/>
            <w:vAlign w:val="bottom"/>
            <w:tcBorders>
              <w:top w:val="single" w:sz="8" w:color="0000EE"/>
            </w:tcBorders>
            <w:gridSpan w:val="7"/>
          </w:tcPr>
          <w:p>
            <w:pPr>
              <w:spacing w:after="0"/>
              <w:rPr>
                <w:rFonts w:ascii="Arial" w:cs="Arial" w:eastAsia="Arial" w:hAnsi="Arial"/>
                <w:sz w:val="20"/>
                <w:szCs w:val="20"/>
                <w:color w:val="0000EE"/>
              </w:rPr>
            </w:pPr>
            <w:hyperlink w:anchor="page60">
              <w:r>
                <w:rPr>
                  <w:rFonts w:ascii="Arial" w:cs="Arial" w:eastAsia="Arial" w:hAnsi="Arial"/>
                  <w:sz w:val="20"/>
                  <w:szCs w:val="20"/>
                  <w:color w:val="0000EE"/>
                </w:rPr>
                <w:t>Item 1A. Risk Factors</w:t>
              </w:r>
            </w:hyperlink>
            <w:r>
              <w:rPr>
                <w:rFonts w:ascii="Arial" w:cs="Arial" w:eastAsia="Arial" w:hAnsi="Arial"/>
                <w:sz w:val="20"/>
                <w:szCs w:val="20"/>
                <w:color w:val="000000"/>
              </w:rPr>
              <w:t>.</w:t>
            </w:r>
          </w:p>
        </w:tc>
        <w:tc>
          <w:tcPr>
            <w:tcW w:w="8560" w:type="dxa"/>
            <w:vAlign w:val="bottom"/>
            <w:gridSpan w:val="10"/>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20"/>
                <w:szCs w:val="20"/>
                <w:color w:val="auto"/>
              </w:rPr>
              <w:t>60</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680" w:type="dxa"/>
            <w:vAlign w:val="bottom"/>
            <w:gridSpan w:val="5"/>
          </w:tcPr>
          <w:p>
            <w:pPr>
              <w:spacing w:after="0" w:line="20" w:lineRule="exact"/>
              <w:rPr>
                <w:sz w:val="1"/>
                <w:szCs w:val="1"/>
                <w:color w:val="auto"/>
              </w:rPr>
            </w:pPr>
          </w:p>
        </w:tc>
        <w:tc>
          <w:tcPr>
            <w:tcW w:w="5200" w:type="dxa"/>
            <w:vAlign w:val="bottom"/>
            <w:gridSpan w:val="6"/>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20" w:type="dxa"/>
            <w:vAlign w:val="bottom"/>
          </w:tcPr>
          <w:p>
            <w:pPr>
              <w:spacing w:after="0"/>
              <w:rPr>
                <w:sz w:val="24"/>
                <w:szCs w:val="24"/>
                <w:color w:val="auto"/>
              </w:rPr>
            </w:pPr>
          </w:p>
        </w:tc>
        <w:tc>
          <w:tcPr>
            <w:tcW w:w="580" w:type="dxa"/>
            <w:vAlign w:val="bottom"/>
            <w:gridSpan w:val="2"/>
          </w:tcPr>
          <w:p>
            <w:pPr>
              <w:spacing w:after="0"/>
              <w:rPr>
                <w:rFonts w:ascii="Arial" w:cs="Arial" w:eastAsia="Arial" w:hAnsi="Arial"/>
                <w:sz w:val="20"/>
                <w:szCs w:val="20"/>
                <w:color w:val="0000EE"/>
                <w:w w:val="91"/>
              </w:rPr>
            </w:pPr>
            <w:hyperlink w:anchor="page60">
              <w:r>
                <w:rPr>
                  <w:rFonts w:ascii="Arial" w:cs="Arial" w:eastAsia="Arial" w:hAnsi="Arial"/>
                  <w:sz w:val="20"/>
                  <w:szCs w:val="20"/>
                  <w:color w:val="0000EE"/>
                  <w:w w:val="91"/>
                </w:rPr>
                <w:t>Item 2.</w:t>
              </w:r>
            </w:hyperlink>
          </w:p>
        </w:tc>
        <w:tc>
          <w:tcPr>
            <w:tcW w:w="10060" w:type="dxa"/>
            <w:vAlign w:val="bottom"/>
            <w:gridSpan w:val="15"/>
          </w:tcPr>
          <w:p>
            <w:pPr>
              <w:ind w:left="40"/>
              <w:spacing w:after="0"/>
              <w:rPr>
                <w:rFonts w:ascii="Arial" w:cs="Arial" w:eastAsia="Arial" w:hAnsi="Arial"/>
                <w:sz w:val="20"/>
                <w:szCs w:val="20"/>
                <w:color w:val="0000EE"/>
              </w:rPr>
            </w:pPr>
            <w:hyperlink w:anchor="page60">
              <w:r>
                <w:rPr>
                  <w:rFonts w:ascii="Arial" w:cs="Arial" w:eastAsia="Arial" w:hAnsi="Arial"/>
                  <w:sz w:val="20"/>
                  <w:szCs w:val="20"/>
                  <w:color w:val="0000EE"/>
                </w:rPr>
                <w:t>Unregistered Sales of Equity Securities and Use of Proceeds.</w:t>
              </w:r>
            </w:hyperlink>
          </w:p>
        </w:tc>
        <w:tc>
          <w:tcPr>
            <w:tcW w:w="560" w:type="dxa"/>
            <w:vAlign w:val="bottom"/>
          </w:tcPr>
          <w:p>
            <w:pPr>
              <w:jc w:val="right"/>
              <w:spacing w:after="0"/>
              <w:rPr>
                <w:sz w:val="20"/>
                <w:szCs w:val="20"/>
                <w:color w:val="auto"/>
              </w:rPr>
            </w:pPr>
            <w:r>
              <w:rPr>
                <w:rFonts w:ascii="Arial" w:cs="Arial" w:eastAsia="Arial" w:hAnsi="Arial"/>
                <w:sz w:val="20"/>
                <w:szCs w:val="20"/>
                <w:color w:val="auto"/>
              </w:rPr>
              <w:t>60</w:t>
            </w:r>
          </w:p>
        </w:tc>
        <w:tc>
          <w:tcPr>
            <w:tcW w:w="0" w:type="dxa"/>
            <w:vAlign w:val="bottom"/>
          </w:tcPr>
          <w:p>
            <w:pPr>
              <w:spacing w:after="0"/>
              <w:rPr>
                <w:sz w:val="1"/>
                <w:szCs w:val="1"/>
                <w:color w:val="auto"/>
              </w:rPr>
            </w:pPr>
          </w:p>
        </w:tc>
      </w:tr>
      <w:tr>
        <w:trPr>
          <w:trHeight w:val="439"/>
        </w:trPr>
        <w:tc>
          <w:tcPr>
            <w:tcW w:w="220" w:type="dxa"/>
            <w:vAlign w:val="bottom"/>
          </w:tcPr>
          <w:p>
            <w:pPr>
              <w:spacing w:after="0"/>
              <w:rPr>
                <w:sz w:val="24"/>
                <w:szCs w:val="24"/>
                <w:color w:val="auto"/>
              </w:rPr>
            </w:pPr>
          </w:p>
        </w:tc>
        <w:tc>
          <w:tcPr>
            <w:tcW w:w="580" w:type="dxa"/>
            <w:vAlign w:val="bottom"/>
            <w:tcBorders>
              <w:top w:val="single" w:sz="8" w:color="0000EE"/>
            </w:tcBorders>
            <w:gridSpan w:val="2"/>
          </w:tcPr>
          <w:p>
            <w:pPr>
              <w:spacing w:after="0"/>
              <w:rPr>
                <w:rFonts w:ascii="Arial" w:cs="Arial" w:eastAsia="Arial" w:hAnsi="Arial"/>
                <w:sz w:val="20"/>
                <w:szCs w:val="20"/>
                <w:color w:val="0000EE"/>
                <w:w w:val="91"/>
              </w:rPr>
            </w:pPr>
            <w:hyperlink w:anchor="page60">
              <w:r>
                <w:rPr>
                  <w:rFonts w:ascii="Arial" w:cs="Arial" w:eastAsia="Arial" w:hAnsi="Arial"/>
                  <w:sz w:val="20"/>
                  <w:szCs w:val="20"/>
                  <w:color w:val="0000EE"/>
                  <w:w w:val="91"/>
                </w:rPr>
                <w:t>Item 4.</w:t>
              </w:r>
            </w:hyperlink>
          </w:p>
        </w:tc>
        <w:tc>
          <w:tcPr>
            <w:tcW w:w="4860" w:type="dxa"/>
            <w:vAlign w:val="bottom"/>
            <w:tcBorders>
              <w:top w:val="single" w:sz="8" w:color="0000EE"/>
            </w:tcBorders>
            <w:gridSpan w:val="9"/>
          </w:tcPr>
          <w:p>
            <w:pPr>
              <w:ind w:left="40"/>
              <w:spacing w:after="0"/>
              <w:rPr>
                <w:rFonts w:ascii="Arial" w:cs="Arial" w:eastAsia="Arial" w:hAnsi="Arial"/>
                <w:sz w:val="20"/>
                <w:szCs w:val="20"/>
                <w:color w:val="0000EE"/>
              </w:rPr>
            </w:pPr>
            <w:hyperlink w:anchor="page60">
              <w:r>
                <w:rPr>
                  <w:rFonts w:ascii="Arial" w:cs="Arial" w:eastAsia="Arial" w:hAnsi="Arial"/>
                  <w:sz w:val="20"/>
                  <w:szCs w:val="20"/>
                  <w:color w:val="0000EE"/>
                </w:rPr>
                <w:t>Mine Safety Disclosures</w:t>
              </w:r>
            </w:hyperlink>
            <w:r>
              <w:rPr>
                <w:rFonts w:ascii="Arial" w:cs="Arial" w:eastAsia="Arial" w:hAnsi="Arial"/>
                <w:sz w:val="20"/>
                <w:szCs w:val="20"/>
                <w:color w:val="000000"/>
              </w:rPr>
              <w:t>.</w:t>
            </w:r>
          </w:p>
        </w:tc>
        <w:tc>
          <w:tcPr>
            <w:tcW w:w="5200" w:type="dxa"/>
            <w:vAlign w:val="bottom"/>
            <w:gridSpan w:val="6"/>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20"/>
                <w:szCs w:val="20"/>
                <w:color w:val="auto"/>
              </w:rPr>
              <w:t>60</w:t>
            </w:r>
          </w:p>
        </w:tc>
        <w:tc>
          <w:tcPr>
            <w:tcW w:w="0" w:type="dxa"/>
            <w:vAlign w:val="bottom"/>
          </w:tcPr>
          <w:p>
            <w:pPr>
              <w:spacing w:after="0"/>
              <w:rPr>
                <w:sz w:val="1"/>
                <w:szCs w:val="1"/>
                <w:color w:val="auto"/>
              </w:rPr>
            </w:pPr>
          </w:p>
        </w:tc>
      </w:tr>
      <w:tr>
        <w:trPr>
          <w:trHeight w:val="439"/>
        </w:trPr>
        <w:tc>
          <w:tcPr>
            <w:tcW w:w="220" w:type="dxa"/>
            <w:vAlign w:val="bottom"/>
          </w:tcPr>
          <w:p>
            <w:pPr>
              <w:spacing w:after="0"/>
              <w:rPr>
                <w:sz w:val="24"/>
                <w:szCs w:val="24"/>
                <w:color w:val="auto"/>
              </w:rPr>
            </w:pPr>
          </w:p>
        </w:tc>
        <w:tc>
          <w:tcPr>
            <w:tcW w:w="580" w:type="dxa"/>
            <w:vAlign w:val="bottom"/>
            <w:tcBorders>
              <w:top w:val="single" w:sz="8" w:color="0000EE"/>
            </w:tcBorders>
            <w:gridSpan w:val="2"/>
          </w:tcPr>
          <w:p>
            <w:pPr>
              <w:spacing w:after="0"/>
              <w:rPr>
                <w:rFonts w:ascii="Arial" w:cs="Arial" w:eastAsia="Arial" w:hAnsi="Arial"/>
                <w:sz w:val="20"/>
                <w:szCs w:val="20"/>
                <w:color w:val="0000EE"/>
                <w:w w:val="91"/>
              </w:rPr>
            </w:pPr>
            <w:hyperlink w:anchor="page61">
              <w:r>
                <w:rPr>
                  <w:rFonts w:ascii="Arial" w:cs="Arial" w:eastAsia="Arial" w:hAnsi="Arial"/>
                  <w:sz w:val="20"/>
                  <w:szCs w:val="20"/>
                  <w:color w:val="0000EE"/>
                  <w:w w:val="91"/>
                </w:rPr>
                <w:t>Item 6.</w:t>
              </w:r>
            </w:hyperlink>
          </w:p>
        </w:tc>
        <w:tc>
          <w:tcPr>
            <w:tcW w:w="1980" w:type="dxa"/>
            <w:vAlign w:val="bottom"/>
            <w:tcBorders>
              <w:top w:val="single" w:sz="8" w:color="0000EE"/>
            </w:tcBorders>
            <w:gridSpan w:val="6"/>
          </w:tcPr>
          <w:p>
            <w:pPr>
              <w:ind w:left="40"/>
              <w:spacing w:after="0"/>
              <w:rPr>
                <w:rFonts w:ascii="Arial" w:cs="Arial" w:eastAsia="Arial" w:hAnsi="Arial"/>
                <w:sz w:val="20"/>
                <w:szCs w:val="20"/>
                <w:color w:val="0000EE"/>
              </w:rPr>
            </w:pPr>
            <w:hyperlink w:anchor="page61">
              <w:r>
                <w:rPr>
                  <w:rFonts w:ascii="Arial" w:cs="Arial" w:eastAsia="Arial" w:hAnsi="Arial"/>
                  <w:sz w:val="20"/>
                  <w:szCs w:val="20"/>
                  <w:color w:val="0000EE"/>
                </w:rPr>
                <w:t>Exhibits</w:t>
              </w:r>
            </w:hyperlink>
            <w:r>
              <w:rPr>
                <w:rFonts w:ascii="Arial" w:cs="Arial" w:eastAsia="Arial" w:hAnsi="Arial"/>
                <w:sz w:val="20"/>
                <w:szCs w:val="20"/>
                <w:color w:val="000000"/>
              </w:rPr>
              <w:t>.</w:t>
            </w:r>
          </w:p>
        </w:tc>
        <w:tc>
          <w:tcPr>
            <w:tcW w:w="8080" w:type="dxa"/>
            <w:vAlign w:val="bottom"/>
            <w:gridSpan w:val="9"/>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20"/>
                <w:szCs w:val="20"/>
                <w:color w:val="auto"/>
              </w:rPr>
              <w:t>61</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9360" w:type="dxa"/>
            <w:vAlign w:val="bottom"/>
            <w:gridSpan w:val="1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0860" w:type="dxa"/>
            <w:vAlign w:val="bottom"/>
            <w:gridSpan w:val="18"/>
          </w:tcPr>
          <w:p>
            <w:pPr>
              <w:spacing w:after="0"/>
              <w:rPr>
                <w:rFonts w:ascii="Arial" w:cs="Arial" w:eastAsia="Arial" w:hAnsi="Arial"/>
                <w:sz w:val="20"/>
                <w:szCs w:val="20"/>
                <w:color w:val="0000EE"/>
              </w:rPr>
            </w:pPr>
            <w:hyperlink w:anchor="page62">
              <w:r>
                <w:rPr>
                  <w:rFonts w:ascii="Arial" w:cs="Arial" w:eastAsia="Arial" w:hAnsi="Arial"/>
                  <w:sz w:val="20"/>
                  <w:szCs w:val="20"/>
                  <w:color w:val="0000EE"/>
                </w:rPr>
                <w:t>Signatures</w:t>
              </w:r>
            </w:hyperlink>
          </w:p>
        </w:tc>
        <w:tc>
          <w:tcPr>
            <w:tcW w:w="560" w:type="dxa"/>
            <w:vAlign w:val="bottom"/>
          </w:tcPr>
          <w:p>
            <w:pPr>
              <w:jc w:val="right"/>
              <w:spacing w:after="0"/>
              <w:rPr>
                <w:sz w:val="20"/>
                <w:szCs w:val="20"/>
                <w:color w:val="auto"/>
              </w:rPr>
            </w:pPr>
            <w:r>
              <w:rPr>
                <w:rFonts w:ascii="Arial" w:cs="Arial" w:eastAsia="Arial" w:hAnsi="Arial"/>
                <w:sz w:val="20"/>
                <w:szCs w:val="20"/>
                <w:color w:val="auto"/>
              </w:rPr>
              <w:t>62</w:t>
            </w:r>
          </w:p>
        </w:tc>
        <w:tc>
          <w:tcPr>
            <w:tcW w:w="0" w:type="dxa"/>
            <w:vAlign w:val="bottom"/>
          </w:tcPr>
          <w:p>
            <w:pPr>
              <w:spacing w:after="0"/>
              <w:rPr>
                <w:sz w:val="1"/>
                <w:szCs w:val="1"/>
                <w:color w:val="auto"/>
              </w:rPr>
            </w:pPr>
          </w:p>
        </w:tc>
      </w:tr>
      <w:tr>
        <w:trPr>
          <w:trHeight w:val="20"/>
        </w:trPr>
        <w:tc>
          <w:tcPr>
            <w:tcW w:w="840" w:type="dxa"/>
            <w:vAlign w:val="bottom"/>
            <w:gridSpan w:val="4"/>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760" w:type="dxa"/>
            <w:vAlign w:val="bottom"/>
            <w:gridSpan w:val="1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100" w:type="dxa"/>
            <w:vAlign w:val="bottom"/>
            <w:tcBorders>
              <w:bottom w:val="single" w:sz="8" w:color="0000EE"/>
            </w:tcBorders>
            <w:gridSpan w:val="5"/>
          </w:tcPr>
          <w:p>
            <w:pPr>
              <w:spacing w:after="0"/>
              <w:rPr>
                <w:rFonts w:ascii="Arial" w:cs="Arial" w:eastAsia="Arial" w:hAnsi="Arial"/>
                <w:sz w:val="20"/>
                <w:szCs w:val="20"/>
                <w:color w:val="0000EE"/>
                <w:w w:val="94"/>
              </w:rPr>
            </w:pPr>
            <w:hyperlink w:anchor="page63">
              <w:r>
                <w:rPr>
                  <w:rFonts w:ascii="Arial" w:cs="Arial" w:eastAsia="Arial" w:hAnsi="Arial"/>
                  <w:sz w:val="20"/>
                  <w:szCs w:val="20"/>
                  <w:color w:val="0000EE"/>
                  <w:w w:val="94"/>
                </w:rPr>
                <w:t>Exhibit Index</w:t>
              </w:r>
            </w:hyperlink>
          </w:p>
        </w:tc>
        <w:tc>
          <w:tcPr>
            <w:tcW w:w="9760" w:type="dxa"/>
            <w:vAlign w:val="bottom"/>
            <w:gridSpan w:val="13"/>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20"/>
                <w:szCs w:val="20"/>
                <w:color w:val="auto"/>
              </w:rPr>
              <w:t>63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2 of 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2" w:name="page3"/>
    <w:bookmarkEnd w:id="2"/>
    <w:p>
      <w:pPr>
        <w:jc w:val="center"/>
        <w:ind w:right="120"/>
        <w:spacing w:after="0"/>
        <w:rPr>
          <w:sz w:val="20"/>
          <w:szCs w:val="20"/>
          <w:color w:val="auto"/>
        </w:rPr>
      </w:pPr>
      <w:r>
        <w:rPr>
          <w:rFonts w:ascii="Arial" w:cs="Arial" w:eastAsia="Arial" w:hAnsi="Arial"/>
          <w:sz w:val="16"/>
          <w:szCs w:val="16"/>
          <w:color w:val="auto"/>
        </w:rPr>
        <w:t>PART I. FINANCIAL INFORMATION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Item 1. Financial Statements.</w:t>
      </w:r>
    </w:p>
    <w:p>
      <w:pPr>
        <w:spacing w:after="0" w:line="248" w:lineRule="exact"/>
        <w:rPr>
          <w:sz w:val="20"/>
          <w:szCs w:val="20"/>
          <w:color w:val="auto"/>
        </w:rPr>
      </w:pPr>
    </w:p>
    <w:p>
      <w:pPr>
        <w:jc w:val="center"/>
        <w:ind w:right="120"/>
        <w:spacing w:after="0"/>
        <w:rPr>
          <w:sz w:val="20"/>
          <w:szCs w:val="20"/>
          <w:color w:val="auto"/>
        </w:rPr>
      </w:pPr>
      <w:r>
        <w:rPr>
          <w:rFonts w:ascii="Arial" w:cs="Arial" w:eastAsia="Arial" w:hAnsi="Arial"/>
          <w:sz w:val="16"/>
          <w:szCs w:val="16"/>
          <w:color w:val="auto"/>
        </w:rPr>
        <w:t>MARTIN MARIETTA MATERIALS, INC. AND CONSOLIDATED SUBSIDIARIES</w:t>
      </w:r>
    </w:p>
    <w:p>
      <w:pPr>
        <w:spacing w:after="0" w:line="32" w:lineRule="exact"/>
        <w:rPr>
          <w:sz w:val="20"/>
          <w:szCs w:val="20"/>
          <w:color w:val="auto"/>
        </w:rPr>
      </w:pPr>
    </w:p>
    <w:p>
      <w:pPr>
        <w:jc w:val="center"/>
        <w:ind w:right="120"/>
        <w:spacing w:after="0"/>
        <w:rPr>
          <w:sz w:val="20"/>
          <w:szCs w:val="20"/>
          <w:color w:val="auto"/>
        </w:rPr>
      </w:pPr>
      <w:r>
        <w:rPr>
          <w:rFonts w:ascii="Arial" w:cs="Arial" w:eastAsia="Arial" w:hAnsi="Arial"/>
          <w:sz w:val="16"/>
          <w:szCs w:val="16"/>
          <w:color w:val="auto"/>
        </w:rPr>
        <w:t>CONSOLIDATED BALANCE SHEETS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40" w:type="dxa"/>
            <w:vAlign w:val="bottom"/>
            <w:gridSpan w:val="2"/>
          </w:tcPr>
          <w:p>
            <w:pPr>
              <w:jc w:val="center"/>
              <w:ind w:right="460"/>
              <w:spacing w:after="0"/>
              <w:rPr>
                <w:sz w:val="20"/>
                <w:szCs w:val="20"/>
                <w:color w:val="auto"/>
              </w:rPr>
            </w:pPr>
            <w:r>
              <w:rPr>
                <w:rFonts w:ascii="Arial" w:cs="Arial" w:eastAsia="Arial" w:hAnsi="Arial"/>
                <w:sz w:val="16"/>
                <w:szCs w:val="16"/>
                <w:color w:val="auto"/>
                <w:w w:val="89"/>
              </w:rPr>
              <w:t>September 30,</w:t>
            </w:r>
          </w:p>
        </w:tc>
        <w:tc>
          <w:tcPr>
            <w:tcW w:w="220" w:type="dxa"/>
            <w:vAlign w:val="bottom"/>
          </w:tcPr>
          <w:p>
            <w:pPr>
              <w:spacing w:after="0"/>
              <w:rPr>
                <w:sz w:val="17"/>
                <w:szCs w:val="17"/>
                <w:color w:val="auto"/>
              </w:rPr>
            </w:pPr>
          </w:p>
        </w:tc>
        <w:tc>
          <w:tcPr>
            <w:tcW w:w="1640" w:type="dxa"/>
            <w:vAlign w:val="bottom"/>
            <w:gridSpan w:val="2"/>
          </w:tcPr>
          <w:p>
            <w:pPr>
              <w:jc w:val="center"/>
              <w:ind w:right="460"/>
              <w:spacing w:after="0"/>
              <w:rPr>
                <w:sz w:val="20"/>
                <w:szCs w:val="20"/>
                <w:color w:val="auto"/>
              </w:rPr>
            </w:pPr>
            <w:r>
              <w:rPr>
                <w:rFonts w:ascii="Arial" w:cs="Arial" w:eastAsia="Arial" w:hAnsi="Arial"/>
                <w:sz w:val="16"/>
                <w:szCs w:val="16"/>
                <w:color w:val="auto"/>
                <w:w w:val="89"/>
              </w:rPr>
              <w:t>December 31,</w:t>
            </w:r>
          </w:p>
        </w:tc>
        <w:tc>
          <w:tcPr>
            <w:tcW w:w="220" w:type="dxa"/>
            <w:vAlign w:val="bottom"/>
          </w:tcPr>
          <w:p>
            <w:pPr>
              <w:spacing w:after="0"/>
              <w:rPr>
                <w:sz w:val="17"/>
                <w:szCs w:val="17"/>
                <w:color w:val="auto"/>
              </w:rPr>
            </w:pPr>
          </w:p>
        </w:tc>
        <w:tc>
          <w:tcPr>
            <w:tcW w:w="1560" w:type="dxa"/>
            <w:vAlign w:val="bottom"/>
            <w:gridSpan w:val="2"/>
          </w:tcPr>
          <w:p>
            <w:pPr>
              <w:jc w:val="center"/>
              <w:ind w:right="360"/>
              <w:spacing w:after="0"/>
              <w:rPr>
                <w:sz w:val="20"/>
                <w:szCs w:val="20"/>
                <w:color w:val="auto"/>
              </w:rPr>
            </w:pPr>
            <w:r>
              <w:rPr>
                <w:rFonts w:ascii="Arial" w:cs="Arial" w:eastAsia="Arial" w:hAnsi="Arial"/>
                <w:sz w:val="16"/>
                <w:szCs w:val="16"/>
                <w:color w:val="auto"/>
                <w:w w:val="87"/>
              </w:rPr>
              <w:t>September 30,</w:t>
            </w:r>
          </w:p>
        </w:tc>
        <w:tc>
          <w:tcPr>
            <w:tcW w:w="0" w:type="dxa"/>
            <w:vAlign w:val="bottom"/>
          </w:tcPr>
          <w:p>
            <w:pPr>
              <w:spacing w:after="0"/>
              <w:rPr>
                <w:sz w:val="1"/>
                <w:szCs w:val="1"/>
                <w:color w:val="auto"/>
              </w:rPr>
            </w:pPr>
          </w:p>
        </w:tc>
      </w:tr>
      <w:tr>
        <w:trPr>
          <w:trHeight w:val="219"/>
        </w:trPr>
        <w:tc>
          <w:tcPr>
            <w:tcW w:w="59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color w:val="auto"/>
                <w:w w:val="89"/>
              </w:rPr>
              <w:t>2015</w:t>
            </w: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center"/>
              <w:ind w:right="159"/>
              <w:spacing w:after="0"/>
              <w:rPr>
                <w:sz w:val="20"/>
                <w:szCs w:val="20"/>
                <w:color w:val="auto"/>
              </w:rPr>
            </w:pPr>
            <w:r>
              <w:rPr>
                <w:rFonts w:ascii="Arial" w:cs="Arial" w:eastAsia="Arial" w:hAnsi="Arial"/>
                <w:sz w:val="16"/>
                <w:szCs w:val="16"/>
                <w:color w:val="auto"/>
                <w:w w:val="95"/>
              </w:rPr>
              <w:t>2014</w:t>
            </w: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center"/>
              <w:ind w:right="159"/>
              <w:spacing w:after="0"/>
              <w:rPr>
                <w:sz w:val="20"/>
                <w:szCs w:val="20"/>
                <w:color w:val="auto"/>
              </w:rPr>
            </w:pPr>
            <w:r>
              <w:rPr>
                <w:rFonts w:ascii="Arial" w:cs="Arial" w:eastAsia="Arial" w:hAnsi="Arial"/>
                <w:sz w:val="16"/>
                <w:szCs w:val="16"/>
                <w:color w:val="auto"/>
                <w:w w:val="89"/>
              </w:rPr>
              <w:t>2014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5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40" w:type="dxa"/>
            <w:vAlign w:val="bottom"/>
            <w:gridSpan w:val="2"/>
          </w:tcPr>
          <w:p>
            <w:pPr>
              <w:jc w:val="center"/>
              <w:ind w:right="460"/>
              <w:spacing w:after="0"/>
              <w:rPr>
                <w:sz w:val="20"/>
                <w:szCs w:val="20"/>
                <w:color w:val="auto"/>
              </w:rPr>
            </w:pPr>
            <w:r>
              <w:rPr>
                <w:rFonts w:ascii="Arial" w:cs="Arial" w:eastAsia="Arial" w:hAnsi="Arial"/>
                <w:sz w:val="16"/>
                <w:szCs w:val="16"/>
                <w:i w:val="1"/>
                <w:iCs w:val="1"/>
                <w:color w:val="auto"/>
                <w:w w:val="93"/>
              </w:rPr>
              <w:t>(Unaudited)</w:t>
            </w:r>
          </w:p>
        </w:tc>
        <w:tc>
          <w:tcPr>
            <w:tcW w:w="220" w:type="dxa"/>
            <w:vAlign w:val="bottom"/>
          </w:tcPr>
          <w:p>
            <w:pPr>
              <w:spacing w:after="0"/>
              <w:rPr>
                <w:sz w:val="17"/>
                <w:szCs w:val="17"/>
                <w:color w:val="auto"/>
              </w:rPr>
            </w:pPr>
          </w:p>
        </w:tc>
        <w:tc>
          <w:tcPr>
            <w:tcW w:w="1640" w:type="dxa"/>
            <w:vAlign w:val="bottom"/>
            <w:gridSpan w:val="2"/>
          </w:tcPr>
          <w:p>
            <w:pPr>
              <w:jc w:val="center"/>
              <w:ind w:right="460"/>
              <w:spacing w:after="0"/>
              <w:rPr>
                <w:sz w:val="20"/>
                <w:szCs w:val="20"/>
                <w:color w:val="auto"/>
              </w:rPr>
            </w:pPr>
            <w:r>
              <w:rPr>
                <w:rFonts w:ascii="Arial" w:cs="Arial" w:eastAsia="Arial" w:hAnsi="Arial"/>
                <w:sz w:val="16"/>
                <w:szCs w:val="16"/>
                <w:i w:val="1"/>
                <w:iCs w:val="1"/>
                <w:color w:val="auto"/>
                <w:w w:val="95"/>
              </w:rPr>
              <w:t>(Audited)</w:t>
            </w:r>
          </w:p>
        </w:tc>
        <w:tc>
          <w:tcPr>
            <w:tcW w:w="220" w:type="dxa"/>
            <w:vAlign w:val="bottom"/>
          </w:tcPr>
          <w:p>
            <w:pPr>
              <w:spacing w:after="0"/>
              <w:rPr>
                <w:sz w:val="17"/>
                <w:szCs w:val="17"/>
                <w:color w:val="auto"/>
              </w:rPr>
            </w:pPr>
          </w:p>
        </w:tc>
        <w:tc>
          <w:tcPr>
            <w:tcW w:w="1560" w:type="dxa"/>
            <w:vAlign w:val="bottom"/>
            <w:gridSpan w:val="2"/>
          </w:tcPr>
          <w:p>
            <w:pPr>
              <w:jc w:val="center"/>
              <w:ind w:right="360"/>
              <w:spacing w:after="0"/>
              <w:rPr>
                <w:sz w:val="20"/>
                <w:szCs w:val="20"/>
                <w:color w:val="auto"/>
              </w:rPr>
            </w:pPr>
            <w:r>
              <w:rPr>
                <w:rFonts w:ascii="Arial" w:cs="Arial" w:eastAsia="Arial" w:hAnsi="Arial"/>
                <w:sz w:val="16"/>
                <w:szCs w:val="16"/>
                <w:i w:val="1"/>
                <w:iCs w:val="1"/>
                <w:color w:val="auto"/>
                <w:w w:val="95"/>
              </w:rPr>
              <w:t>(Unaudited)</w:t>
            </w:r>
          </w:p>
        </w:tc>
        <w:tc>
          <w:tcPr>
            <w:tcW w:w="0" w:type="dxa"/>
            <w:vAlign w:val="bottom"/>
          </w:tcPr>
          <w:p>
            <w:pPr>
              <w:spacing w:after="0"/>
              <w:rPr>
                <w:sz w:val="1"/>
                <w:szCs w:val="1"/>
                <w:color w:val="auto"/>
              </w:rPr>
            </w:pPr>
          </w:p>
        </w:tc>
      </w:tr>
      <w:tr>
        <w:trPr>
          <w:trHeight w:val="216"/>
        </w:trPr>
        <w:tc>
          <w:tcPr>
            <w:tcW w:w="5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80" w:type="dxa"/>
            <w:vAlign w:val="bottom"/>
            <w:gridSpan w:val="8"/>
          </w:tcPr>
          <w:p>
            <w:pPr>
              <w:jc w:val="center"/>
              <w:ind w:right="360"/>
              <w:spacing w:after="0"/>
              <w:rPr>
                <w:sz w:val="20"/>
                <w:szCs w:val="20"/>
                <w:color w:val="auto"/>
              </w:rPr>
            </w:pPr>
            <w:r>
              <w:rPr>
                <w:rFonts w:ascii="Arial" w:cs="Arial" w:eastAsia="Arial" w:hAnsi="Arial"/>
                <w:sz w:val="16"/>
                <w:szCs w:val="16"/>
                <w:i w:val="1"/>
                <w:iCs w:val="1"/>
                <w:color w:val="auto"/>
                <w:w w:val="92"/>
              </w:rPr>
              <w:t>(Dollars in Thousands, Except Per Share Data)</w:t>
            </w:r>
          </w:p>
        </w:tc>
        <w:tc>
          <w:tcPr>
            <w:tcW w:w="0" w:type="dxa"/>
            <w:vAlign w:val="bottom"/>
          </w:tcPr>
          <w:p>
            <w:pPr>
              <w:spacing w:after="0"/>
              <w:rPr>
                <w:sz w:val="1"/>
                <w:szCs w:val="1"/>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6"/>
                <w:szCs w:val="16"/>
                <w:b w:val="1"/>
                <w:bCs w:val="1"/>
                <w:color w:val="auto"/>
              </w:rPr>
              <w:t>ASSETS</w:t>
            </w: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920" w:type="dxa"/>
            <w:vAlign w:val="bottom"/>
          </w:tcPr>
          <w:p>
            <w:pPr>
              <w:spacing w:after="0"/>
              <w:rPr>
                <w:sz w:val="20"/>
                <w:szCs w:val="20"/>
                <w:color w:val="auto"/>
              </w:rPr>
            </w:pPr>
            <w:r>
              <w:rPr>
                <w:rFonts w:ascii="Arial" w:cs="Arial" w:eastAsia="Arial" w:hAnsi="Arial"/>
                <w:sz w:val="16"/>
                <w:szCs w:val="16"/>
                <w:color w:val="auto"/>
              </w:rPr>
              <w:t>Current Assets:</w:t>
            </w: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920" w:type="dxa"/>
            <w:vAlign w:val="bottom"/>
            <w:shd w:val="clear" w:color="auto" w:fill="CFF0FC"/>
          </w:tcPr>
          <w:p>
            <w:pPr>
              <w:spacing w:after="0"/>
              <w:rPr>
                <w:sz w:val="20"/>
                <w:szCs w:val="20"/>
                <w:color w:val="auto"/>
              </w:rPr>
            </w:pPr>
            <w:r>
              <w:rPr>
                <w:rFonts w:ascii="Arial" w:cs="Arial" w:eastAsia="Arial" w:hAnsi="Arial"/>
                <w:sz w:val="16"/>
                <w:szCs w:val="16"/>
                <w:color w:val="auto"/>
              </w:rPr>
              <w:t>Cash and cash equivalents</w:t>
            </w: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436,429</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108,651</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73,597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920" w:type="dxa"/>
            <w:vAlign w:val="bottom"/>
          </w:tcPr>
          <w:p>
            <w:pPr>
              <w:spacing w:after="0"/>
              <w:rPr>
                <w:sz w:val="20"/>
                <w:szCs w:val="20"/>
                <w:color w:val="auto"/>
              </w:rPr>
            </w:pPr>
            <w:r>
              <w:rPr>
                <w:rFonts w:ascii="Arial" w:cs="Arial" w:eastAsia="Arial" w:hAnsi="Arial"/>
                <w:sz w:val="16"/>
                <w:szCs w:val="16"/>
                <w:color w:val="auto"/>
              </w:rPr>
              <w:t>Accounts receivable, net</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577,424</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421,001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523,928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920" w:type="dxa"/>
            <w:vAlign w:val="bottom"/>
            <w:shd w:val="clear" w:color="auto" w:fill="CFF0FC"/>
          </w:tcPr>
          <w:p>
            <w:pPr>
              <w:spacing w:after="0"/>
              <w:rPr>
                <w:sz w:val="20"/>
                <w:szCs w:val="20"/>
                <w:color w:val="auto"/>
              </w:rPr>
            </w:pPr>
            <w:r>
              <w:rPr>
                <w:rFonts w:ascii="Arial" w:cs="Arial" w:eastAsia="Arial" w:hAnsi="Arial"/>
                <w:sz w:val="16"/>
                <w:szCs w:val="16"/>
                <w:color w:val="auto"/>
              </w:rPr>
              <w:t>Inventories, net</w:t>
            </w:r>
          </w:p>
        </w:tc>
        <w:tc>
          <w:tcPr>
            <w:tcW w:w="2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464,525</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484,919</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475,293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920" w:type="dxa"/>
            <w:vAlign w:val="bottom"/>
          </w:tcPr>
          <w:p>
            <w:pPr>
              <w:spacing w:after="0"/>
              <w:rPr>
                <w:sz w:val="20"/>
                <w:szCs w:val="20"/>
                <w:color w:val="auto"/>
              </w:rPr>
            </w:pPr>
            <w:r>
              <w:rPr>
                <w:rFonts w:ascii="Arial" w:cs="Arial" w:eastAsia="Arial" w:hAnsi="Arial"/>
                <w:sz w:val="16"/>
                <w:szCs w:val="16"/>
                <w:color w:val="auto"/>
              </w:rPr>
              <w:t>Current deferred income tax benefits</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125,633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244,638</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90,136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920" w:type="dxa"/>
            <w:vAlign w:val="bottom"/>
            <w:shd w:val="clear" w:color="auto" w:fill="CFF0FC"/>
          </w:tcPr>
          <w:p>
            <w:pPr>
              <w:spacing w:after="0"/>
              <w:rPr>
                <w:sz w:val="20"/>
                <w:szCs w:val="20"/>
                <w:color w:val="auto"/>
              </w:rPr>
            </w:pPr>
            <w:r>
              <w:rPr>
                <w:rFonts w:ascii="Arial" w:cs="Arial" w:eastAsia="Arial" w:hAnsi="Arial"/>
                <w:sz w:val="16"/>
                <w:szCs w:val="16"/>
                <w:color w:val="auto"/>
              </w:rPr>
              <w:t>Other current assets</w:t>
            </w:r>
          </w:p>
        </w:tc>
        <w:tc>
          <w:tcPr>
            <w:tcW w:w="22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37,960</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29,607</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49,844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592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Total Current Assets</w:t>
            </w:r>
          </w:p>
        </w:tc>
        <w:tc>
          <w:tcPr>
            <w:tcW w:w="2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1,641,971</w:t>
            </w:r>
          </w:p>
        </w:tc>
        <w:tc>
          <w:tcPr>
            <w:tcW w:w="22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1,288,816</w:t>
            </w:r>
          </w:p>
        </w:tc>
        <w:tc>
          <w:tcPr>
            <w:tcW w:w="22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1,212,798</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920" w:type="dxa"/>
            <w:vAlign w:val="bottom"/>
          </w:tcPr>
          <w:p>
            <w:pPr>
              <w:spacing w:after="0"/>
              <w:rPr>
                <w:sz w:val="20"/>
                <w:szCs w:val="20"/>
                <w:color w:val="auto"/>
              </w:rPr>
            </w:pPr>
            <w:r>
              <w:rPr>
                <w:rFonts w:ascii="Arial" w:cs="Arial" w:eastAsia="Arial" w:hAnsi="Arial"/>
                <w:sz w:val="16"/>
                <w:szCs w:val="16"/>
                <w:color w:val="auto"/>
              </w:rPr>
              <w:t>Property, plant and equipment</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5,488,744</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5,691,676</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5,624,761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920" w:type="dxa"/>
            <w:vAlign w:val="bottom"/>
            <w:shd w:val="clear" w:color="auto" w:fill="CFF0FC"/>
          </w:tcPr>
          <w:p>
            <w:pPr>
              <w:spacing w:after="0"/>
              <w:rPr>
                <w:sz w:val="20"/>
                <w:szCs w:val="20"/>
                <w:color w:val="auto"/>
              </w:rPr>
            </w:pPr>
            <w:r>
              <w:rPr>
                <w:rFonts w:ascii="Arial" w:cs="Arial" w:eastAsia="Arial" w:hAnsi="Arial"/>
                <w:sz w:val="16"/>
                <w:szCs w:val="16"/>
                <w:color w:val="auto"/>
              </w:rPr>
              <w:t>Allowances for depreciation, depletion and amortization</w:t>
            </w:r>
          </w:p>
        </w:tc>
        <w:tc>
          <w:tcPr>
            <w:tcW w:w="22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(2,415,210)</w:t>
            </w:r>
          </w:p>
        </w:tc>
        <w:tc>
          <w:tcPr>
            <w:tcW w:w="22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(2,288,906)</w:t>
            </w:r>
          </w:p>
        </w:tc>
        <w:tc>
          <w:tcPr>
            <w:tcW w:w="22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(2,246,810)</w:t>
            </w:r>
          </w:p>
        </w:tc>
        <w:tc>
          <w:tcPr>
            <w:tcW w:w="0" w:type="dxa"/>
            <w:vAlign w:val="bottom"/>
          </w:tcPr>
          <w:p>
            <w:pPr>
              <w:spacing w:after="0"/>
              <w:rPr>
                <w:sz w:val="1"/>
                <w:szCs w:val="1"/>
                <w:color w:val="auto"/>
              </w:rPr>
            </w:pPr>
          </w:p>
        </w:tc>
      </w:tr>
      <w:tr>
        <w:trPr>
          <w:trHeight w:val="207"/>
        </w:trPr>
        <w:tc>
          <w:tcPr>
            <w:tcW w:w="5920" w:type="dxa"/>
            <w:vAlign w:val="bottom"/>
          </w:tcPr>
          <w:p>
            <w:pPr>
              <w:spacing w:after="0"/>
              <w:rPr>
                <w:sz w:val="20"/>
                <w:szCs w:val="20"/>
                <w:color w:val="auto"/>
              </w:rPr>
            </w:pPr>
            <w:r>
              <w:rPr>
                <w:rFonts w:ascii="Arial" w:cs="Arial" w:eastAsia="Arial" w:hAnsi="Arial"/>
                <w:sz w:val="16"/>
                <w:szCs w:val="16"/>
                <w:color w:val="auto"/>
              </w:rPr>
              <w:t>Net property, plant and equipment</w:t>
            </w:r>
          </w:p>
        </w:tc>
        <w:tc>
          <w:tcPr>
            <w:tcW w:w="22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3,073,534</w:t>
            </w:r>
          </w:p>
        </w:tc>
        <w:tc>
          <w:tcPr>
            <w:tcW w:w="2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3,402,770</w:t>
            </w:r>
          </w:p>
        </w:tc>
        <w:tc>
          <w:tcPr>
            <w:tcW w:w="2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3,377,951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920" w:type="dxa"/>
            <w:vAlign w:val="bottom"/>
            <w:shd w:val="clear" w:color="auto" w:fill="CFF0FC"/>
          </w:tcPr>
          <w:p>
            <w:pPr>
              <w:spacing w:after="0"/>
              <w:rPr>
                <w:sz w:val="20"/>
                <w:szCs w:val="20"/>
                <w:color w:val="auto"/>
              </w:rPr>
            </w:pPr>
            <w:r>
              <w:rPr>
                <w:rFonts w:ascii="Arial" w:cs="Arial" w:eastAsia="Arial" w:hAnsi="Arial"/>
                <w:sz w:val="16"/>
                <w:szCs w:val="16"/>
                <w:color w:val="auto"/>
              </w:rPr>
              <w:t>Goodwill</w:t>
            </w:r>
          </w:p>
        </w:tc>
        <w:tc>
          <w:tcPr>
            <w:tcW w:w="2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2,065,644</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2,068,799</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2,043,320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920" w:type="dxa"/>
            <w:vAlign w:val="bottom"/>
          </w:tcPr>
          <w:p>
            <w:pPr>
              <w:spacing w:after="0"/>
              <w:rPr>
                <w:sz w:val="20"/>
                <w:szCs w:val="20"/>
                <w:color w:val="auto"/>
              </w:rPr>
            </w:pPr>
            <w:r>
              <w:rPr>
                <w:rFonts w:ascii="Arial" w:cs="Arial" w:eastAsia="Arial" w:hAnsi="Arial"/>
                <w:sz w:val="16"/>
                <w:szCs w:val="16"/>
                <w:color w:val="auto"/>
              </w:rPr>
              <w:t>Operating permits, net</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445,855</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499,487</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501,734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920" w:type="dxa"/>
            <w:vAlign w:val="bottom"/>
            <w:shd w:val="clear" w:color="auto" w:fill="CFF0FC"/>
          </w:tcPr>
          <w:p>
            <w:pPr>
              <w:spacing w:after="0"/>
              <w:rPr>
                <w:sz w:val="20"/>
                <w:szCs w:val="20"/>
                <w:color w:val="auto"/>
              </w:rPr>
            </w:pPr>
            <w:r>
              <w:rPr>
                <w:rFonts w:ascii="Arial" w:cs="Arial" w:eastAsia="Arial" w:hAnsi="Arial"/>
                <w:sz w:val="16"/>
                <w:szCs w:val="16"/>
                <w:color w:val="auto"/>
              </w:rPr>
              <w:t>Other intangibles, net</w:t>
            </w:r>
          </w:p>
        </w:tc>
        <w:tc>
          <w:tcPr>
            <w:tcW w:w="2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65,556</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95,718</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97,488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9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Other noncurrent assets</w:t>
            </w: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145,888</w:t>
            </w:r>
          </w:p>
        </w:tc>
        <w:tc>
          <w:tcPr>
            <w:tcW w:w="2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108,802</w:t>
            </w:r>
          </w:p>
        </w:tc>
        <w:tc>
          <w:tcPr>
            <w:tcW w:w="2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105,567</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6"/>
                <w:szCs w:val="16"/>
                <w:color w:val="auto"/>
              </w:rPr>
              <w:t>Total Assets</w:t>
            </w:r>
          </w:p>
        </w:tc>
        <w:tc>
          <w:tcPr>
            <w:tcW w:w="220" w:type="dxa"/>
            <w:vAlign w:val="bottom"/>
            <w:tcBorders>
              <w:bottom w:val="single" w:sz="8" w:color="auto"/>
            </w:tcBorders>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7,438,448</w:t>
            </w:r>
          </w:p>
        </w:tc>
        <w:tc>
          <w:tcPr>
            <w:tcW w:w="2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7,464,392</w:t>
            </w:r>
          </w:p>
        </w:tc>
        <w:tc>
          <w:tcPr>
            <w:tcW w:w="2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7,338,858</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20" w:type="dxa"/>
            <w:vAlign w:val="bottom"/>
            <w:vMerge w:val="restart"/>
          </w:tcPr>
          <w:p>
            <w:pPr>
              <w:spacing w:after="0"/>
              <w:rPr>
                <w:sz w:val="20"/>
                <w:szCs w:val="20"/>
                <w:color w:val="auto"/>
              </w:rPr>
            </w:pPr>
            <w:r>
              <w:rPr>
                <w:rFonts w:ascii="Arial" w:cs="Arial" w:eastAsia="Arial" w:hAnsi="Arial"/>
                <w:sz w:val="16"/>
                <w:szCs w:val="16"/>
                <w:b w:val="1"/>
                <w:bCs w:val="1"/>
                <w:color w:val="auto"/>
              </w:rPr>
              <w:t>LIABILITIES AND EQUITY</w:t>
            </w: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0"/>
        </w:trPr>
        <w:tc>
          <w:tcPr>
            <w:tcW w:w="59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5920" w:type="dxa"/>
            <w:vAlign w:val="bottom"/>
          </w:tcPr>
          <w:p>
            <w:pPr>
              <w:spacing w:after="0"/>
              <w:rPr>
                <w:sz w:val="20"/>
                <w:szCs w:val="20"/>
                <w:color w:val="auto"/>
              </w:rPr>
            </w:pPr>
            <w:r>
              <w:rPr>
                <w:rFonts w:ascii="Arial" w:cs="Arial" w:eastAsia="Arial" w:hAnsi="Arial"/>
                <w:sz w:val="16"/>
                <w:szCs w:val="16"/>
                <w:color w:val="auto"/>
              </w:rPr>
              <w:t>Current Liabilities:</w:t>
            </w: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920" w:type="dxa"/>
            <w:vAlign w:val="bottom"/>
            <w:shd w:val="clear" w:color="auto" w:fill="CFF0FC"/>
          </w:tcPr>
          <w:p>
            <w:pPr>
              <w:spacing w:after="0"/>
              <w:rPr>
                <w:sz w:val="20"/>
                <w:szCs w:val="20"/>
                <w:color w:val="auto"/>
              </w:rPr>
            </w:pPr>
            <w:r>
              <w:rPr>
                <w:rFonts w:ascii="Arial" w:cs="Arial" w:eastAsia="Arial" w:hAnsi="Arial"/>
                <w:sz w:val="16"/>
                <w:szCs w:val="16"/>
                <w:color w:val="auto"/>
              </w:rPr>
              <w:t>Bank overdraft</w:t>
            </w: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16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183</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15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5920" w:type="dxa"/>
            <w:vAlign w:val="bottom"/>
          </w:tcPr>
          <w:p>
            <w:pPr>
              <w:spacing w:after="0"/>
              <w:rPr>
                <w:sz w:val="20"/>
                <w:szCs w:val="20"/>
                <w:color w:val="auto"/>
              </w:rPr>
            </w:pPr>
            <w:r>
              <w:rPr>
                <w:rFonts w:ascii="Arial" w:cs="Arial" w:eastAsia="Arial" w:hAnsi="Arial"/>
                <w:sz w:val="16"/>
                <w:szCs w:val="16"/>
                <w:color w:val="auto"/>
              </w:rPr>
              <w:t>Accounts payable</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226,837</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202,476</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230,206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920" w:type="dxa"/>
            <w:vAlign w:val="bottom"/>
            <w:shd w:val="clear" w:color="auto" w:fill="CFF0FC"/>
          </w:tcPr>
          <w:p>
            <w:pPr>
              <w:spacing w:after="0"/>
              <w:rPr>
                <w:sz w:val="20"/>
                <w:szCs w:val="20"/>
                <w:color w:val="auto"/>
              </w:rPr>
            </w:pPr>
            <w:r>
              <w:rPr>
                <w:rFonts w:ascii="Arial" w:cs="Arial" w:eastAsia="Arial" w:hAnsi="Arial"/>
                <w:sz w:val="16"/>
                <w:szCs w:val="16"/>
                <w:color w:val="auto"/>
              </w:rPr>
              <w:t>Accrued salaries, benefits and payroll taxes</w:t>
            </w:r>
          </w:p>
        </w:tc>
        <w:tc>
          <w:tcPr>
            <w:tcW w:w="2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30,529</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36,576</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54,062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920" w:type="dxa"/>
            <w:vAlign w:val="bottom"/>
          </w:tcPr>
          <w:p>
            <w:pPr>
              <w:spacing w:after="0"/>
              <w:rPr>
                <w:sz w:val="20"/>
                <w:szCs w:val="20"/>
                <w:color w:val="auto"/>
              </w:rPr>
            </w:pPr>
            <w:r>
              <w:rPr>
                <w:rFonts w:ascii="Arial" w:cs="Arial" w:eastAsia="Arial" w:hAnsi="Arial"/>
                <w:sz w:val="16"/>
                <w:szCs w:val="16"/>
                <w:color w:val="auto"/>
              </w:rPr>
              <w:t>Pension and postretirement benefits</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8,359</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6,953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7,351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920" w:type="dxa"/>
            <w:vAlign w:val="bottom"/>
            <w:shd w:val="clear" w:color="auto" w:fill="CFF0FC"/>
          </w:tcPr>
          <w:p>
            <w:pPr>
              <w:spacing w:after="0"/>
              <w:rPr>
                <w:sz w:val="20"/>
                <w:szCs w:val="20"/>
                <w:color w:val="auto"/>
              </w:rPr>
            </w:pPr>
            <w:r>
              <w:rPr>
                <w:rFonts w:ascii="Arial" w:cs="Arial" w:eastAsia="Arial" w:hAnsi="Arial"/>
                <w:sz w:val="16"/>
                <w:szCs w:val="16"/>
                <w:color w:val="auto"/>
              </w:rPr>
              <w:t>Accrued insurance and other taxes</w:t>
            </w:r>
          </w:p>
        </w:tc>
        <w:tc>
          <w:tcPr>
            <w:tcW w:w="2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70,509</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58,356</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70,653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920" w:type="dxa"/>
            <w:vAlign w:val="bottom"/>
          </w:tcPr>
          <w:p>
            <w:pPr>
              <w:spacing w:after="0"/>
              <w:rPr>
                <w:sz w:val="20"/>
                <w:szCs w:val="20"/>
                <w:color w:val="auto"/>
              </w:rPr>
            </w:pPr>
            <w:r>
              <w:rPr>
                <w:rFonts w:ascii="Arial" w:cs="Arial" w:eastAsia="Arial" w:hAnsi="Arial"/>
                <w:sz w:val="16"/>
                <w:szCs w:val="16"/>
                <w:color w:val="auto"/>
              </w:rPr>
              <w:t>Current maturities of long-term debt and short-term facilities</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147,536</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14,336</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14,331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920" w:type="dxa"/>
            <w:vAlign w:val="bottom"/>
            <w:shd w:val="clear" w:color="auto" w:fill="CFF0FC"/>
          </w:tcPr>
          <w:p>
            <w:pPr>
              <w:spacing w:after="0"/>
              <w:rPr>
                <w:sz w:val="20"/>
                <w:szCs w:val="20"/>
                <w:color w:val="auto"/>
              </w:rPr>
            </w:pPr>
            <w:r>
              <w:rPr>
                <w:rFonts w:ascii="Arial" w:cs="Arial" w:eastAsia="Arial" w:hAnsi="Arial"/>
                <w:sz w:val="16"/>
                <w:szCs w:val="16"/>
                <w:color w:val="auto"/>
              </w:rPr>
              <w:t>Accrued interest</w:t>
            </w:r>
          </w:p>
        </w:tc>
        <w:tc>
          <w:tcPr>
            <w:tcW w:w="2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22,414</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16,136</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22,317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9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Other current liabilities</w:t>
            </w: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69,208</w:t>
            </w:r>
          </w:p>
        </w:tc>
        <w:tc>
          <w:tcPr>
            <w:tcW w:w="2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61,632</w:t>
            </w:r>
          </w:p>
        </w:tc>
        <w:tc>
          <w:tcPr>
            <w:tcW w:w="2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38,078</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Total Current Liabilities</w:t>
            </w:r>
          </w:p>
        </w:tc>
        <w:tc>
          <w:tcPr>
            <w:tcW w:w="22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575,392</w:t>
            </w:r>
          </w:p>
        </w:tc>
        <w:tc>
          <w:tcPr>
            <w:tcW w:w="22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396,648</w:t>
            </w:r>
          </w:p>
        </w:tc>
        <w:tc>
          <w:tcPr>
            <w:tcW w:w="22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436,998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shd w:val="clear" w:color="auto" w:fill="CFF0FC"/>
          </w:tcPr>
          <w:p>
            <w:pPr>
              <w:spacing w:after="0"/>
              <w:rPr>
                <w:sz w:val="20"/>
                <w:szCs w:val="20"/>
                <w:color w:val="auto"/>
              </w:rPr>
            </w:pPr>
            <w:r>
              <w:rPr>
                <w:rFonts w:ascii="Arial" w:cs="Arial" w:eastAsia="Arial" w:hAnsi="Arial"/>
                <w:sz w:val="16"/>
                <w:szCs w:val="16"/>
                <w:color w:val="auto"/>
              </w:rPr>
              <w:t>Long-term debt</w:t>
            </w:r>
          </w:p>
        </w:tc>
        <w:tc>
          <w:tcPr>
            <w:tcW w:w="2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1,557,616</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1,571,059</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1,603,944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920" w:type="dxa"/>
            <w:vAlign w:val="bottom"/>
          </w:tcPr>
          <w:p>
            <w:pPr>
              <w:spacing w:after="0"/>
              <w:rPr>
                <w:sz w:val="20"/>
                <w:szCs w:val="20"/>
                <w:color w:val="auto"/>
              </w:rPr>
            </w:pPr>
            <w:r>
              <w:rPr>
                <w:rFonts w:ascii="Arial" w:cs="Arial" w:eastAsia="Arial" w:hAnsi="Arial"/>
                <w:sz w:val="16"/>
                <w:szCs w:val="16"/>
                <w:color w:val="auto"/>
              </w:rPr>
              <w:t>Pension, postretirement and postemployment benefits</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229,042</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249,333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144,077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920" w:type="dxa"/>
            <w:vAlign w:val="bottom"/>
            <w:shd w:val="clear" w:color="auto" w:fill="CFF0FC"/>
          </w:tcPr>
          <w:p>
            <w:pPr>
              <w:spacing w:after="0"/>
              <w:rPr>
                <w:sz w:val="20"/>
                <w:szCs w:val="20"/>
                <w:color w:val="auto"/>
              </w:rPr>
            </w:pPr>
            <w:r>
              <w:rPr>
                <w:rFonts w:ascii="Arial" w:cs="Arial" w:eastAsia="Arial" w:hAnsi="Arial"/>
                <w:sz w:val="16"/>
                <w:szCs w:val="16"/>
                <w:color w:val="auto"/>
              </w:rPr>
              <w:t>Noncurrent deferred income taxes</w:t>
            </w:r>
          </w:p>
        </w:tc>
        <w:tc>
          <w:tcPr>
            <w:tcW w:w="2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665,712</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734,583</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633,951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9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Other noncurrent liabilities</w:t>
            </w: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158,106</w:t>
            </w:r>
          </w:p>
        </w:tc>
        <w:tc>
          <w:tcPr>
            <w:tcW w:w="2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160,021</w:t>
            </w:r>
          </w:p>
        </w:tc>
        <w:tc>
          <w:tcPr>
            <w:tcW w:w="2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144,275</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Total Liabilities</w:t>
            </w:r>
          </w:p>
        </w:tc>
        <w:tc>
          <w:tcPr>
            <w:tcW w:w="22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3,185,868</w:t>
            </w:r>
          </w:p>
        </w:tc>
        <w:tc>
          <w:tcPr>
            <w:tcW w:w="22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3,111,644</w:t>
            </w:r>
          </w:p>
        </w:tc>
        <w:tc>
          <w:tcPr>
            <w:tcW w:w="22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2,963,245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shd w:val="clear" w:color="auto" w:fill="CFF0FC"/>
          </w:tcPr>
          <w:p>
            <w:pPr>
              <w:spacing w:after="0"/>
              <w:rPr>
                <w:sz w:val="20"/>
                <w:szCs w:val="20"/>
                <w:color w:val="auto"/>
              </w:rPr>
            </w:pPr>
            <w:r>
              <w:rPr>
                <w:rFonts w:ascii="Arial" w:cs="Arial" w:eastAsia="Arial" w:hAnsi="Arial"/>
                <w:sz w:val="16"/>
                <w:szCs w:val="16"/>
                <w:color w:val="auto"/>
              </w:rPr>
              <w:t>Equity:</w:t>
            </w:r>
          </w:p>
        </w:tc>
        <w:tc>
          <w:tcPr>
            <w:tcW w:w="2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920" w:type="dxa"/>
            <w:vAlign w:val="bottom"/>
          </w:tcPr>
          <w:p>
            <w:pPr>
              <w:spacing w:after="0"/>
              <w:rPr>
                <w:sz w:val="20"/>
                <w:szCs w:val="20"/>
                <w:color w:val="auto"/>
              </w:rPr>
            </w:pPr>
            <w:r>
              <w:rPr>
                <w:rFonts w:ascii="Arial" w:cs="Arial" w:eastAsia="Arial" w:hAnsi="Arial"/>
                <w:sz w:val="16"/>
                <w:szCs w:val="16"/>
                <w:color w:val="auto"/>
              </w:rPr>
              <w:t>Common stock, par value $0.01 per share</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660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671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671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920" w:type="dxa"/>
            <w:vAlign w:val="bottom"/>
            <w:shd w:val="clear" w:color="auto" w:fill="CFF0FC"/>
          </w:tcPr>
          <w:p>
            <w:pPr>
              <w:spacing w:after="0"/>
              <w:rPr>
                <w:sz w:val="20"/>
                <w:szCs w:val="20"/>
                <w:color w:val="auto"/>
              </w:rPr>
            </w:pPr>
            <w:r>
              <w:rPr>
                <w:rFonts w:ascii="Arial" w:cs="Arial" w:eastAsia="Arial" w:hAnsi="Arial"/>
                <w:sz w:val="16"/>
                <w:szCs w:val="16"/>
                <w:color w:val="auto"/>
              </w:rPr>
              <w:t>Preferred stock, par value $0.01 per share</w:t>
            </w:r>
          </w:p>
        </w:tc>
        <w:tc>
          <w:tcPr>
            <w:tcW w:w="22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5920" w:type="dxa"/>
            <w:vAlign w:val="bottom"/>
          </w:tcPr>
          <w:p>
            <w:pPr>
              <w:spacing w:after="0"/>
              <w:rPr>
                <w:sz w:val="20"/>
                <w:szCs w:val="20"/>
                <w:color w:val="auto"/>
              </w:rPr>
            </w:pPr>
            <w:r>
              <w:rPr>
                <w:rFonts w:ascii="Arial" w:cs="Arial" w:eastAsia="Arial" w:hAnsi="Arial"/>
                <w:sz w:val="16"/>
                <w:szCs w:val="16"/>
                <w:color w:val="auto"/>
              </w:rPr>
              <w:t>Additional paid-in capital</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3,283,200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3,243,619</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3,239,709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920" w:type="dxa"/>
            <w:vAlign w:val="bottom"/>
            <w:shd w:val="clear" w:color="auto" w:fill="CFF0FC"/>
          </w:tcPr>
          <w:p>
            <w:pPr>
              <w:spacing w:after="0"/>
              <w:rPr>
                <w:sz w:val="20"/>
                <w:szCs w:val="20"/>
                <w:color w:val="auto"/>
              </w:rPr>
            </w:pPr>
            <w:r>
              <w:rPr>
                <w:rFonts w:ascii="Arial" w:cs="Arial" w:eastAsia="Arial" w:hAnsi="Arial"/>
                <w:sz w:val="16"/>
                <w:szCs w:val="16"/>
                <w:color w:val="auto"/>
              </w:rPr>
              <w:t>Accumulated other comprehensive loss</w:t>
            </w:r>
          </w:p>
        </w:tc>
        <w:tc>
          <w:tcPr>
            <w:tcW w:w="22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(112,742)</w:t>
            </w:r>
          </w:p>
        </w:tc>
        <w:tc>
          <w:tcPr>
            <w:tcW w:w="22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(106,159)</w:t>
            </w:r>
          </w:p>
        </w:tc>
        <w:tc>
          <w:tcPr>
            <w:tcW w:w="22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(43,281)</w:t>
            </w:r>
          </w:p>
        </w:tc>
        <w:tc>
          <w:tcPr>
            <w:tcW w:w="0" w:type="dxa"/>
            <w:vAlign w:val="bottom"/>
          </w:tcPr>
          <w:p>
            <w:pPr>
              <w:spacing w:after="0"/>
              <w:rPr>
                <w:sz w:val="1"/>
                <w:szCs w:val="1"/>
                <w:color w:val="auto"/>
              </w:rPr>
            </w:pPr>
          </w:p>
        </w:tc>
      </w:tr>
      <w:tr>
        <w:trPr>
          <w:trHeight w:val="213"/>
        </w:trPr>
        <w:tc>
          <w:tcPr>
            <w:tcW w:w="59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Retained earnings</w:t>
            </w: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1,079,764</w:t>
            </w:r>
          </w:p>
        </w:tc>
        <w:tc>
          <w:tcPr>
            <w:tcW w:w="2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1,213,035</w:t>
            </w:r>
          </w:p>
        </w:tc>
        <w:tc>
          <w:tcPr>
            <w:tcW w:w="2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1,176,121</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9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Total Shareholders' Equity</w:t>
            </w:r>
          </w:p>
        </w:tc>
        <w:tc>
          <w:tcPr>
            <w:tcW w:w="2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4,250,882</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4,351,166</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4,373,220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9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Noncontrolling interests</w:t>
            </w: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1,698</w:t>
            </w:r>
          </w:p>
        </w:tc>
        <w:tc>
          <w:tcPr>
            <w:tcW w:w="2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1,582</w:t>
            </w:r>
          </w:p>
        </w:tc>
        <w:tc>
          <w:tcPr>
            <w:tcW w:w="2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2,393</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9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Total Equity</w:t>
            </w:r>
          </w:p>
        </w:tc>
        <w:tc>
          <w:tcPr>
            <w:tcW w:w="22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4,252,580</w:t>
            </w:r>
          </w:p>
        </w:tc>
        <w:tc>
          <w:tcPr>
            <w:tcW w:w="22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4,352,748</w:t>
            </w:r>
          </w:p>
        </w:tc>
        <w:tc>
          <w:tcPr>
            <w:tcW w:w="22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4,375,613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920" w:type="dxa"/>
            <w:vAlign w:val="bottom"/>
          </w:tcPr>
          <w:p>
            <w:pPr>
              <w:ind w:left="260"/>
              <w:spacing w:after="0"/>
              <w:rPr>
                <w:sz w:val="20"/>
                <w:szCs w:val="20"/>
                <w:color w:val="auto"/>
              </w:rPr>
            </w:pPr>
            <w:r>
              <w:rPr>
                <w:rFonts w:ascii="Arial" w:cs="Arial" w:eastAsia="Arial" w:hAnsi="Arial"/>
                <w:sz w:val="16"/>
                <w:szCs w:val="16"/>
                <w:color w:val="auto"/>
              </w:rPr>
              <w:t>Total Liabilities and Equity</w:t>
            </w:r>
          </w:p>
        </w:tc>
        <w:tc>
          <w:tcPr>
            <w:tcW w:w="22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7,438,448</w:t>
            </w:r>
          </w:p>
        </w:tc>
        <w:tc>
          <w:tcPr>
            <w:tcW w:w="220" w:type="dxa"/>
            <w:vAlign w:val="bottom"/>
          </w:tcPr>
          <w:p>
            <w:pPr>
              <w:spacing w:after="0"/>
              <w:rPr>
                <w:sz w:val="17"/>
                <w:szCs w:val="17"/>
                <w:color w:val="auto"/>
              </w:rPr>
            </w:pPr>
          </w:p>
        </w:tc>
        <w:tc>
          <w:tcPr>
            <w:tcW w:w="22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7,464,392</w:t>
            </w:r>
          </w:p>
        </w:tc>
        <w:tc>
          <w:tcPr>
            <w:tcW w:w="220" w:type="dxa"/>
            <w:vAlign w:val="bottom"/>
          </w:tcPr>
          <w:p>
            <w:pPr>
              <w:spacing w:after="0"/>
              <w:rPr>
                <w:sz w:val="17"/>
                <w:szCs w:val="17"/>
                <w:color w:val="auto"/>
              </w:rPr>
            </w:pPr>
          </w:p>
        </w:tc>
        <w:tc>
          <w:tcPr>
            <w:tcW w:w="22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7,338,858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See accompanying notes to the consolidated financial statements.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3 of 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2891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75" w:right="239" w:bottom="1440" w:gutter="0" w:footer="0" w:header="0"/>
        </w:sectPr>
      </w:pPr>
    </w:p>
    <w:bookmarkStart w:id="3" w:name="page4"/>
    <w:bookmarkEnd w:id="3"/>
    <w:p>
      <w:pPr>
        <w:jc w:val="center"/>
        <w:ind w:right="80"/>
        <w:spacing w:after="0"/>
        <w:rPr>
          <w:sz w:val="20"/>
          <w:szCs w:val="20"/>
          <w:color w:val="auto"/>
        </w:rPr>
      </w:pPr>
      <w:r>
        <w:rPr>
          <w:rFonts w:ascii="Arial" w:cs="Arial" w:eastAsia="Arial" w:hAnsi="Arial"/>
          <w:sz w:val="14"/>
          <w:szCs w:val="14"/>
          <w:color w:val="auto"/>
        </w:rPr>
        <w:t>MARTIN MARIETTA MATERIALS, INC. AND CONSOLIDATED SUBSIDIARIES</w:t>
      </w:r>
    </w:p>
    <w:p>
      <w:pPr>
        <w:spacing w:after="0" w:line="13" w:lineRule="exact"/>
        <w:rPr>
          <w:sz w:val="20"/>
          <w:szCs w:val="20"/>
          <w:color w:val="auto"/>
        </w:rPr>
      </w:pPr>
    </w:p>
    <w:p>
      <w:pPr>
        <w:jc w:val="center"/>
        <w:ind w:right="80"/>
        <w:spacing w:after="0"/>
        <w:rPr>
          <w:sz w:val="20"/>
          <w:szCs w:val="20"/>
          <w:color w:val="auto"/>
        </w:rPr>
      </w:pPr>
      <w:r>
        <w:rPr>
          <w:rFonts w:ascii="Arial" w:cs="Arial" w:eastAsia="Arial" w:hAnsi="Arial"/>
          <w:sz w:val="14"/>
          <w:szCs w:val="14"/>
          <w:color w:val="auto"/>
        </w:rPr>
        <w:t>CONSOLIDATED STATEMENTS OF EARNINGS AND COMPREHENSIVE EARNINGS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20" w:type="dxa"/>
            <w:vAlign w:val="bottom"/>
            <w:gridSpan w:val="6"/>
          </w:tcPr>
          <w:p>
            <w:pPr>
              <w:jc w:val="center"/>
              <w:ind w:right="260"/>
              <w:spacing w:after="0"/>
              <w:rPr>
                <w:sz w:val="20"/>
                <w:szCs w:val="20"/>
                <w:color w:val="auto"/>
              </w:rPr>
            </w:pPr>
            <w:r>
              <w:rPr>
                <w:rFonts w:ascii="Arial" w:cs="Arial" w:eastAsia="Arial" w:hAnsi="Arial"/>
                <w:sz w:val="14"/>
                <w:szCs w:val="14"/>
                <w:color w:val="auto"/>
                <w:w w:val="91"/>
              </w:rPr>
              <w:t>Three Months Ended</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0" w:type="dxa"/>
            <w:vAlign w:val="bottom"/>
            <w:gridSpan w:val="4"/>
          </w:tcPr>
          <w:p>
            <w:pPr>
              <w:jc w:val="center"/>
              <w:ind w:left="528"/>
              <w:spacing w:after="0"/>
              <w:rPr>
                <w:sz w:val="20"/>
                <w:szCs w:val="20"/>
                <w:color w:val="auto"/>
              </w:rPr>
            </w:pPr>
            <w:r>
              <w:rPr>
                <w:rFonts w:ascii="Arial" w:cs="Arial" w:eastAsia="Arial" w:hAnsi="Arial"/>
                <w:sz w:val="14"/>
                <w:szCs w:val="14"/>
                <w:color w:val="auto"/>
                <w:w w:val="94"/>
              </w:rPr>
              <w:t>Nine Months Ended</w:t>
            </w: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center"/>
              <w:ind w:left="608"/>
              <w:spacing w:after="0"/>
              <w:rPr>
                <w:sz w:val="20"/>
                <w:szCs w:val="20"/>
                <w:color w:val="auto"/>
              </w:rPr>
            </w:pPr>
            <w:r>
              <w:rPr>
                <w:rFonts w:ascii="Arial" w:cs="Arial" w:eastAsia="Arial" w:hAnsi="Arial"/>
                <w:sz w:val="14"/>
                <w:szCs w:val="14"/>
                <w:color w:val="auto"/>
                <w:w w:val="91"/>
              </w:rPr>
              <w:t>September 30,</w:t>
            </w:r>
          </w:p>
        </w:tc>
        <w:tc>
          <w:tcPr>
            <w:tcW w:w="8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4"/>
          </w:tcPr>
          <w:p>
            <w:pPr>
              <w:jc w:val="center"/>
              <w:ind w:left="548"/>
              <w:spacing w:after="0"/>
              <w:rPr>
                <w:sz w:val="20"/>
                <w:szCs w:val="20"/>
                <w:color w:val="auto"/>
              </w:rPr>
            </w:pPr>
            <w:r>
              <w:rPr>
                <w:rFonts w:ascii="Arial" w:cs="Arial" w:eastAsia="Arial" w:hAnsi="Arial"/>
                <w:sz w:val="14"/>
                <w:szCs w:val="14"/>
                <w:color w:val="auto"/>
                <w:w w:val="89"/>
              </w:rPr>
              <w:t>September 30,</w:t>
            </w:r>
          </w:p>
        </w:tc>
        <w:tc>
          <w:tcPr>
            <w:tcW w:w="7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408"/>
              <w:spacing w:after="0" w:line="155" w:lineRule="exact"/>
              <w:rPr>
                <w:sz w:val="20"/>
                <w:szCs w:val="20"/>
                <w:color w:val="auto"/>
              </w:rPr>
            </w:pPr>
            <w:r>
              <w:rPr>
                <w:rFonts w:ascii="Arial" w:cs="Arial" w:eastAsia="Arial" w:hAnsi="Arial"/>
                <w:sz w:val="14"/>
                <w:szCs w:val="14"/>
                <w:color w:val="auto"/>
              </w:rPr>
              <w:t>2015</w:t>
            </w: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48"/>
              <w:spacing w:after="0" w:line="155" w:lineRule="exact"/>
              <w:rPr>
                <w:sz w:val="20"/>
                <w:szCs w:val="20"/>
                <w:color w:val="auto"/>
              </w:rPr>
            </w:pPr>
            <w:r>
              <w:rPr>
                <w:rFonts w:ascii="Arial" w:cs="Arial" w:eastAsia="Arial" w:hAnsi="Arial"/>
                <w:sz w:val="14"/>
                <w:szCs w:val="14"/>
                <w:color w:val="auto"/>
              </w:rPr>
              <w:t>2014</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408"/>
              <w:spacing w:after="0" w:line="155" w:lineRule="exact"/>
              <w:rPr>
                <w:sz w:val="20"/>
                <w:szCs w:val="20"/>
                <w:color w:val="auto"/>
              </w:rPr>
            </w:pPr>
            <w:r>
              <w:rPr>
                <w:rFonts w:ascii="Arial" w:cs="Arial" w:eastAsia="Arial" w:hAnsi="Arial"/>
                <w:sz w:val="14"/>
                <w:szCs w:val="14"/>
                <w:color w:val="auto"/>
              </w:rPr>
              <w:t>2015</w:t>
            </w:r>
          </w:p>
        </w:tc>
        <w:tc>
          <w:tcPr>
            <w:tcW w:w="2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408"/>
              <w:spacing w:after="0" w:line="155" w:lineRule="exact"/>
              <w:rPr>
                <w:sz w:val="20"/>
                <w:szCs w:val="20"/>
                <w:color w:val="auto"/>
              </w:rPr>
            </w:pPr>
            <w:r>
              <w:rPr>
                <w:rFonts w:ascii="Arial" w:cs="Arial" w:eastAsia="Arial" w:hAnsi="Arial"/>
                <w:sz w:val="14"/>
                <w:szCs w:val="14"/>
                <w:color w:val="auto"/>
                <w:w w:val="83"/>
              </w:rPr>
              <w:t>2014</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5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80" w:type="dxa"/>
            <w:vAlign w:val="bottom"/>
            <w:gridSpan w:val="5"/>
          </w:tcPr>
          <w:p>
            <w:pPr>
              <w:jc w:val="center"/>
              <w:ind w:right="48"/>
              <w:spacing w:after="0" w:line="151" w:lineRule="exact"/>
              <w:rPr>
                <w:sz w:val="20"/>
                <w:szCs w:val="20"/>
                <w:color w:val="auto"/>
              </w:rPr>
            </w:pPr>
            <w:r>
              <w:rPr>
                <w:rFonts w:ascii="Arial" w:cs="Arial" w:eastAsia="Arial" w:hAnsi="Arial"/>
                <w:sz w:val="14"/>
                <w:szCs w:val="14"/>
                <w:i w:val="1"/>
                <w:iCs w:val="1"/>
                <w:color w:val="auto"/>
                <w:w w:val="93"/>
              </w:rPr>
              <w:t>(In Thousands, Except Per Share Data)</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560" w:type="dxa"/>
            <w:vAlign w:val="bottom"/>
            <w:gridSpan w:val="5"/>
          </w:tcPr>
          <w:p>
            <w:pPr>
              <w:jc w:val="center"/>
              <w:ind w:right="68"/>
              <w:spacing w:after="0" w:line="151" w:lineRule="exact"/>
              <w:rPr>
                <w:sz w:val="20"/>
                <w:szCs w:val="20"/>
                <w:color w:val="auto"/>
              </w:rPr>
            </w:pPr>
            <w:r>
              <w:rPr>
                <w:rFonts w:ascii="Arial" w:cs="Arial" w:eastAsia="Arial" w:hAnsi="Arial"/>
                <w:sz w:val="14"/>
                <w:szCs w:val="14"/>
                <w:i w:val="1"/>
                <w:iCs w:val="1"/>
                <w:color w:val="auto"/>
                <w:w w:val="92"/>
              </w:rPr>
              <w:t>(In Thousands, Except Per Share Data)</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gridSpan w:val="4"/>
          </w:tcPr>
          <w:p>
            <w:pPr>
              <w:jc w:val="center"/>
              <w:ind w:left="608"/>
              <w:spacing w:after="0"/>
              <w:rPr>
                <w:sz w:val="20"/>
                <w:szCs w:val="20"/>
                <w:color w:val="auto"/>
              </w:rPr>
            </w:pPr>
            <w:r>
              <w:rPr>
                <w:rFonts w:ascii="Arial" w:cs="Arial" w:eastAsia="Arial" w:hAnsi="Arial"/>
                <w:sz w:val="14"/>
                <w:szCs w:val="14"/>
                <w:i w:val="1"/>
                <w:iCs w:val="1"/>
                <w:color w:val="auto"/>
                <w:w w:val="98"/>
              </w:rPr>
              <w:t>(Unaudited)</w:t>
            </w: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0" w:type="dxa"/>
            <w:vAlign w:val="bottom"/>
            <w:gridSpan w:val="4"/>
          </w:tcPr>
          <w:p>
            <w:pPr>
              <w:jc w:val="center"/>
              <w:ind w:left="548"/>
              <w:spacing w:after="0"/>
              <w:rPr>
                <w:sz w:val="20"/>
                <w:szCs w:val="20"/>
                <w:color w:val="auto"/>
              </w:rPr>
            </w:pPr>
            <w:r>
              <w:rPr>
                <w:rFonts w:ascii="Arial" w:cs="Arial" w:eastAsia="Arial" w:hAnsi="Arial"/>
                <w:sz w:val="14"/>
                <w:szCs w:val="14"/>
                <w:i w:val="1"/>
                <w:iCs w:val="1"/>
                <w:color w:val="auto"/>
                <w:w w:val="95"/>
              </w:rPr>
              <w:t>(Unaudited)</w:t>
            </w: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240" w:type="dxa"/>
            <w:vAlign w:val="bottom"/>
            <w:shd w:val="clear" w:color="auto" w:fill="CFF0FC"/>
          </w:tcPr>
          <w:p>
            <w:pPr>
              <w:spacing w:after="0"/>
              <w:rPr>
                <w:sz w:val="20"/>
                <w:szCs w:val="20"/>
                <w:color w:val="auto"/>
              </w:rPr>
            </w:pPr>
            <w:r>
              <w:rPr>
                <w:rFonts w:ascii="Arial" w:cs="Arial" w:eastAsia="Arial" w:hAnsi="Arial"/>
                <w:sz w:val="14"/>
                <w:szCs w:val="14"/>
                <w:color w:val="auto"/>
              </w:rPr>
              <w:t>Net Sales</w:t>
            </w:r>
          </w:p>
        </w:tc>
        <w:tc>
          <w:tcPr>
            <w:tcW w:w="7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1,005,218</w:t>
            </w:r>
          </w:p>
        </w:tc>
        <w:tc>
          <w:tcPr>
            <w:tcW w:w="140" w:type="dxa"/>
            <w:vAlign w:val="bottom"/>
            <w:shd w:val="clear" w:color="auto" w:fill="CFF0FC"/>
          </w:tcPr>
          <w:p>
            <w:pPr>
              <w:spacing w:after="0"/>
              <w:rPr>
                <w:sz w:val="14"/>
                <w:szCs w:val="14"/>
                <w:color w:val="auto"/>
              </w:rPr>
            </w:pPr>
          </w:p>
        </w:tc>
        <w:tc>
          <w:tcPr>
            <w:tcW w:w="420" w:type="dxa"/>
            <w:vAlign w:val="bottom"/>
            <w:gridSpan w:val="2"/>
            <w:shd w:val="clear" w:color="auto" w:fill="CFF0FC"/>
          </w:tcPr>
          <w:p>
            <w:pPr>
              <w:jc w:val="right"/>
              <w:ind w:right="188"/>
              <w:spacing w:after="0"/>
              <w:rPr>
                <w:sz w:val="20"/>
                <w:szCs w:val="20"/>
                <w:color w:val="auto"/>
              </w:rPr>
            </w:pPr>
            <w:r>
              <w:rPr>
                <w:rFonts w:ascii="Arial" w:cs="Arial" w:eastAsia="Arial" w:hAnsi="Arial"/>
                <w:sz w:val="14"/>
                <w:szCs w:val="14"/>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917,942</w:t>
            </w:r>
          </w:p>
        </w:tc>
        <w:tc>
          <w:tcPr>
            <w:tcW w:w="140" w:type="dxa"/>
            <w:vAlign w:val="bottom"/>
            <w:shd w:val="clear" w:color="auto" w:fill="CFF0FC"/>
          </w:tcPr>
          <w:p>
            <w:pPr>
              <w:spacing w:after="0"/>
              <w:rPr>
                <w:sz w:val="14"/>
                <w:szCs w:val="14"/>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2,487,342</w:t>
            </w:r>
          </w:p>
        </w:tc>
        <w:tc>
          <w:tcPr>
            <w:tcW w:w="220" w:type="dxa"/>
            <w:vAlign w:val="bottom"/>
            <w:shd w:val="clear" w:color="auto" w:fill="CFF0FC"/>
          </w:tcPr>
          <w:p>
            <w:pPr>
              <w:spacing w:after="0"/>
              <w:rPr>
                <w:sz w:val="14"/>
                <w:szCs w:val="14"/>
                <w:color w:val="auto"/>
              </w:rPr>
            </w:pPr>
          </w:p>
        </w:tc>
        <w:tc>
          <w:tcPr>
            <w:tcW w:w="480" w:type="dxa"/>
            <w:vAlign w:val="bottom"/>
            <w:gridSpan w:val="2"/>
            <w:shd w:val="clear" w:color="auto" w:fill="CFF0FC"/>
          </w:tcPr>
          <w:p>
            <w:pPr>
              <w:jc w:val="right"/>
              <w:ind w:right="349"/>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1,899,557</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24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Freight and delivery revenues</w:t>
            </w:r>
          </w:p>
        </w:tc>
        <w:tc>
          <w:tcPr>
            <w:tcW w:w="58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77,031</w:t>
            </w:r>
          </w:p>
        </w:tc>
        <w:tc>
          <w:tcPr>
            <w:tcW w:w="14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85,781</w:t>
            </w:r>
          </w:p>
        </w:tc>
        <w:tc>
          <w:tcPr>
            <w:tcW w:w="14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207,672</w:t>
            </w:r>
          </w:p>
        </w:tc>
        <w:tc>
          <w:tcPr>
            <w:tcW w:w="22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202,021</w:t>
            </w:r>
          </w:p>
        </w:tc>
        <w:tc>
          <w:tcPr>
            <w:tcW w:w="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240" w:type="dxa"/>
            <w:vAlign w:val="bottom"/>
            <w:shd w:val="clear" w:color="auto" w:fill="CFF0FC"/>
          </w:tcPr>
          <w:p>
            <w:pPr>
              <w:ind w:left="240"/>
              <w:spacing w:after="0" w:line="155" w:lineRule="exact"/>
              <w:rPr>
                <w:sz w:val="20"/>
                <w:szCs w:val="20"/>
                <w:color w:val="auto"/>
              </w:rPr>
            </w:pPr>
            <w:r>
              <w:rPr>
                <w:rFonts w:ascii="Arial" w:cs="Arial" w:eastAsia="Arial" w:hAnsi="Arial"/>
                <w:sz w:val="14"/>
                <w:szCs w:val="14"/>
                <w:color w:val="auto"/>
              </w:rPr>
              <w:t>Total revenues</w:t>
            </w:r>
          </w:p>
        </w:tc>
        <w:tc>
          <w:tcPr>
            <w:tcW w:w="580" w:type="dxa"/>
            <w:vAlign w:val="bottom"/>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11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1,082,249</w:t>
            </w: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340" w:type="dxa"/>
            <w:vAlign w:val="bottom"/>
            <w:tcBorders>
              <w:bottom w:val="single" w:sz="8" w:color="auto"/>
            </w:tcBorders>
            <w:shd w:val="clear" w:color="auto" w:fill="CFF0FC"/>
          </w:tcPr>
          <w:p>
            <w:pPr>
              <w:spacing w:after="0"/>
              <w:rPr>
                <w:sz w:val="13"/>
                <w:szCs w:val="13"/>
                <w:color w:val="auto"/>
              </w:rPr>
            </w:pPr>
          </w:p>
        </w:tc>
        <w:tc>
          <w:tcPr>
            <w:tcW w:w="80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1,003,723</w:t>
            </w: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110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2,695,014</w:t>
            </w:r>
          </w:p>
        </w:tc>
        <w:tc>
          <w:tcPr>
            <w:tcW w:w="22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460" w:type="dxa"/>
            <w:vAlign w:val="bottom"/>
            <w:tcBorders>
              <w:bottom w:val="single" w:sz="8" w:color="auto"/>
            </w:tcBorders>
            <w:shd w:val="clear" w:color="auto" w:fill="CFF0FC"/>
          </w:tcPr>
          <w:p>
            <w:pPr>
              <w:spacing w:after="0"/>
              <w:rPr>
                <w:sz w:val="13"/>
                <w:szCs w:val="13"/>
                <w:color w:val="auto"/>
              </w:rPr>
            </w:pPr>
          </w:p>
        </w:tc>
        <w:tc>
          <w:tcPr>
            <w:tcW w:w="76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2,101,578</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5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240" w:type="dxa"/>
            <w:vAlign w:val="bottom"/>
            <w:shd w:val="clear" w:color="auto" w:fill="CFF0FC"/>
          </w:tcPr>
          <w:p>
            <w:pPr>
              <w:spacing w:after="0"/>
              <w:rPr>
                <w:sz w:val="20"/>
                <w:szCs w:val="20"/>
                <w:color w:val="auto"/>
              </w:rPr>
            </w:pPr>
            <w:r>
              <w:rPr>
                <w:rFonts w:ascii="Arial" w:cs="Arial" w:eastAsia="Arial" w:hAnsi="Arial"/>
                <w:sz w:val="14"/>
                <w:szCs w:val="14"/>
                <w:color w:val="auto"/>
              </w:rPr>
              <w:t>Cost of sales</w:t>
            </w:r>
          </w:p>
        </w:tc>
        <w:tc>
          <w:tcPr>
            <w:tcW w:w="5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742,713</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722,349</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1,950,424</w:t>
            </w:r>
          </w:p>
        </w:tc>
        <w:tc>
          <w:tcPr>
            <w:tcW w:w="2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1,542,527</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24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Freight and delivery costs</w:t>
            </w:r>
          </w:p>
        </w:tc>
        <w:tc>
          <w:tcPr>
            <w:tcW w:w="58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77,031</w:t>
            </w:r>
          </w:p>
        </w:tc>
        <w:tc>
          <w:tcPr>
            <w:tcW w:w="14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85,781</w:t>
            </w:r>
          </w:p>
        </w:tc>
        <w:tc>
          <w:tcPr>
            <w:tcW w:w="14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207,672</w:t>
            </w:r>
          </w:p>
        </w:tc>
        <w:tc>
          <w:tcPr>
            <w:tcW w:w="22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202,021</w:t>
            </w:r>
          </w:p>
        </w:tc>
        <w:tc>
          <w:tcPr>
            <w:tcW w:w="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240" w:type="dxa"/>
            <w:vAlign w:val="bottom"/>
            <w:shd w:val="clear" w:color="auto" w:fill="CFF0FC"/>
          </w:tcPr>
          <w:p>
            <w:pPr>
              <w:ind w:left="240"/>
              <w:spacing w:after="0" w:line="155" w:lineRule="exact"/>
              <w:rPr>
                <w:sz w:val="20"/>
                <w:szCs w:val="20"/>
                <w:color w:val="auto"/>
              </w:rPr>
            </w:pPr>
            <w:r>
              <w:rPr>
                <w:rFonts w:ascii="Arial" w:cs="Arial" w:eastAsia="Arial" w:hAnsi="Arial"/>
                <w:sz w:val="14"/>
                <w:szCs w:val="14"/>
                <w:color w:val="auto"/>
              </w:rPr>
              <w:t>Total cost of revenues</w:t>
            </w:r>
          </w:p>
        </w:tc>
        <w:tc>
          <w:tcPr>
            <w:tcW w:w="580" w:type="dxa"/>
            <w:vAlign w:val="bottom"/>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11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819,744</w:t>
            </w: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340" w:type="dxa"/>
            <w:vAlign w:val="bottom"/>
            <w:tcBorders>
              <w:bottom w:val="single" w:sz="8" w:color="auto"/>
            </w:tcBorders>
            <w:shd w:val="clear" w:color="auto" w:fill="CFF0FC"/>
          </w:tcPr>
          <w:p>
            <w:pPr>
              <w:spacing w:after="0"/>
              <w:rPr>
                <w:sz w:val="13"/>
                <w:szCs w:val="13"/>
                <w:color w:val="auto"/>
              </w:rPr>
            </w:pPr>
          </w:p>
        </w:tc>
        <w:tc>
          <w:tcPr>
            <w:tcW w:w="80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808,130</w:t>
            </w: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110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2,158,096</w:t>
            </w:r>
          </w:p>
        </w:tc>
        <w:tc>
          <w:tcPr>
            <w:tcW w:w="22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460" w:type="dxa"/>
            <w:vAlign w:val="bottom"/>
            <w:tcBorders>
              <w:bottom w:val="single" w:sz="8" w:color="auto"/>
            </w:tcBorders>
            <w:shd w:val="clear" w:color="auto" w:fill="CFF0FC"/>
          </w:tcPr>
          <w:p>
            <w:pPr>
              <w:spacing w:after="0"/>
              <w:rPr>
                <w:sz w:val="13"/>
                <w:szCs w:val="13"/>
                <w:color w:val="auto"/>
              </w:rPr>
            </w:pPr>
          </w:p>
        </w:tc>
        <w:tc>
          <w:tcPr>
            <w:tcW w:w="76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1,744,548</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5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240" w:type="dxa"/>
            <w:vAlign w:val="bottom"/>
            <w:shd w:val="clear" w:color="auto" w:fill="CFF0FC"/>
          </w:tcPr>
          <w:p>
            <w:pPr>
              <w:spacing w:after="0"/>
              <w:rPr>
                <w:sz w:val="20"/>
                <w:szCs w:val="20"/>
                <w:color w:val="auto"/>
              </w:rPr>
            </w:pPr>
            <w:r>
              <w:rPr>
                <w:rFonts w:ascii="Arial" w:cs="Arial" w:eastAsia="Arial" w:hAnsi="Arial"/>
                <w:sz w:val="14"/>
                <w:szCs w:val="14"/>
                <w:color w:val="auto"/>
              </w:rPr>
              <w:t>Gross Profit</w:t>
            </w:r>
          </w:p>
        </w:tc>
        <w:tc>
          <w:tcPr>
            <w:tcW w:w="5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262,505</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195,593</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536,918</w:t>
            </w:r>
          </w:p>
        </w:tc>
        <w:tc>
          <w:tcPr>
            <w:tcW w:w="2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357,030</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5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240" w:type="dxa"/>
            <w:vAlign w:val="bottom"/>
            <w:shd w:val="clear" w:color="auto" w:fill="CFF0FC"/>
          </w:tcPr>
          <w:p>
            <w:pPr>
              <w:spacing w:after="0"/>
              <w:rPr>
                <w:sz w:val="20"/>
                <w:szCs w:val="20"/>
                <w:color w:val="auto"/>
              </w:rPr>
            </w:pPr>
            <w:r>
              <w:rPr>
                <w:rFonts w:ascii="Arial" w:cs="Arial" w:eastAsia="Arial" w:hAnsi="Arial"/>
                <w:sz w:val="14"/>
                <w:szCs w:val="14"/>
                <w:color w:val="auto"/>
              </w:rPr>
              <w:t>Selling, general &amp; administrative expenses</w:t>
            </w:r>
          </w:p>
        </w:tc>
        <w:tc>
          <w:tcPr>
            <w:tcW w:w="5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54,887</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48,427</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161,120</w:t>
            </w:r>
          </w:p>
        </w:tc>
        <w:tc>
          <w:tcPr>
            <w:tcW w:w="2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119,239</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240" w:type="dxa"/>
            <w:vAlign w:val="bottom"/>
          </w:tcPr>
          <w:p>
            <w:pPr>
              <w:spacing w:after="0"/>
              <w:rPr>
                <w:sz w:val="20"/>
                <w:szCs w:val="20"/>
                <w:color w:val="auto"/>
              </w:rPr>
            </w:pPr>
            <w:r>
              <w:rPr>
                <w:rFonts w:ascii="Arial" w:cs="Arial" w:eastAsia="Arial" w:hAnsi="Arial"/>
                <w:sz w:val="14"/>
                <w:szCs w:val="14"/>
                <w:color w:val="auto"/>
              </w:rPr>
              <w:t>Acquisition-related expenses, net</w:t>
            </w: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2,087</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26,118</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5,783</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41,178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240" w:type="dxa"/>
            <w:vAlign w:val="bottom"/>
            <w:shd w:val="clear" w:color="auto" w:fill="CFF0FC"/>
          </w:tcPr>
          <w:p>
            <w:pPr>
              <w:spacing w:after="0"/>
              <w:rPr>
                <w:sz w:val="20"/>
                <w:szCs w:val="20"/>
                <w:color w:val="auto"/>
              </w:rPr>
            </w:pPr>
            <w:r>
              <w:rPr>
                <w:rFonts w:ascii="Arial" w:cs="Arial" w:eastAsia="Arial" w:hAnsi="Arial"/>
                <w:sz w:val="14"/>
                <w:szCs w:val="14"/>
                <w:color w:val="auto"/>
              </w:rPr>
              <w:t>Other operating expenses, net</w:t>
            </w:r>
          </w:p>
        </w:tc>
        <w:tc>
          <w:tcPr>
            <w:tcW w:w="580" w:type="dxa"/>
            <w:vAlign w:val="bottom"/>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26,033</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340" w:type="dxa"/>
            <w:vAlign w:val="bottom"/>
            <w:tcBorders>
              <w:bottom w:val="single" w:sz="8" w:color="auto"/>
            </w:tcBorders>
            <w:shd w:val="clear" w:color="auto" w:fill="CFF0FC"/>
          </w:tcPr>
          <w:p>
            <w:pPr>
              <w:spacing w:after="0"/>
              <w:rPr>
                <w:sz w:val="14"/>
                <w:szCs w:val="14"/>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5,092</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27,963</w:t>
            </w:r>
          </w:p>
        </w:tc>
        <w:tc>
          <w:tcPr>
            <w:tcW w:w="2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460" w:type="dxa"/>
            <w:vAlign w:val="bottom"/>
            <w:tcBorders>
              <w:bottom w:val="single" w:sz="8" w:color="auto"/>
            </w:tcBorders>
            <w:shd w:val="clear" w:color="auto" w:fill="CFF0FC"/>
          </w:tcPr>
          <w:p>
            <w:pPr>
              <w:spacing w:after="0"/>
              <w:rPr>
                <w:sz w:val="14"/>
                <w:szCs w:val="14"/>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313</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240" w:type="dxa"/>
            <w:vAlign w:val="bottom"/>
          </w:tcPr>
          <w:p>
            <w:pPr>
              <w:ind w:left="240"/>
              <w:spacing w:after="0" w:line="155" w:lineRule="exact"/>
              <w:rPr>
                <w:sz w:val="20"/>
                <w:szCs w:val="20"/>
                <w:color w:val="auto"/>
              </w:rPr>
            </w:pPr>
            <w:r>
              <w:rPr>
                <w:rFonts w:ascii="Arial" w:cs="Arial" w:eastAsia="Arial" w:hAnsi="Arial"/>
                <w:sz w:val="14"/>
                <w:szCs w:val="14"/>
                <w:color w:val="auto"/>
              </w:rPr>
              <w:t>Earnings from Operations</w:t>
            </w: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jc w:val="right"/>
              <w:spacing w:after="0" w:line="155" w:lineRule="exact"/>
              <w:rPr>
                <w:sz w:val="20"/>
                <w:szCs w:val="20"/>
                <w:color w:val="auto"/>
              </w:rPr>
            </w:pPr>
            <w:r>
              <w:rPr>
                <w:rFonts w:ascii="Arial" w:cs="Arial" w:eastAsia="Arial" w:hAnsi="Arial"/>
                <w:sz w:val="14"/>
                <w:szCs w:val="14"/>
                <w:color w:val="auto"/>
              </w:rPr>
              <w:t>179,498</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tcPr>
          <w:p>
            <w:pPr>
              <w:jc w:val="right"/>
              <w:spacing w:after="0" w:line="155" w:lineRule="exact"/>
              <w:rPr>
                <w:sz w:val="20"/>
                <w:szCs w:val="20"/>
                <w:color w:val="auto"/>
              </w:rPr>
            </w:pPr>
            <w:r>
              <w:rPr>
                <w:rFonts w:ascii="Arial" w:cs="Arial" w:eastAsia="Arial" w:hAnsi="Arial"/>
                <w:sz w:val="14"/>
                <w:szCs w:val="14"/>
                <w:color w:val="auto"/>
              </w:rPr>
              <w:t>115,956</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jc w:val="right"/>
              <w:spacing w:after="0" w:line="155" w:lineRule="exact"/>
              <w:rPr>
                <w:sz w:val="20"/>
                <w:szCs w:val="20"/>
                <w:color w:val="auto"/>
              </w:rPr>
            </w:pPr>
            <w:r>
              <w:rPr>
                <w:rFonts w:ascii="Arial" w:cs="Arial" w:eastAsia="Arial" w:hAnsi="Arial"/>
                <w:sz w:val="14"/>
                <w:szCs w:val="14"/>
                <w:color w:val="auto"/>
              </w:rPr>
              <w:t>342,052</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60" w:type="dxa"/>
            <w:vAlign w:val="bottom"/>
          </w:tcPr>
          <w:p>
            <w:pPr>
              <w:jc w:val="right"/>
              <w:spacing w:after="0" w:line="155" w:lineRule="exact"/>
              <w:rPr>
                <w:sz w:val="20"/>
                <w:szCs w:val="20"/>
                <w:color w:val="auto"/>
              </w:rPr>
            </w:pPr>
            <w:r>
              <w:rPr>
                <w:rFonts w:ascii="Arial" w:cs="Arial" w:eastAsia="Arial" w:hAnsi="Arial"/>
                <w:sz w:val="14"/>
                <w:szCs w:val="14"/>
                <w:color w:val="auto"/>
              </w:rPr>
              <w:t>196,300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524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240" w:type="dxa"/>
            <w:vAlign w:val="bottom"/>
          </w:tcPr>
          <w:p>
            <w:pPr>
              <w:spacing w:after="0"/>
              <w:rPr>
                <w:sz w:val="20"/>
                <w:szCs w:val="20"/>
                <w:color w:val="auto"/>
              </w:rPr>
            </w:pPr>
            <w:r>
              <w:rPr>
                <w:rFonts w:ascii="Arial" w:cs="Arial" w:eastAsia="Arial" w:hAnsi="Arial"/>
                <w:sz w:val="14"/>
                <w:szCs w:val="14"/>
                <w:color w:val="auto"/>
              </w:rPr>
              <w:t>Interest expense</w:t>
            </w: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18,926</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19,805</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57,344</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44,954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240" w:type="dxa"/>
            <w:vAlign w:val="bottom"/>
            <w:shd w:val="clear" w:color="auto" w:fill="CFF0FC"/>
          </w:tcPr>
          <w:p>
            <w:pPr>
              <w:spacing w:after="0"/>
              <w:rPr>
                <w:sz w:val="20"/>
                <w:szCs w:val="20"/>
                <w:color w:val="auto"/>
              </w:rPr>
            </w:pPr>
            <w:r>
              <w:rPr>
                <w:rFonts w:ascii="Arial" w:cs="Arial" w:eastAsia="Arial" w:hAnsi="Arial"/>
                <w:sz w:val="14"/>
                <w:szCs w:val="14"/>
                <w:color w:val="auto"/>
              </w:rPr>
              <w:t>Other nonoperating (income) and expenses, net</w:t>
            </w:r>
          </w:p>
        </w:tc>
        <w:tc>
          <w:tcPr>
            <w:tcW w:w="5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(4,489)</w:t>
            </w:r>
          </w:p>
        </w:tc>
        <w:tc>
          <w:tcPr>
            <w:tcW w:w="8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(1,841)</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3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(6,607)</w:t>
            </w:r>
          </w:p>
        </w:tc>
        <w:tc>
          <w:tcPr>
            <w:tcW w:w="2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1,330</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240" w:type="dxa"/>
            <w:vAlign w:val="bottom"/>
          </w:tcPr>
          <w:p>
            <w:pPr>
              <w:ind w:left="240"/>
              <w:spacing w:after="0" w:line="155" w:lineRule="exact"/>
              <w:rPr>
                <w:sz w:val="20"/>
                <w:szCs w:val="20"/>
                <w:color w:val="auto"/>
              </w:rPr>
            </w:pPr>
            <w:r>
              <w:rPr>
                <w:rFonts w:ascii="Arial" w:cs="Arial" w:eastAsia="Arial" w:hAnsi="Arial"/>
                <w:sz w:val="14"/>
                <w:szCs w:val="14"/>
                <w:color w:val="auto"/>
              </w:rPr>
              <w:t>Earnings from continuing operations before taxes on income</w:t>
            </w:r>
          </w:p>
        </w:tc>
        <w:tc>
          <w:tcPr>
            <w:tcW w:w="5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165,061</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97,992</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291,315</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150,016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240" w:type="dxa"/>
            <w:vAlign w:val="bottom"/>
            <w:shd w:val="clear" w:color="auto" w:fill="CFF0FC"/>
          </w:tcPr>
          <w:p>
            <w:pPr>
              <w:spacing w:after="0"/>
              <w:rPr>
                <w:sz w:val="20"/>
                <w:szCs w:val="20"/>
                <w:color w:val="auto"/>
              </w:rPr>
            </w:pPr>
            <w:r>
              <w:rPr>
                <w:rFonts w:ascii="Arial" w:cs="Arial" w:eastAsia="Arial" w:hAnsi="Arial"/>
                <w:sz w:val="14"/>
                <w:szCs w:val="14"/>
                <w:color w:val="auto"/>
              </w:rPr>
              <w:t>Taxes on income</w:t>
            </w:r>
          </w:p>
        </w:tc>
        <w:tc>
          <w:tcPr>
            <w:tcW w:w="580" w:type="dxa"/>
            <w:vAlign w:val="bottom"/>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47,483</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340" w:type="dxa"/>
            <w:vAlign w:val="bottom"/>
            <w:tcBorders>
              <w:bottom w:val="single" w:sz="8" w:color="auto"/>
            </w:tcBorders>
            <w:shd w:val="clear" w:color="auto" w:fill="CFF0FC"/>
          </w:tcPr>
          <w:p>
            <w:pPr>
              <w:spacing w:after="0"/>
              <w:rPr>
                <w:sz w:val="14"/>
                <w:szCs w:val="14"/>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44,089</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85,600</w:t>
            </w:r>
          </w:p>
        </w:tc>
        <w:tc>
          <w:tcPr>
            <w:tcW w:w="2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460" w:type="dxa"/>
            <w:vAlign w:val="bottom"/>
            <w:tcBorders>
              <w:bottom w:val="single" w:sz="8" w:color="auto"/>
            </w:tcBorders>
            <w:shd w:val="clear" w:color="auto" w:fill="CFF0FC"/>
          </w:tcPr>
          <w:p>
            <w:pPr>
              <w:spacing w:after="0"/>
              <w:rPr>
                <w:sz w:val="14"/>
                <w:szCs w:val="14"/>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59,571</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240" w:type="dxa"/>
            <w:vAlign w:val="bottom"/>
          </w:tcPr>
          <w:p>
            <w:pPr>
              <w:ind w:left="240"/>
              <w:spacing w:after="0" w:line="155" w:lineRule="exact"/>
              <w:rPr>
                <w:sz w:val="20"/>
                <w:szCs w:val="20"/>
                <w:color w:val="auto"/>
              </w:rPr>
            </w:pPr>
            <w:r>
              <w:rPr>
                <w:rFonts w:ascii="Arial" w:cs="Arial" w:eastAsia="Arial" w:hAnsi="Arial"/>
                <w:sz w:val="14"/>
                <w:szCs w:val="14"/>
                <w:color w:val="auto"/>
              </w:rPr>
              <w:t>Earnings from Continuing Operations</w:t>
            </w: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jc w:val="right"/>
              <w:spacing w:after="0" w:line="155" w:lineRule="exact"/>
              <w:rPr>
                <w:sz w:val="20"/>
                <w:szCs w:val="20"/>
                <w:color w:val="auto"/>
              </w:rPr>
            </w:pPr>
            <w:r>
              <w:rPr>
                <w:rFonts w:ascii="Arial" w:cs="Arial" w:eastAsia="Arial" w:hAnsi="Arial"/>
                <w:sz w:val="14"/>
                <w:szCs w:val="14"/>
                <w:color w:val="auto"/>
              </w:rPr>
              <w:t>117,578</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tcPr>
          <w:p>
            <w:pPr>
              <w:jc w:val="right"/>
              <w:spacing w:after="0" w:line="155" w:lineRule="exact"/>
              <w:rPr>
                <w:sz w:val="20"/>
                <w:szCs w:val="20"/>
                <w:color w:val="auto"/>
              </w:rPr>
            </w:pPr>
            <w:r>
              <w:rPr>
                <w:rFonts w:ascii="Arial" w:cs="Arial" w:eastAsia="Arial" w:hAnsi="Arial"/>
                <w:sz w:val="14"/>
                <w:szCs w:val="14"/>
                <w:color w:val="auto"/>
              </w:rPr>
              <w:t>53,903</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jc w:val="right"/>
              <w:spacing w:after="0" w:line="155" w:lineRule="exact"/>
              <w:rPr>
                <w:sz w:val="20"/>
                <w:szCs w:val="20"/>
                <w:color w:val="auto"/>
              </w:rPr>
            </w:pPr>
            <w:r>
              <w:rPr>
                <w:rFonts w:ascii="Arial" w:cs="Arial" w:eastAsia="Arial" w:hAnsi="Arial"/>
                <w:sz w:val="14"/>
                <w:szCs w:val="14"/>
                <w:color w:val="auto"/>
              </w:rPr>
              <w:t>205,715</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60" w:type="dxa"/>
            <w:vAlign w:val="bottom"/>
          </w:tcPr>
          <w:p>
            <w:pPr>
              <w:jc w:val="right"/>
              <w:spacing w:after="0" w:line="155" w:lineRule="exact"/>
              <w:rPr>
                <w:sz w:val="20"/>
                <w:szCs w:val="20"/>
                <w:color w:val="auto"/>
              </w:rPr>
            </w:pPr>
            <w:r>
              <w:rPr>
                <w:rFonts w:ascii="Arial" w:cs="Arial" w:eastAsia="Arial" w:hAnsi="Arial"/>
                <w:sz w:val="14"/>
                <w:szCs w:val="14"/>
                <w:color w:val="auto"/>
              </w:rPr>
              <w:t>90,445</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524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Loss on discontinued operations, net of related tax benefit of</w:t>
            </w:r>
          </w:p>
        </w:tc>
        <w:tc>
          <w:tcPr>
            <w:tcW w:w="5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240" w:type="dxa"/>
            <w:vAlign w:val="bottom"/>
            <w:shd w:val="clear" w:color="auto" w:fill="CFF0FC"/>
          </w:tcPr>
          <w:p>
            <w:pPr>
              <w:ind w:left="160"/>
              <w:spacing w:after="0"/>
              <w:rPr>
                <w:sz w:val="20"/>
                <w:szCs w:val="20"/>
                <w:color w:val="auto"/>
              </w:rPr>
            </w:pPr>
            <w:r>
              <w:rPr>
                <w:rFonts w:ascii="Arial" w:cs="Arial" w:eastAsia="Arial" w:hAnsi="Arial"/>
                <w:sz w:val="14"/>
                <w:szCs w:val="14"/>
                <w:color w:val="auto"/>
              </w:rPr>
              <w:t>$28 and $53, respectively</w:t>
            </w:r>
          </w:p>
        </w:tc>
        <w:tc>
          <w:tcPr>
            <w:tcW w:w="5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(69)</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3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(140)</w:t>
            </w:r>
          </w:p>
        </w:tc>
        <w:tc>
          <w:tcPr>
            <w:tcW w:w="0" w:type="dxa"/>
            <w:vAlign w:val="bottom"/>
          </w:tcPr>
          <w:p>
            <w:pPr>
              <w:spacing w:after="0"/>
              <w:rPr>
                <w:sz w:val="1"/>
                <w:szCs w:val="1"/>
                <w:color w:val="auto"/>
              </w:rPr>
            </w:pPr>
          </w:p>
        </w:tc>
      </w:tr>
      <w:tr>
        <w:trPr>
          <w:trHeight w:val="156"/>
        </w:trPr>
        <w:tc>
          <w:tcPr>
            <w:tcW w:w="5260" w:type="dxa"/>
            <w:vAlign w:val="bottom"/>
            <w:gridSpan w:val="2"/>
          </w:tcPr>
          <w:p>
            <w:pPr>
              <w:spacing w:after="0" w:line="155" w:lineRule="exact"/>
              <w:rPr>
                <w:sz w:val="20"/>
                <w:szCs w:val="20"/>
                <w:color w:val="auto"/>
              </w:rPr>
            </w:pPr>
            <w:r>
              <w:rPr>
                <w:rFonts w:ascii="Arial" w:cs="Arial" w:eastAsia="Arial" w:hAnsi="Arial"/>
                <w:sz w:val="14"/>
                <w:szCs w:val="14"/>
                <w:color w:val="auto"/>
              </w:rPr>
              <w:t>Consolidated net earnings</w:t>
            </w:r>
          </w:p>
        </w:tc>
        <w:tc>
          <w:tcPr>
            <w:tcW w:w="5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117,578</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53,834</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205,715</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90,305</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240" w:type="dxa"/>
            <w:vAlign w:val="bottom"/>
            <w:shd w:val="clear" w:color="auto" w:fill="CFF0FC"/>
          </w:tcPr>
          <w:p>
            <w:pPr>
              <w:spacing w:after="0"/>
              <w:rPr>
                <w:sz w:val="20"/>
                <w:szCs w:val="20"/>
                <w:color w:val="auto"/>
              </w:rPr>
            </w:pPr>
            <w:r>
              <w:rPr>
                <w:rFonts w:ascii="Arial" w:cs="Arial" w:eastAsia="Arial" w:hAnsi="Arial"/>
                <w:sz w:val="14"/>
                <w:szCs w:val="14"/>
                <w:color w:val="auto"/>
              </w:rPr>
              <w:t>Less: Net earnings (loss) attributable to noncontrolling interests</w:t>
            </w:r>
          </w:p>
        </w:tc>
        <w:tc>
          <w:tcPr>
            <w:tcW w:w="5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34</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91</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108</w:t>
            </w:r>
          </w:p>
        </w:tc>
        <w:tc>
          <w:tcPr>
            <w:tcW w:w="2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(1,341)</w:t>
            </w:r>
          </w:p>
        </w:tc>
        <w:tc>
          <w:tcPr>
            <w:tcW w:w="0" w:type="dxa"/>
            <w:vAlign w:val="bottom"/>
          </w:tcPr>
          <w:p>
            <w:pPr>
              <w:spacing w:after="0"/>
              <w:rPr>
                <w:sz w:val="1"/>
                <w:szCs w:val="1"/>
                <w:color w:val="auto"/>
              </w:rPr>
            </w:pPr>
          </w:p>
        </w:tc>
      </w:tr>
      <w:tr>
        <w:trPr>
          <w:trHeight w:val="156"/>
        </w:trPr>
        <w:tc>
          <w:tcPr>
            <w:tcW w:w="5260" w:type="dxa"/>
            <w:vAlign w:val="bottom"/>
            <w:gridSpan w:val="2"/>
          </w:tcPr>
          <w:p>
            <w:pPr>
              <w:spacing w:after="0" w:line="155" w:lineRule="exact"/>
              <w:rPr>
                <w:sz w:val="20"/>
                <w:szCs w:val="20"/>
                <w:color w:val="auto"/>
              </w:rPr>
            </w:pPr>
            <w:r>
              <w:rPr>
                <w:rFonts w:ascii="Arial" w:cs="Arial" w:eastAsia="Arial" w:hAnsi="Arial"/>
                <w:sz w:val="14"/>
                <w:szCs w:val="14"/>
                <w:color w:val="auto"/>
              </w:rPr>
              <w:t>Net Earnings Attributable to Martin Marietta Materials, Inc.</w:t>
            </w:r>
          </w:p>
        </w:tc>
        <w:tc>
          <w:tcPr>
            <w:tcW w:w="58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117,544</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Borders>
              <w:top w:val="single" w:sz="8" w:color="auto"/>
              <w:bottom w:val="single" w:sz="8" w:color="auto"/>
            </w:tcBorders>
          </w:tcPr>
          <w:p>
            <w:pPr>
              <w:jc w:val="right"/>
              <w:ind w:right="188"/>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53,743</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205,607</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Borders>
              <w:top w:val="single" w:sz="8" w:color="auto"/>
              <w:bottom w:val="single" w:sz="8" w:color="auto"/>
            </w:tcBorders>
          </w:tcPr>
          <w:p>
            <w:pPr>
              <w:jc w:val="right"/>
              <w:ind w:right="349"/>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91,646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260" w:type="dxa"/>
            <w:vAlign w:val="bottom"/>
            <w:gridSpan w:val="2"/>
            <w:vMerge w:val="restart"/>
          </w:tcPr>
          <w:p>
            <w:pPr>
              <w:spacing w:after="0"/>
              <w:rPr>
                <w:sz w:val="20"/>
                <w:szCs w:val="20"/>
                <w:color w:val="auto"/>
              </w:rPr>
            </w:pPr>
            <w:r>
              <w:rPr>
                <w:rFonts w:ascii="Arial" w:cs="Arial" w:eastAsia="Arial" w:hAnsi="Arial"/>
                <w:sz w:val="14"/>
                <w:szCs w:val="14"/>
                <w:color w:val="auto"/>
              </w:rPr>
              <w:t>Net Earnings (Loss) Attributable to Martin Marietta Materials, Inc.:</w:t>
            </w:r>
          </w:p>
        </w:tc>
        <w:tc>
          <w:tcPr>
            <w:tcW w:w="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5260" w:type="dxa"/>
            <w:vAlign w:val="bottom"/>
            <w:gridSpan w:val="2"/>
            <w:vMerge w:val="continue"/>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240" w:type="dxa"/>
            <w:vAlign w:val="bottom"/>
            <w:shd w:val="clear" w:color="auto" w:fill="CFF0FC"/>
          </w:tcPr>
          <w:p>
            <w:pPr>
              <w:ind w:left="240"/>
              <w:spacing w:after="0"/>
              <w:rPr>
                <w:sz w:val="20"/>
                <w:szCs w:val="20"/>
                <w:color w:val="auto"/>
              </w:rPr>
            </w:pPr>
            <w:r>
              <w:rPr>
                <w:rFonts w:ascii="Arial" w:cs="Arial" w:eastAsia="Arial" w:hAnsi="Arial"/>
                <w:sz w:val="14"/>
                <w:szCs w:val="14"/>
                <w:color w:val="auto"/>
              </w:rPr>
              <w:t>Earnings from continuing operations</w:t>
            </w:r>
          </w:p>
        </w:tc>
        <w:tc>
          <w:tcPr>
            <w:tcW w:w="7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117,544</w:t>
            </w:r>
          </w:p>
        </w:tc>
        <w:tc>
          <w:tcPr>
            <w:tcW w:w="140" w:type="dxa"/>
            <w:vAlign w:val="bottom"/>
            <w:shd w:val="clear" w:color="auto" w:fill="CFF0FC"/>
          </w:tcPr>
          <w:p>
            <w:pPr>
              <w:spacing w:after="0"/>
              <w:rPr>
                <w:sz w:val="14"/>
                <w:szCs w:val="14"/>
                <w:color w:val="auto"/>
              </w:rPr>
            </w:pPr>
          </w:p>
        </w:tc>
        <w:tc>
          <w:tcPr>
            <w:tcW w:w="420" w:type="dxa"/>
            <w:vAlign w:val="bottom"/>
            <w:gridSpan w:val="2"/>
            <w:shd w:val="clear" w:color="auto" w:fill="CFF0FC"/>
          </w:tcPr>
          <w:p>
            <w:pPr>
              <w:jc w:val="right"/>
              <w:ind w:right="188"/>
              <w:spacing w:after="0"/>
              <w:rPr>
                <w:sz w:val="20"/>
                <w:szCs w:val="20"/>
                <w:color w:val="auto"/>
              </w:rPr>
            </w:pPr>
            <w:r>
              <w:rPr>
                <w:rFonts w:ascii="Arial" w:cs="Arial" w:eastAsia="Arial" w:hAnsi="Arial"/>
                <w:sz w:val="14"/>
                <w:szCs w:val="14"/>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53,812</w:t>
            </w:r>
          </w:p>
        </w:tc>
        <w:tc>
          <w:tcPr>
            <w:tcW w:w="140" w:type="dxa"/>
            <w:vAlign w:val="bottom"/>
            <w:shd w:val="clear" w:color="auto" w:fill="CFF0FC"/>
          </w:tcPr>
          <w:p>
            <w:pPr>
              <w:spacing w:after="0"/>
              <w:rPr>
                <w:sz w:val="14"/>
                <w:szCs w:val="14"/>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205,607</w:t>
            </w:r>
          </w:p>
        </w:tc>
        <w:tc>
          <w:tcPr>
            <w:tcW w:w="220" w:type="dxa"/>
            <w:vAlign w:val="bottom"/>
            <w:shd w:val="clear" w:color="auto" w:fill="CFF0FC"/>
          </w:tcPr>
          <w:p>
            <w:pPr>
              <w:spacing w:after="0"/>
              <w:rPr>
                <w:sz w:val="14"/>
                <w:szCs w:val="14"/>
                <w:color w:val="auto"/>
              </w:rPr>
            </w:pPr>
          </w:p>
        </w:tc>
        <w:tc>
          <w:tcPr>
            <w:tcW w:w="480" w:type="dxa"/>
            <w:vAlign w:val="bottom"/>
            <w:gridSpan w:val="2"/>
            <w:shd w:val="clear" w:color="auto" w:fill="CFF0FC"/>
          </w:tcPr>
          <w:p>
            <w:pPr>
              <w:jc w:val="right"/>
              <w:ind w:right="349"/>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91,786</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240" w:type="dxa"/>
            <w:vAlign w:val="bottom"/>
          </w:tcPr>
          <w:p>
            <w:pPr>
              <w:ind w:left="240"/>
              <w:spacing w:after="0"/>
              <w:rPr>
                <w:sz w:val="20"/>
                <w:szCs w:val="20"/>
                <w:color w:val="auto"/>
              </w:rPr>
            </w:pPr>
            <w:r>
              <w:rPr>
                <w:rFonts w:ascii="Arial" w:cs="Arial" w:eastAsia="Arial" w:hAnsi="Arial"/>
                <w:sz w:val="14"/>
                <w:szCs w:val="14"/>
                <w:color w:val="auto"/>
              </w:rPr>
              <w:t>Loss from discontinued operations</w:t>
            </w: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4"/>
                <w:szCs w:val="14"/>
                <w:color w:val="auto"/>
              </w:rPr>
              <w:t>(69)</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4"/>
                <w:szCs w:val="14"/>
                <w:color w:val="auto"/>
              </w:rPr>
              <w:t>(140)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240" w:type="dxa"/>
            <w:vAlign w:val="bottom"/>
            <w:tcBorders>
              <w:top w:val="single" w:sz="8" w:color="CFF0FC"/>
              <w:bottom w:val="single" w:sz="8" w:color="CFF0FC"/>
            </w:tcBorders>
            <w:shd w:val="clear" w:color="auto" w:fill="CFF0FC"/>
          </w:tcPr>
          <w:p>
            <w:pPr>
              <w:spacing w:after="0"/>
              <w:rPr>
                <w:sz w:val="13"/>
                <w:szCs w:val="13"/>
                <w:color w:val="auto"/>
              </w:rPr>
            </w:pPr>
          </w:p>
        </w:tc>
        <w:tc>
          <w:tcPr>
            <w:tcW w:w="58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117,544</w:t>
            </w:r>
          </w:p>
        </w:tc>
        <w:tc>
          <w:tcPr>
            <w:tcW w:w="14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340" w:type="dxa"/>
            <w:vAlign w:val="bottom"/>
            <w:tcBorders>
              <w:top w:val="single" w:sz="8" w:color="auto"/>
              <w:bottom w:val="single" w:sz="8" w:color="auto"/>
            </w:tcBorders>
            <w:shd w:val="clear" w:color="auto" w:fill="CFF0FC"/>
          </w:tcPr>
          <w:p>
            <w:pPr>
              <w:jc w:val="right"/>
              <w:ind w:right="188"/>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53,743</w:t>
            </w:r>
          </w:p>
        </w:tc>
        <w:tc>
          <w:tcPr>
            <w:tcW w:w="14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1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205,607</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20" w:type="dxa"/>
            <w:vAlign w:val="bottom"/>
            <w:tcBorders>
              <w:top w:val="single" w:sz="8" w:color="CFF0FC"/>
              <w:bottom w:val="single" w:sz="8" w:color="CFF0FC"/>
            </w:tcBorders>
            <w:shd w:val="clear" w:color="auto" w:fill="CFF0FC"/>
          </w:tcPr>
          <w:p>
            <w:pPr>
              <w:spacing w:after="0"/>
              <w:rPr>
                <w:sz w:val="13"/>
                <w:szCs w:val="13"/>
                <w:color w:val="auto"/>
              </w:rPr>
            </w:pPr>
          </w:p>
        </w:tc>
        <w:tc>
          <w:tcPr>
            <w:tcW w:w="460" w:type="dxa"/>
            <w:vAlign w:val="bottom"/>
            <w:tcBorders>
              <w:top w:val="single" w:sz="8" w:color="auto"/>
              <w:bottom w:val="single" w:sz="8" w:color="auto"/>
            </w:tcBorders>
            <w:shd w:val="clear" w:color="auto" w:fill="CFF0FC"/>
          </w:tcPr>
          <w:p>
            <w:pPr>
              <w:jc w:val="right"/>
              <w:ind w:right="349"/>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91,646</w:t>
            </w: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vMerge w:val="restart"/>
          </w:tcPr>
          <w:p>
            <w:pPr>
              <w:spacing w:after="0"/>
              <w:rPr>
                <w:sz w:val="12"/>
                <w:szCs w:val="12"/>
                <w:color w:val="auto"/>
              </w:rPr>
            </w:pPr>
          </w:p>
        </w:tc>
        <w:tc>
          <w:tcPr>
            <w:tcW w:w="5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240" w:type="dxa"/>
            <w:vAlign w:val="bottom"/>
            <w:shd w:val="clear" w:color="auto" w:fill="CFF0FC"/>
          </w:tcPr>
          <w:p>
            <w:pPr>
              <w:spacing w:after="0"/>
              <w:rPr>
                <w:sz w:val="20"/>
                <w:szCs w:val="20"/>
                <w:color w:val="auto"/>
              </w:rPr>
            </w:pPr>
            <w:r>
              <w:rPr>
                <w:rFonts w:ascii="Arial" w:cs="Arial" w:eastAsia="Arial" w:hAnsi="Arial"/>
                <w:sz w:val="14"/>
                <w:szCs w:val="14"/>
                <w:color w:val="auto"/>
              </w:rPr>
              <w:t>Consolidated Comprehensive Earnings: (See Note 1)</w:t>
            </w:r>
          </w:p>
        </w:tc>
        <w:tc>
          <w:tcPr>
            <w:tcW w:w="5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240" w:type="dxa"/>
            <w:vAlign w:val="bottom"/>
          </w:tcPr>
          <w:p>
            <w:pPr>
              <w:ind w:left="240"/>
              <w:spacing w:after="0"/>
              <w:rPr>
                <w:sz w:val="20"/>
                <w:szCs w:val="20"/>
                <w:color w:val="auto"/>
              </w:rPr>
            </w:pPr>
            <w:r>
              <w:rPr>
                <w:rFonts w:ascii="Arial" w:cs="Arial" w:eastAsia="Arial" w:hAnsi="Arial"/>
                <w:sz w:val="14"/>
                <w:szCs w:val="14"/>
                <w:color w:val="auto"/>
              </w:rPr>
              <w:t>Earnings attributable to Martin Marietta Materials, Inc.</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117,616</w:t>
            </w:r>
          </w:p>
        </w:tc>
        <w:tc>
          <w:tcPr>
            <w:tcW w:w="140" w:type="dxa"/>
            <w:vAlign w:val="bottom"/>
          </w:tcPr>
          <w:p>
            <w:pPr>
              <w:spacing w:after="0"/>
              <w:rPr>
                <w:sz w:val="14"/>
                <w:szCs w:val="14"/>
                <w:color w:val="auto"/>
              </w:rPr>
            </w:pPr>
          </w:p>
        </w:tc>
        <w:tc>
          <w:tcPr>
            <w:tcW w:w="42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52,603</w:t>
            </w:r>
          </w:p>
        </w:tc>
        <w:tc>
          <w:tcPr>
            <w:tcW w:w="140" w:type="dxa"/>
            <w:vAlign w:val="bottom"/>
          </w:tcPr>
          <w:p>
            <w:pPr>
              <w:spacing w:after="0"/>
              <w:rPr>
                <w:sz w:val="14"/>
                <w:szCs w:val="14"/>
                <w:color w:val="auto"/>
              </w:rPr>
            </w:pP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199,024</w:t>
            </w:r>
          </w:p>
        </w:tc>
        <w:tc>
          <w:tcPr>
            <w:tcW w:w="220" w:type="dxa"/>
            <w:vAlign w:val="bottom"/>
          </w:tcPr>
          <w:p>
            <w:pPr>
              <w:spacing w:after="0"/>
              <w:rPr>
                <w:sz w:val="14"/>
                <w:szCs w:val="14"/>
                <w:color w:val="auto"/>
              </w:rPr>
            </w:pPr>
          </w:p>
        </w:tc>
        <w:tc>
          <w:tcPr>
            <w:tcW w:w="480" w:type="dxa"/>
            <w:vAlign w:val="bottom"/>
            <w:gridSpan w:val="2"/>
          </w:tcPr>
          <w:p>
            <w:pPr>
              <w:jc w:val="right"/>
              <w:ind w:right="349"/>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92,479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240" w:type="dxa"/>
            <w:vAlign w:val="bottom"/>
            <w:shd w:val="clear" w:color="auto" w:fill="CFF0FC"/>
          </w:tcPr>
          <w:p>
            <w:pPr>
              <w:ind w:left="240"/>
              <w:spacing w:after="0"/>
              <w:rPr>
                <w:sz w:val="20"/>
                <w:szCs w:val="20"/>
                <w:color w:val="auto"/>
              </w:rPr>
            </w:pPr>
            <w:r>
              <w:rPr>
                <w:rFonts w:ascii="Arial" w:cs="Arial" w:eastAsia="Arial" w:hAnsi="Arial"/>
                <w:sz w:val="14"/>
                <w:szCs w:val="14"/>
                <w:color w:val="auto"/>
              </w:rPr>
              <w:t>Earnings (Loss) attributable to noncontrolling interests</w:t>
            </w:r>
          </w:p>
        </w:tc>
        <w:tc>
          <w:tcPr>
            <w:tcW w:w="5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37</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93</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116</w:t>
            </w:r>
          </w:p>
        </w:tc>
        <w:tc>
          <w:tcPr>
            <w:tcW w:w="2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(1,337)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40" w:type="dxa"/>
            <w:vAlign w:val="bottom"/>
            <w:tcBorders>
              <w:bottom w:val="single" w:sz="8" w:color="CFF0FC"/>
            </w:tcBorders>
          </w:tcPr>
          <w:p>
            <w:pPr>
              <w:spacing w:after="0"/>
              <w:rPr>
                <w:sz w:val="17"/>
                <w:szCs w:val="17"/>
                <w:color w:val="auto"/>
              </w:rPr>
            </w:pPr>
          </w:p>
        </w:tc>
        <w:tc>
          <w:tcPr>
            <w:tcW w:w="580" w:type="dxa"/>
            <w:vAlign w:val="bottom"/>
            <w:tcBorders>
              <w:bottom w:val="single" w:sz="8" w:color="CFF0FC"/>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117,653</w:t>
            </w:r>
          </w:p>
        </w:tc>
        <w:tc>
          <w:tcPr>
            <w:tcW w:w="14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340" w:type="dxa"/>
            <w:vAlign w:val="bottom"/>
            <w:tcBorders>
              <w:top w:val="single" w:sz="8" w:color="auto"/>
              <w:bottom w:val="single" w:sz="8" w:color="auto"/>
            </w:tcBorders>
          </w:tcPr>
          <w:p>
            <w:pPr>
              <w:jc w:val="right"/>
              <w:ind w:right="188"/>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52,696</w:t>
            </w:r>
          </w:p>
        </w:tc>
        <w:tc>
          <w:tcPr>
            <w:tcW w:w="14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199,140</w:t>
            </w:r>
          </w:p>
        </w:tc>
        <w:tc>
          <w:tcPr>
            <w:tcW w:w="220" w:type="dxa"/>
            <w:vAlign w:val="bottom"/>
            <w:tcBorders>
              <w:bottom w:val="single" w:sz="8" w:color="CFF0FC"/>
            </w:tcBorders>
          </w:tcPr>
          <w:p>
            <w:pPr>
              <w:spacing w:after="0"/>
              <w:rPr>
                <w:sz w:val="17"/>
                <w:szCs w:val="17"/>
                <w:color w:val="auto"/>
              </w:rPr>
            </w:pPr>
          </w:p>
        </w:tc>
        <w:tc>
          <w:tcPr>
            <w:tcW w:w="20" w:type="dxa"/>
            <w:vAlign w:val="bottom"/>
            <w:tcBorders>
              <w:bottom w:val="single" w:sz="8" w:color="CFF0FC"/>
            </w:tcBorders>
          </w:tcPr>
          <w:p>
            <w:pPr>
              <w:spacing w:after="0"/>
              <w:rPr>
                <w:sz w:val="17"/>
                <w:szCs w:val="17"/>
                <w:color w:val="auto"/>
              </w:rPr>
            </w:pPr>
          </w:p>
        </w:tc>
        <w:tc>
          <w:tcPr>
            <w:tcW w:w="460" w:type="dxa"/>
            <w:vAlign w:val="bottom"/>
            <w:tcBorders>
              <w:top w:val="single" w:sz="8" w:color="auto"/>
              <w:bottom w:val="single" w:sz="8" w:color="auto"/>
            </w:tcBorders>
          </w:tcPr>
          <w:p>
            <w:pPr>
              <w:jc w:val="right"/>
              <w:ind w:right="349"/>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91,142</w:t>
            </w:r>
          </w:p>
        </w:tc>
        <w:tc>
          <w:tcPr>
            <w:tcW w:w="8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524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Net Earnings Attributable to Martin Marietta Materials, Inc.</w:t>
            </w:r>
          </w:p>
        </w:tc>
        <w:tc>
          <w:tcPr>
            <w:tcW w:w="5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240" w:type="dxa"/>
            <w:vAlign w:val="bottom"/>
          </w:tcPr>
          <w:p>
            <w:pPr>
              <w:ind w:left="240"/>
              <w:spacing w:after="0"/>
              <w:rPr>
                <w:sz w:val="20"/>
                <w:szCs w:val="20"/>
                <w:color w:val="auto"/>
              </w:rPr>
            </w:pPr>
            <w:r>
              <w:rPr>
                <w:rFonts w:ascii="Arial" w:cs="Arial" w:eastAsia="Arial" w:hAnsi="Arial"/>
                <w:sz w:val="14"/>
                <w:szCs w:val="14"/>
                <w:color w:val="auto"/>
              </w:rPr>
              <w:t>Per Common Share:</w:t>
            </w: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240" w:type="dxa"/>
            <w:vAlign w:val="bottom"/>
            <w:shd w:val="clear" w:color="auto" w:fill="CFF0FC"/>
          </w:tcPr>
          <w:p>
            <w:pPr>
              <w:ind w:left="480"/>
              <w:spacing w:after="0"/>
              <w:rPr>
                <w:sz w:val="20"/>
                <w:szCs w:val="20"/>
                <w:color w:val="auto"/>
              </w:rPr>
            </w:pPr>
            <w:r>
              <w:rPr>
                <w:rFonts w:ascii="Arial" w:cs="Arial" w:eastAsia="Arial" w:hAnsi="Arial"/>
                <w:sz w:val="14"/>
                <w:szCs w:val="14"/>
                <w:color w:val="auto"/>
              </w:rPr>
              <w:t>Basic from continuing operations attributable to common shareholders</w:t>
            </w:r>
          </w:p>
        </w:tc>
        <w:tc>
          <w:tcPr>
            <w:tcW w:w="7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1.75</w:t>
            </w:r>
          </w:p>
        </w:tc>
        <w:tc>
          <w:tcPr>
            <w:tcW w:w="140" w:type="dxa"/>
            <w:vAlign w:val="bottom"/>
            <w:shd w:val="clear" w:color="auto" w:fill="CFF0FC"/>
          </w:tcPr>
          <w:p>
            <w:pPr>
              <w:spacing w:after="0"/>
              <w:rPr>
                <w:sz w:val="14"/>
                <w:szCs w:val="14"/>
                <w:color w:val="auto"/>
              </w:rPr>
            </w:pPr>
          </w:p>
        </w:tc>
        <w:tc>
          <w:tcPr>
            <w:tcW w:w="420" w:type="dxa"/>
            <w:vAlign w:val="bottom"/>
            <w:gridSpan w:val="2"/>
            <w:shd w:val="clear" w:color="auto" w:fill="CFF0FC"/>
          </w:tcPr>
          <w:p>
            <w:pPr>
              <w:jc w:val="right"/>
              <w:ind w:right="188"/>
              <w:spacing w:after="0"/>
              <w:rPr>
                <w:sz w:val="20"/>
                <w:szCs w:val="20"/>
                <w:color w:val="auto"/>
              </w:rPr>
            </w:pPr>
            <w:r>
              <w:rPr>
                <w:rFonts w:ascii="Arial" w:cs="Arial" w:eastAsia="Arial" w:hAnsi="Arial"/>
                <w:sz w:val="14"/>
                <w:szCs w:val="14"/>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0.80</w:t>
            </w:r>
          </w:p>
        </w:tc>
        <w:tc>
          <w:tcPr>
            <w:tcW w:w="140" w:type="dxa"/>
            <w:vAlign w:val="bottom"/>
            <w:shd w:val="clear" w:color="auto" w:fill="CFF0FC"/>
          </w:tcPr>
          <w:p>
            <w:pPr>
              <w:spacing w:after="0"/>
              <w:rPr>
                <w:sz w:val="14"/>
                <w:szCs w:val="14"/>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3.05</w:t>
            </w:r>
          </w:p>
        </w:tc>
        <w:tc>
          <w:tcPr>
            <w:tcW w:w="220" w:type="dxa"/>
            <w:vAlign w:val="bottom"/>
            <w:shd w:val="clear" w:color="auto" w:fill="CFF0FC"/>
          </w:tcPr>
          <w:p>
            <w:pPr>
              <w:spacing w:after="0"/>
              <w:rPr>
                <w:sz w:val="14"/>
                <w:szCs w:val="14"/>
                <w:color w:val="auto"/>
              </w:rPr>
            </w:pPr>
          </w:p>
        </w:tc>
        <w:tc>
          <w:tcPr>
            <w:tcW w:w="480" w:type="dxa"/>
            <w:vAlign w:val="bottom"/>
            <w:gridSpan w:val="2"/>
            <w:shd w:val="clear" w:color="auto" w:fill="CFF0FC"/>
          </w:tcPr>
          <w:p>
            <w:pPr>
              <w:jc w:val="right"/>
              <w:ind w:right="349"/>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1.71</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240" w:type="dxa"/>
            <w:vAlign w:val="bottom"/>
          </w:tcPr>
          <w:p>
            <w:pPr>
              <w:ind w:left="480"/>
              <w:spacing w:after="0"/>
              <w:rPr>
                <w:sz w:val="20"/>
                <w:szCs w:val="20"/>
                <w:color w:val="auto"/>
              </w:rPr>
            </w:pPr>
            <w:r>
              <w:rPr>
                <w:rFonts w:ascii="Arial" w:cs="Arial" w:eastAsia="Arial" w:hAnsi="Arial"/>
                <w:sz w:val="14"/>
                <w:szCs w:val="14"/>
                <w:color w:val="auto"/>
              </w:rPr>
              <w:t>Discontinued operations attributable to common shareholders</w:t>
            </w: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240" w:type="dxa"/>
            <w:vAlign w:val="bottom"/>
            <w:tcBorders>
              <w:top w:val="single" w:sz="8" w:color="CFF0FC"/>
              <w:bottom w:val="single" w:sz="8" w:color="CFF0FC"/>
            </w:tcBorders>
            <w:shd w:val="clear" w:color="auto" w:fill="CFF0FC"/>
          </w:tcPr>
          <w:p>
            <w:pPr>
              <w:spacing w:after="0"/>
              <w:rPr>
                <w:sz w:val="13"/>
                <w:szCs w:val="13"/>
                <w:color w:val="auto"/>
              </w:rPr>
            </w:pPr>
          </w:p>
        </w:tc>
        <w:tc>
          <w:tcPr>
            <w:tcW w:w="58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1.75</w:t>
            </w:r>
          </w:p>
        </w:tc>
        <w:tc>
          <w:tcPr>
            <w:tcW w:w="14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340" w:type="dxa"/>
            <w:vAlign w:val="bottom"/>
            <w:tcBorders>
              <w:top w:val="single" w:sz="8" w:color="auto"/>
              <w:bottom w:val="single" w:sz="8" w:color="auto"/>
            </w:tcBorders>
            <w:shd w:val="clear" w:color="auto" w:fill="CFF0FC"/>
          </w:tcPr>
          <w:p>
            <w:pPr>
              <w:jc w:val="right"/>
              <w:ind w:right="188"/>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0.80</w:t>
            </w:r>
          </w:p>
        </w:tc>
        <w:tc>
          <w:tcPr>
            <w:tcW w:w="14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1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3.05</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20" w:type="dxa"/>
            <w:vAlign w:val="bottom"/>
            <w:tcBorders>
              <w:top w:val="single" w:sz="8" w:color="CFF0FC"/>
              <w:bottom w:val="single" w:sz="8" w:color="CFF0FC"/>
            </w:tcBorders>
            <w:shd w:val="clear" w:color="auto" w:fill="CFF0FC"/>
          </w:tcPr>
          <w:p>
            <w:pPr>
              <w:spacing w:after="0"/>
              <w:rPr>
                <w:sz w:val="13"/>
                <w:szCs w:val="13"/>
                <w:color w:val="auto"/>
              </w:rPr>
            </w:pPr>
          </w:p>
        </w:tc>
        <w:tc>
          <w:tcPr>
            <w:tcW w:w="460" w:type="dxa"/>
            <w:vAlign w:val="bottom"/>
            <w:tcBorders>
              <w:top w:val="single" w:sz="8" w:color="auto"/>
              <w:bottom w:val="single" w:sz="8" w:color="auto"/>
            </w:tcBorders>
            <w:shd w:val="clear" w:color="auto" w:fill="CFF0FC"/>
          </w:tcPr>
          <w:p>
            <w:pPr>
              <w:jc w:val="right"/>
              <w:ind w:right="349"/>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1.71</w:t>
            </w: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240" w:type="dxa"/>
            <w:vAlign w:val="bottom"/>
            <w:shd w:val="clear" w:color="auto" w:fill="CFF0FC"/>
          </w:tcPr>
          <w:p>
            <w:pPr>
              <w:ind w:left="480"/>
              <w:spacing w:after="0"/>
              <w:rPr>
                <w:sz w:val="20"/>
                <w:szCs w:val="20"/>
                <w:color w:val="auto"/>
              </w:rPr>
            </w:pPr>
            <w:r>
              <w:rPr>
                <w:rFonts w:ascii="Arial" w:cs="Arial" w:eastAsia="Arial" w:hAnsi="Arial"/>
                <w:sz w:val="14"/>
                <w:szCs w:val="14"/>
                <w:color w:val="auto"/>
              </w:rPr>
              <w:t>Diluted from continuing operations attributable to common shareholders</w:t>
            </w:r>
          </w:p>
        </w:tc>
        <w:tc>
          <w:tcPr>
            <w:tcW w:w="7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1.74</w:t>
            </w:r>
          </w:p>
        </w:tc>
        <w:tc>
          <w:tcPr>
            <w:tcW w:w="140" w:type="dxa"/>
            <w:vAlign w:val="bottom"/>
            <w:shd w:val="clear" w:color="auto" w:fill="CFF0FC"/>
          </w:tcPr>
          <w:p>
            <w:pPr>
              <w:spacing w:after="0"/>
              <w:rPr>
                <w:sz w:val="14"/>
                <w:szCs w:val="14"/>
                <w:color w:val="auto"/>
              </w:rPr>
            </w:pPr>
          </w:p>
        </w:tc>
        <w:tc>
          <w:tcPr>
            <w:tcW w:w="420" w:type="dxa"/>
            <w:vAlign w:val="bottom"/>
            <w:gridSpan w:val="2"/>
            <w:shd w:val="clear" w:color="auto" w:fill="CFF0FC"/>
          </w:tcPr>
          <w:p>
            <w:pPr>
              <w:jc w:val="right"/>
              <w:ind w:right="188"/>
              <w:spacing w:after="0"/>
              <w:rPr>
                <w:sz w:val="20"/>
                <w:szCs w:val="20"/>
                <w:color w:val="auto"/>
              </w:rPr>
            </w:pPr>
            <w:r>
              <w:rPr>
                <w:rFonts w:ascii="Arial" w:cs="Arial" w:eastAsia="Arial" w:hAnsi="Arial"/>
                <w:sz w:val="14"/>
                <w:szCs w:val="14"/>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0.79</w:t>
            </w:r>
          </w:p>
        </w:tc>
        <w:tc>
          <w:tcPr>
            <w:tcW w:w="140" w:type="dxa"/>
            <w:vAlign w:val="bottom"/>
            <w:shd w:val="clear" w:color="auto" w:fill="CFF0FC"/>
          </w:tcPr>
          <w:p>
            <w:pPr>
              <w:spacing w:after="0"/>
              <w:rPr>
                <w:sz w:val="14"/>
                <w:szCs w:val="14"/>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3.03</w:t>
            </w:r>
          </w:p>
        </w:tc>
        <w:tc>
          <w:tcPr>
            <w:tcW w:w="220" w:type="dxa"/>
            <w:vAlign w:val="bottom"/>
            <w:shd w:val="clear" w:color="auto" w:fill="CFF0FC"/>
          </w:tcPr>
          <w:p>
            <w:pPr>
              <w:spacing w:after="0"/>
              <w:rPr>
                <w:sz w:val="14"/>
                <w:szCs w:val="14"/>
                <w:color w:val="auto"/>
              </w:rPr>
            </w:pPr>
          </w:p>
        </w:tc>
        <w:tc>
          <w:tcPr>
            <w:tcW w:w="480" w:type="dxa"/>
            <w:vAlign w:val="bottom"/>
            <w:gridSpan w:val="2"/>
            <w:shd w:val="clear" w:color="auto" w:fill="CFF0FC"/>
          </w:tcPr>
          <w:p>
            <w:pPr>
              <w:jc w:val="right"/>
              <w:ind w:right="349"/>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1.70</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240" w:type="dxa"/>
            <w:vAlign w:val="bottom"/>
          </w:tcPr>
          <w:p>
            <w:pPr>
              <w:ind w:left="480"/>
              <w:spacing w:after="0"/>
              <w:rPr>
                <w:sz w:val="20"/>
                <w:szCs w:val="20"/>
                <w:color w:val="auto"/>
              </w:rPr>
            </w:pPr>
            <w:r>
              <w:rPr>
                <w:rFonts w:ascii="Arial" w:cs="Arial" w:eastAsia="Arial" w:hAnsi="Arial"/>
                <w:sz w:val="14"/>
                <w:szCs w:val="14"/>
                <w:color w:val="auto"/>
              </w:rPr>
              <w:t>Discontinued operations attributable to common shareholders</w:t>
            </w: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240" w:type="dxa"/>
            <w:vAlign w:val="bottom"/>
            <w:tcBorders>
              <w:top w:val="single" w:sz="8" w:color="CFF0FC"/>
              <w:bottom w:val="single" w:sz="8" w:color="CFF0FC"/>
            </w:tcBorders>
            <w:shd w:val="clear" w:color="auto" w:fill="CFF0FC"/>
          </w:tcPr>
          <w:p>
            <w:pPr>
              <w:spacing w:after="0"/>
              <w:rPr>
                <w:sz w:val="13"/>
                <w:szCs w:val="13"/>
                <w:color w:val="auto"/>
              </w:rPr>
            </w:pPr>
          </w:p>
        </w:tc>
        <w:tc>
          <w:tcPr>
            <w:tcW w:w="58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1.74</w:t>
            </w:r>
          </w:p>
        </w:tc>
        <w:tc>
          <w:tcPr>
            <w:tcW w:w="14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340" w:type="dxa"/>
            <w:vAlign w:val="bottom"/>
            <w:tcBorders>
              <w:top w:val="single" w:sz="8" w:color="auto"/>
              <w:bottom w:val="single" w:sz="8" w:color="auto"/>
            </w:tcBorders>
            <w:shd w:val="clear" w:color="auto" w:fill="CFF0FC"/>
          </w:tcPr>
          <w:p>
            <w:pPr>
              <w:jc w:val="right"/>
              <w:ind w:right="188"/>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0.79</w:t>
            </w:r>
          </w:p>
        </w:tc>
        <w:tc>
          <w:tcPr>
            <w:tcW w:w="14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1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3.03</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20" w:type="dxa"/>
            <w:vAlign w:val="bottom"/>
            <w:tcBorders>
              <w:top w:val="single" w:sz="8" w:color="CFF0FC"/>
              <w:bottom w:val="single" w:sz="8" w:color="CFF0FC"/>
            </w:tcBorders>
            <w:shd w:val="clear" w:color="auto" w:fill="CFF0FC"/>
          </w:tcPr>
          <w:p>
            <w:pPr>
              <w:spacing w:after="0"/>
              <w:rPr>
                <w:sz w:val="13"/>
                <w:szCs w:val="13"/>
                <w:color w:val="auto"/>
              </w:rPr>
            </w:pPr>
          </w:p>
        </w:tc>
        <w:tc>
          <w:tcPr>
            <w:tcW w:w="460" w:type="dxa"/>
            <w:vAlign w:val="bottom"/>
            <w:tcBorders>
              <w:top w:val="single" w:sz="8" w:color="auto"/>
              <w:bottom w:val="single" w:sz="8" w:color="auto"/>
            </w:tcBorders>
            <w:shd w:val="clear" w:color="auto" w:fill="CFF0FC"/>
          </w:tcPr>
          <w:p>
            <w:pPr>
              <w:jc w:val="right"/>
              <w:ind w:right="349"/>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1.70</w:t>
            </w: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260" w:type="dxa"/>
            <w:vAlign w:val="bottom"/>
            <w:gridSpan w:val="2"/>
            <w:vMerge w:val="restart"/>
          </w:tcPr>
          <w:p>
            <w:pPr>
              <w:spacing w:after="0"/>
              <w:rPr>
                <w:sz w:val="20"/>
                <w:szCs w:val="20"/>
                <w:color w:val="auto"/>
              </w:rPr>
            </w:pPr>
            <w:r>
              <w:rPr>
                <w:rFonts w:ascii="Arial" w:cs="Arial" w:eastAsia="Arial" w:hAnsi="Arial"/>
                <w:sz w:val="14"/>
                <w:szCs w:val="14"/>
                <w:color w:val="auto"/>
              </w:rPr>
              <w:t>Weighted-Average Common Shares Outstanding:</w:t>
            </w:r>
          </w:p>
        </w:tc>
        <w:tc>
          <w:tcPr>
            <w:tcW w:w="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260" w:type="dxa"/>
            <w:vAlign w:val="bottom"/>
            <w:gridSpan w:val="2"/>
            <w:vMerge w:val="continue"/>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24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4"/>
                <w:szCs w:val="14"/>
                <w:color w:val="auto"/>
              </w:rPr>
              <w:t>Basic</w:t>
            </w:r>
          </w:p>
        </w:tc>
        <w:tc>
          <w:tcPr>
            <w:tcW w:w="58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66,830</w:t>
            </w:r>
          </w:p>
        </w:tc>
        <w:tc>
          <w:tcPr>
            <w:tcW w:w="14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340" w:type="dxa"/>
            <w:vAlign w:val="bottom"/>
            <w:tcBorders>
              <w:bottom w:val="single" w:sz="8" w:color="auto"/>
            </w:tcBorders>
            <w:shd w:val="clear" w:color="auto" w:fill="CFF0FC"/>
          </w:tcPr>
          <w:p>
            <w:pPr>
              <w:spacing w:after="0"/>
              <w:rPr>
                <w:sz w:val="14"/>
                <w:szCs w:val="14"/>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67,086</w:t>
            </w:r>
          </w:p>
        </w:tc>
        <w:tc>
          <w:tcPr>
            <w:tcW w:w="14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67,203</w:t>
            </w:r>
          </w:p>
        </w:tc>
        <w:tc>
          <w:tcPr>
            <w:tcW w:w="220" w:type="dxa"/>
            <w:vAlign w:val="bottom"/>
            <w:tcBorders>
              <w:bottom w:val="single" w:sz="8" w:color="CFF0FC"/>
            </w:tcBorders>
            <w:shd w:val="clear" w:color="auto" w:fill="CFF0FC"/>
          </w:tcPr>
          <w:p>
            <w:pPr>
              <w:spacing w:after="0"/>
              <w:rPr>
                <w:sz w:val="14"/>
                <w:szCs w:val="14"/>
                <w:color w:val="auto"/>
              </w:rPr>
            </w:pPr>
          </w:p>
        </w:tc>
        <w:tc>
          <w:tcPr>
            <w:tcW w:w="20" w:type="dxa"/>
            <w:vAlign w:val="bottom"/>
            <w:tcBorders>
              <w:bottom w:val="single" w:sz="8" w:color="CFF0FC"/>
            </w:tcBorders>
            <w:shd w:val="clear" w:color="auto" w:fill="CFF0FC"/>
          </w:tcPr>
          <w:p>
            <w:pPr>
              <w:spacing w:after="0"/>
              <w:rPr>
                <w:sz w:val="14"/>
                <w:szCs w:val="14"/>
                <w:color w:val="auto"/>
              </w:rPr>
            </w:pPr>
          </w:p>
        </w:tc>
        <w:tc>
          <w:tcPr>
            <w:tcW w:w="460" w:type="dxa"/>
            <w:vAlign w:val="bottom"/>
            <w:tcBorders>
              <w:bottom w:val="single" w:sz="8" w:color="auto"/>
            </w:tcBorders>
            <w:shd w:val="clear" w:color="auto" w:fill="CFF0FC"/>
          </w:tcPr>
          <w:p>
            <w:pPr>
              <w:spacing w:after="0"/>
              <w:rPr>
                <w:sz w:val="14"/>
                <w:szCs w:val="14"/>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53,342</w:t>
            </w:r>
          </w:p>
        </w:tc>
        <w:tc>
          <w:tcPr>
            <w:tcW w:w="8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vMerge w:val="restart"/>
          </w:tcPr>
          <w:p>
            <w:pPr>
              <w:ind w:left="240"/>
              <w:spacing w:after="0"/>
              <w:rPr>
                <w:sz w:val="20"/>
                <w:szCs w:val="20"/>
                <w:color w:val="auto"/>
              </w:rPr>
            </w:pPr>
            <w:r>
              <w:rPr>
                <w:rFonts w:ascii="Arial" w:cs="Arial" w:eastAsia="Arial" w:hAnsi="Arial"/>
                <w:sz w:val="14"/>
                <w:szCs w:val="14"/>
                <w:color w:val="auto"/>
              </w:rPr>
              <w:t>Diluted</w:t>
            </w:r>
          </w:p>
        </w:tc>
        <w:tc>
          <w:tcPr>
            <w:tcW w:w="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5240" w:type="dxa"/>
            <w:vAlign w:val="bottom"/>
            <w:tcBorders>
              <w:bottom w:val="single" w:sz="8" w:color="CFF0FC"/>
            </w:tcBorders>
            <w:vMerge w:val="continue"/>
          </w:tcPr>
          <w:p>
            <w:pPr>
              <w:spacing w:after="0"/>
              <w:rPr>
                <w:sz w:val="15"/>
                <w:szCs w:val="15"/>
                <w:color w:val="auto"/>
              </w:rPr>
            </w:pPr>
          </w:p>
        </w:tc>
        <w:tc>
          <w:tcPr>
            <w:tcW w:w="58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67,108</w:t>
            </w:r>
          </w:p>
        </w:tc>
        <w:tc>
          <w:tcPr>
            <w:tcW w:w="14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67,495</w:t>
            </w:r>
          </w:p>
        </w:tc>
        <w:tc>
          <w:tcPr>
            <w:tcW w:w="14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67,470</w:t>
            </w:r>
          </w:p>
        </w:tc>
        <w:tc>
          <w:tcPr>
            <w:tcW w:w="220" w:type="dxa"/>
            <w:vAlign w:val="bottom"/>
            <w:tcBorders>
              <w:bottom w:val="single" w:sz="8" w:color="CFF0FC"/>
            </w:tcBorders>
          </w:tcPr>
          <w:p>
            <w:pPr>
              <w:spacing w:after="0"/>
              <w:rPr>
                <w:sz w:val="15"/>
                <w:szCs w:val="15"/>
                <w:color w:val="auto"/>
              </w:rPr>
            </w:pPr>
          </w:p>
        </w:tc>
        <w:tc>
          <w:tcPr>
            <w:tcW w:w="20" w:type="dxa"/>
            <w:vAlign w:val="bottom"/>
            <w:tcBorders>
              <w:bottom w:val="single" w:sz="8" w:color="CFF0FC"/>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53,559</w:t>
            </w:r>
          </w:p>
        </w:tc>
        <w:tc>
          <w:tcPr>
            <w:tcW w:w="8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vMerge w:val="restart"/>
          </w:tcPr>
          <w:p>
            <w:pPr>
              <w:spacing w:after="0"/>
              <w:rPr>
                <w:sz w:val="12"/>
                <w:szCs w:val="12"/>
                <w:color w:val="auto"/>
              </w:rPr>
            </w:pPr>
          </w:p>
        </w:tc>
        <w:tc>
          <w:tcPr>
            <w:tcW w:w="524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240" w:type="dxa"/>
            <w:vAlign w:val="bottom"/>
          </w:tcPr>
          <w:p>
            <w:pPr>
              <w:spacing w:after="0"/>
              <w:rPr>
                <w:sz w:val="20"/>
                <w:szCs w:val="20"/>
                <w:color w:val="auto"/>
              </w:rPr>
            </w:pPr>
            <w:r>
              <w:rPr>
                <w:rFonts w:ascii="Arial" w:cs="Arial" w:eastAsia="Arial" w:hAnsi="Arial"/>
                <w:sz w:val="14"/>
                <w:szCs w:val="14"/>
                <w:color w:val="auto"/>
              </w:rPr>
              <w:t>Cash Dividends Per Common Share</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0.40</w:t>
            </w:r>
          </w:p>
        </w:tc>
        <w:tc>
          <w:tcPr>
            <w:tcW w:w="140" w:type="dxa"/>
            <w:vAlign w:val="bottom"/>
          </w:tcPr>
          <w:p>
            <w:pPr>
              <w:spacing w:after="0"/>
              <w:rPr>
                <w:sz w:val="14"/>
                <w:szCs w:val="14"/>
                <w:color w:val="auto"/>
              </w:rPr>
            </w:pPr>
          </w:p>
        </w:tc>
        <w:tc>
          <w:tcPr>
            <w:tcW w:w="42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0.40</w:t>
            </w:r>
          </w:p>
        </w:tc>
        <w:tc>
          <w:tcPr>
            <w:tcW w:w="140" w:type="dxa"/>
            <w:vAlign w:val="bottom"/>
          </w:tcPr>
          <w:p>
            <w:pPr>
              <w:spacing w:after="0"/>
              <w:rPr>
                <w:sz w:val="14"/>
                <w:szCs w:val="14"/>
                <w:color w:val="auto"/>
              </w:rPr>
            </w:pP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1.20</w:t>
            </w:r>
          </w:p>
        </w:tc>
        <w:tc>
          <w:tcPr>
            <w:tcW w:w="220" w:type="dxa"/>
            <w:vAlign w:val="bottom"/>
          </w:tcPr>
          <w:p>
            <w:pPr>
              <w:spacing w:after="0"/>
              <w:rPr>
                <w:sz w:val="14"/>
                <w:szCs w:val="14"/>
                <w:color w:val="auto"/>
              </w:rPr>
            </w:pPr>
          </w:p>
        </w:tc>
        <w:tc>
          <w:tcPr>
            <w:tcW w:w="480" w:type="dxa"/>
            <w:vAlign w:val="bottom"/>
            <w:gridSpan w:val="2"/>
          </w:tcPr>
          <w:p>
            <w:pPr>
              <w:jc w:val="right"/>
              <w:ind w:right="349"/>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1.20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See accompanying notes to the consolidated financial statements.</w:t>
      </w:r>
    </w:p>
    <w:p>
      <w:pPr>
        <w:spacing w:after="0" w:line="210"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Page 4 of 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40"/>
          </w:cols>
          <w:pgMar w:left="240" w:top="566" w:right="219" w:bottom="1440" w:gutter="0" w:footer="0" w:header="0"/>
        </w:sectPr>
      </w:pPr>
    </w:p>
    <w:bookmarkStart w:id="4" w:name="page5"/>
    <w:bookmarkEnd w:id="4"/>
    <w:p>
      <w:pPr>
        <w:jc w:val="center"/>
        <w:ind w:right="120"/>
        <w:spacing w:after="0"/>
        <w:rPr>
          <w:sz w:val="20"/>
          <w:szCs w:val="20"/>
          <w:color w:val="auto"/>
        </w:rPr>
      </w:pPr>
      <w:r>
        <w:rPr>
          <w:rFonts w:ascii="Arial" w:cs="Arial" w:eastAsia="Arial" w:hAnsi="Arial"/>
          <w:sz w:val="16"/>
          <w:szCs w:val="16"/>
          <w:color w:val="auto"/>
        </w:rPr>
        <w:t>MARTIN MARIETTA MATERIALS, INC. AND CONSOLIDATED SUBSIDIARIES</w:t>
      </w:r>
    </w:p>
    <w:p>
      <w:pPr>
        <w:spacing w:after="0" w:line="32" w:lineRule="exact"/>
        <w:rPr>
          <w:sz w:val="20"/>
          <w:szCs w:val="20"/>
          <w:color w:val="auto"/>
        </w:rPr>
      </w:pPr>
    </w:p>
    <w:p>
      <w:pPr>
        <w:jc w:val="center"/>
        <w:ind w:right="120"/>
        <w:spacing w:after="0"/>
        <w:rPr>
          <w:sz w:val="20"/>
          <w:szCs w:val="20"/>
          <w:color w:val="auto"/>
        </w:rPr>
      </w:pPr>
      <w:r>
        <w:rPr>
          <w:rFonts w:ascii="Arial" w:cs="Arial" w:eastAsia="Arial" w:hAnsi="Arial"/>
          <w:sz w:val="16"/>
          <w:szCs w:val="16"/>
          <w:color w:val="auto"/>
        </w:rPr>
        <w:t>CONSOLIDATED STATEMENTS OF CASH FLOWS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580" w:type="dxa"/>
            <w:vAlign w:val="bottom"/>
            <w:gridSpan w:val="3"/>
          </w:tcPr>
          <w:p>
            <w:pPr>
              <w:jc w:val="center"/>
              <w:spacing w:after="0"/>
              <w:rPr>
                <w:sz w:val="20"/>
                <w:szCs w:val="20"/>
                <w:color w:val="auto"/>
              </w:rPr>
            </w:pPr>
            <w:r>
              <w:rPr>
                <w:rFonts w:ascii="Arial" w:cs="Arial" w:eastAsia="Arial" w:hAnsi="Arial"/>
                <w:sz w:val="16"/>
                <w:szCs w:val="16"/>
                <w:color w:val="auto"/>
                <w:w w:val="92"/>
              </w:rPr>
              <w:t>Nine Months Ended</w:t>
            </w: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6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color w:val="auto"/>
                <w:w w:val="89"/>
              </w:rPr>
              <w:t>September 30,</w:t>
            </w:r>
          </w:p>
        </w:tc>
        <w:tc>
          <w:tcPr>
            <w:tcW w:w="10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240" w:type="dxa"/>
            <w:vAlign w:val="bottom"/>
          </w:tcPr>
          <w:p>
            <w:pPr>
              <w:spacing w:after="0"/>
              <w:rPr>
                <w:sz w:val="18"/>
                <w:szCs w:val="18"/>
                <w:color w:val="auto"/>
              </w:rPr>
            </w:pPr>
          </w:p>
        </w:tc>
        <w:tc>
          <w:tcPr>
            <w:tcW w:w="2400" w:type="dxa"/>
            <w:vAlign w:val="bottom"/>
            <w:gridSpan w:val="2"/>
          </w:tcPr>
          <w:p>
            <w:pPr>
              <w:jc w:val="right"/>
              <w:ind w:right="20"/>
              <w:spacing w:after="0"/>
              <w:rPr>
                <w:sz w:val="20"/>
                <w:szCs w:val="20"/>
                <w:color w:val="auto"/>
              </w:rPr>
            </w:pPr>
            <w:r>
              <w:rPr>
                <w:rFonts w:ascii="Arial" w:cs="Arial" w:eastAsia="Arial" w:hAnsi="Arial"/>
                <w:sz w:val="16"/>
                <w:szCs w:val="16"/>
                <w:color w:val="auto"/>
              </w:rPr>
              <w:t>2015</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80" w:type="dxa"/>
            <w:vAlign w:val="bottom"/>
          </w:tcPr>
          <w:p>
            <w:pPr>
              <w:jc w:val="right"/>
              <w:ind w:right="639"/>
              <w:spacing w:after="0"/>
              <w:rPr>
                <w:sz w:val="20"/>
                <w:szCs w:val="20"/>
                <w:color w:val="auto"/>
              </w:rPr>
            </w:pPr>
            <w:r>
              <w:rPr>
                <w:rFonts w:ascii="Arial" w:cs="Arial" w:eastAsia="Arial" w:hAnsi="Arial"/>
                <w:sz w:val="16"/>
                <w:szCs w:val="16"/>
                <w:color w:val="auto"/>
                <w:w w:val="95"/>
              </w:rPr>
              <w:t>2014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gridSpan w:val="3"/>
          </w:tcPr>
          <w:p>
            <w:pPr>
              <w:jc w:val="center"/>
              <w:spacing w:after="0"/>
              <w:rPr>
                <w:sz w:val="20"/>
                <w:szCs w:val="20"/>
                <w:color w:val="auto"/>
              </w:rPr>
            </w:pPr>
            <w:r>
              <w:rPr>
                <w:rFonts w:ascii="Arial" w:cs="Arial" w:eastAsia="Arial" w:hAnsi="Arial"/>
                <w:sz w:val="16"/>
                <w:szCs w:val="16"/>
                <w:i w:val="1"/>
                <w:iCs w:val="1"/>
                <w:color w:val="auto"/>
                <w:w w:val="94"/>
              </w:rPr>
              <w:t>(Dollars in Thousands)</w:t>
            </w:r>
          </w:p>
        </w:tc>
        <w:tc>
          <w:tcPr>
            <w:tcW w:w="10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6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580" w:type="dxa"/>
            <w:vAlign w:val="bottom"/>
            <w:gridSpan w:val="3"/>
          </w:tcPr>
          <w:p>
            <w:pPr>
              <w:jc w:val="center"/>
              <w:spacing w:after="0"/>
              <w:rPr>
                <w:sz w:val="20"/>
                <w:szCs w:val="20"/>
                <w:color w:val="auto"/>
              </w:rPr>
            </w:pPr>
            <w:r>
              <w:rPr>
                <w:rFonts w:ascii="Arial" w:cs="Arial" w:eastAsia="Arial" w:hAnsi="Arial"/>
                <w:sz w:val="16"/>
                <w:szCs w:val="16"/>
                <w:i w:val="1"/>
                <w:iCs w:val="1"/>
                <w:color w:val="auto"/>
                <w:w w:val="95"/>
              </w:rPr>
              <w:t>(Unaudited)</w:t>
            </w: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240" w:type="dxa"/>
            <w:vAlign w:val="bottom"/>
            <w:shd w:val="clear" w:color="auto" w:fill="CFF0FC"/>
          </w:tcPr>
          <w:p>
            <w:pPr>
              <w:spacing w:after="0"/>
              <w:rPr>
                <w:sz w:val="20"/>
                <w:szCs w:val="20"/>
                <w:color w:val="auto"/>
              </w:rPr>
            </w:pPr>
            <w:r>
              <w:rPr>
                <w:rFonts w:ascii="Arial" w:cs="Arial" w:eastAsia="Arial" w:hAnsi="Arial"/>
                <w:sz w:val="16"/>
                <w:szCs w:val="16"/>
                <w:color w:val="auto"/>
              </w:rPr>
              <w:t>Cash Flows from Operating Activities:</w:t>
            </w:r>
          </w:p>
        </w:tc>
        <w:tc>
          <w:tcPr>
            <w:tcW w:w="13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240" w:type="dxa"/>
            <w:vAlign w:val="bottom"/>
          </w:tcPr>
          <w:p>
            <w:pPr>
              <w:spacing w:after="0"/>
              <w:rPr>
                <w:sz w:val="20"/>
                <w:szCs w:val="20"/>
                <w:color w:val="auto"/>
              </w:rPr>
            </w:pPr>
            <w:r>
              <w:rPr>
                <w:rFonts w:ascii="Arial" w:cs="Arial" w:eastAsia="Arial" w:hAnsi="Arial"/>
                <w:sz w:val="16"/>
                <w:szCs w:val="16"/>
                <w:color w:val="auto"/>
              </w:rPr>
              <w:t>Consolidated net earnings</w:t>
            </w:r>
          </w:p>
        </w:tc>
        <w:tc>
          <w:tcPr>
            <w:tcW w:w="2400" w:type="dxa"/>
            <w:vAlign w:val="bottom"/>
            <w:gridSpan w:val="2"/>
          </w:tcPr>
          <w:p>
            <w:pPr>
              <w:jc w:val="right"/>
              <w:ind w:right="98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205,715</w:t>
            </w:r>
          </w:p>
        </w:tc>
        <w:tc>
          <w:tcPr>
            <w:tcW w:w="220" w:type="dxa"/>
            <w:vAlign w:val="bottom"/>
          </w:tcPr>
          <w:p>
            <w:pPr>
              <w:spacing w:after="0"/>
              <w:rPr>
                <w:sz w:val="18"/>
                <w:szCs w:val="18"/>
                <w:color w:val="auto"/>
              </w:rPr>
            </w:pPr>
          </w:p>
        </w:tc>
        <w:tc>
          <w:tcPr>
            <w:tcW w:w="680" w:type="dxa"/>
            <w:vAlign w:val="bottom"/>
          </w:tcPr>
          <w:p>
            <w:pPr>
              <w:jc w:val="right"/>
              <w:ind w:right="524"/>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90,305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40" w:type="dxa"/>
            <w:vAlign w:val="bottom"/>
            <w:shd w:val="clear" w:color="auto" w:fill="CFF0FC"/>
          </w:tcPr>
          <w:p>
            <w:pPr>
              <w:spacing w:after="0"/>
              <w:rPr>
                <w:sz w:val="20"/>
                <w:szCs w:val="20"/>
                <w:color w:val="auto"/>
              </w:rPr>
            </w:pPr>
            <w:r>
              <w:rPr>
                <w:rFonts w:ascii="Arial" w:cs="Arial" w:eastAsia="Arial" w:hAnsi="Arial"/>
                <w:sz w:val="16"/>
                <w:szCs w:val="16"/>
                <w:color w:val="auto"/>
              </w:rPr>
              <w:t>Adjustments to reconcile consolidated net earnings to net cash</w:t>
            </w:r>
          </w:p>
        </w:tc>
        <w:tc>
          <w:tcPr>
            <w:tcW w:w="13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240" w:type="dxa"/>
            <w:vAlign w:val="bottom"/>
            <w:shd w:val="clear" w:color="auto" w:fill="CFF0FC"/>
          </w:tcPr>
          <w:p>
            <w:pPr>
              <w:ind w:left="120"/>
              <w:spacing w:after="0"/>
              <w:rPr>
                <w:sz w:val="20"/>
                <w:szCs w:val="20"/>
                <w:color w:val="auto"/>
              </w:rPr>
            </w:pPr>
            <w:r>
              <w:rPr>
                <w:rFonts w:ascii="Arial" w:cs="Arial" w:eastAsia="Arial" w:hAnsi="Arial"/>
                <w:sz w:val="16"/>
                <w:szCs w:val="16"/>
                <w:color w:val="auto"/>
              </w:rPr>
              <w:t>provided by operating activities:</w:t>
            </w:r>
          </w:p>
        </w:tc>
        <w:tc>
          <w:tcPr>
            <w:tcW w:w="13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240" w:type="dxa"/>
            <w:vAlign w:val="bottom"/>
          </w:tcPr>
          <w:p>
            <w:pPr>
              <w:ind w:left="260"/>
              <w:spacing w:after="0"/>
              <w:rPr>
                <w:sz w:val="20"/>
                <w:szCs w:val="20"/>
                <w:color w:val="auto"/>
              </w:rPr>
            </w:pPr>
            <w:r>
              <w:rPr>
                <w:rFonts w:ascii="Arial" w:cs="Arial" w:eastAsia="Arial" w:hAnsi="Arial"/>
                <w:sz w:val="16"/>
                <w:szCs w:val="16"/>
                <w:color w:val="auto"/>
              </w:rPr>
              <w:t>Depreciation, depletion and amortization</w:t>
            </w:r>
          </w:p>
        </w:tc>
        <w:tc>
          <w:tcPr>
            <w:tcW w:w="1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199,935</w:t>
            </w: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154,079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2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Stock-based compensation expense</w:t>
            </w:r>
          </w:p>
        </w:tc>
        <w:tc>
          <w:tcPr>
            <w:tcW w:w="13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10,722</w:t>
            </w:r>
          </w:p>
        </w:tc>
        <w:tc>
          <w:tcPr>
            <w:tcW w:w="2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6,381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240" w:type="dxa"/>
            <w:vAlign w:val="bottom"/>
          </w:tcPr>
          <w:p>
            <w:pPr>
              <w:ind w:left="260"/>
              <w:spacing w:after="0"/>
              <w:rPr>
                <w:sz w:val="20"/>
                <w:szCs w:val="20"/>
                <w:color w:val="auto"/>
              </w:rPr>
            </w:pPr>
            <w:r>
              <w:rPr>
                <w:rFonts w:ascii="Arial" w:cs="Arial" w:eastAsia="Arial" w:hAnsi="Arial"/>
                <w:sz w:val="16"/>
                <w:szCs w:val="16"/>
                <w:color w:val="auto"/>
              </w:rPr>
              <w:t>Loss (gain) on divestitures and sales of assets</w:t>
            </w:r>
          </w:p>
        </w:tc>
        <w:tc>
          <w:tcPr>
            <w:tcW w:w="1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27,568</w:t>
            </w: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6"/>
                <w:szCs w:val="16"/>
                <w:color w:val="auto"/>
              </w:rPr>
              <w:t>(47,815)</w:t>
            </w:r>
          </w:p>
        </w:tc>
        <w:tc>
          <w:tcPr>
            <w:tcW w:w="0" w:type="dxa"/>
            <w:vAlign w:val="bottom"/>
          </w:tcPr>
          <w:p>
            <w:pPr>
              <w:spacing w:after="0"/>
              <w:rPr>
                <w:sz w:val="1"/>
                <w:szCs w:val="1"/>
                <w:color w:val="auto"/>
              </w:rPr>
            </w:pPr>
          </w:p>
        </w:tc>
      </w:tr>
      <w:tr>
        <w:trPr>
          <w:trHeight w:val="219"/>
        </w:trPr>
        <w:tc>
          <w:tcPr>
            <w:tcW w:w="62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Deferred income taxes</w:t>
            </w:r>
          </w:p>
        </w:tc>
        <w:tc>
          <w:tcPr>
            <w:tcW w:w="13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43,286</w:t>
            </w:r>
          </w:p>
        </w:tc>
        <w:tc>
          <w:tcPr>
            <w:tcW w:w="2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44,970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240" w:type="dxa"/>
            <w:vAlign w:val="bottom"/>
          </w:tcPr>
          <w:p>
            <w:pPr>
              <w:ind w:left="260"/>
              <w:spacing w:after="0"/>
              <w:rPr>
                <w:sz w:val="20"/>
                <w:szCs w:val="20"/>
                <w:color w:val="auto"/>
              </w:rPr>
            </w:pPr>
            <w:r>
              <w:rPr>
                <w:rFonts w:ascii="Arial" w:cs="Arial" w:eastAsia="Arial" w:hAnsi="Arial"/>
                <w:sz w:val="16"/>
                <w:szCs w:val="16"/>
                <w:color w:val="auto"/>
              </w:rPr>
              <w:t>Excess tax benefits from stock-based compensation transactions</w:t>
            </w:r>
          </w:p>
        </w:tc>
        <w:tc>
          <w:tcPr>
            <w:tcW w:w="1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68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6"/>
                <w:szCs w:val="16"/>
                <w:color w:val="auto"/>
              </w:rPr>
              <w:t>(2,354)</w:t>
            </w:r>
          </w:p>
        </w:tc>
        <w:tc>
          <w:tcPr>
            <w:tcW w:w="0" w:type="dxa"/>
            <w:vAlign w:val="bottom"/>
          </w:tcPr>
          <w:p>
            <w:pPr>
              <w:spacing w:after="0"/>
              <w:rPr>
                <w:sz w:val="1"/>
                <w:szCs w:val="1"/>
                <w:color w:val="auto"/>
              </w:rPr>
            </w:pPr>
          </w:p>
        </w:tc>
      </w:tr>
      <w:tr>
        <w:trPr>
          <w:trHeight w:val="219"/>
        </w:trPr>
        <w:tc>
          <w:tcPr>
            <w:tcW w:w="62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 items, net</w:t>
            </w:r>
          </w:p>
        </w:tc>
        <w:tc>
          <w:tcPr>
            <w:tcW w:w="13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(6,554)</w:t>
            </w:r>
          </w:p>
        </w:tc>
        <w:tc>
          <w:tcPr>
            <w:tcW w:w="6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1,766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6240" w:type="dxa"/>
            <w:vAlign w:val="bottom"/>
          </w:tcPr>
          <w:p>
            <w:pPr>
              <w:ind w:left="260"/>
              <w:spacing w:after="0"/>
              <w:rPr>
                <w:sz w:val="20"/>
                <w:szCs w:val="20"/>
                <w:color w:val="auto"/>
              </w:rPr>
            </w:pPr>
            <w:r>
              <w:rPr>
                <w:rFonts w:ascii="Arial" w:cs="Arial" w:eastAsia="Arial" w:hAnsi="Arial"/>
                <w:sz w:val="16"/>
                <w:szCs w:val="16"/>
                <w:color w:val="auto"/>
              </w:rPr>
              <w:t>Changes in operating assets and liabilities, net of effects of acquisitions</w:t>
            </w:r>
          </w:p>
        </w:tc>
        <w:tc>
          <w:tcPr>
            <w:tcW w:w="1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240" w:type="dxa"/>
            <w:vAlign w:val="bottom"/>
          </w:tcPr>
          <w:p>
            <w:pPr>
              <w:ind w:left="380"/>
              <w:spacing w:after="0"/>
              <w:rPr>
                <w:sz w:val="20"/>
                <w:szCs w:val="20"/>
                <w:color w:val="auto"/>
              </w:rPr>
            </w:pPr>
            <w:r>
              <w:rPr>
                <w:rFonts w:ascii="Arial" w:cs="Arial" w:eastAsia="Arial" w:hAnsi="Arial"/>
                <w:sz w:val="16"/>
                <w:szCs w:val="16"/>
                <w:color w:val="auto"/>
              </w:rPr>
              <w:t>and divestitures:</w:t>
            </w:r>
          </w:p>
        </w:tc>
        <w:tc>
          <w:tcPr>
            <w:tcW w:w="1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2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Accounts receivable, net</w:t>
            </w:r>
          </w:p>
        </w:tc>
        <w:tc>
          <w:tcPr>
            <w:tcW w:w="13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(155,054)</w:t>
            </w:r>
          </w:p>
        </w:tc>
        <w:tc>
          <w:tcPr>
            <w:tcW w:w="6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(120,139)</w:t>
            </w:r>
          </w:p>
        </w:tc>
        <w:tc>
          <w:tcPr>
            <w:tcW w:w="0" w:type="dxa"/>
            <w:vAlign w:val="bottom"/>
          </w:tcPr>
          <w:p>
            <w:pPr>
              <w:spacing w:after="0"/>
              <w:rPr>
                <w:sz w:val="1"/>
                <w:szCs w:val="1"/>
                <w:color w:val="auto"/>
              </w:rPr>
            </w:pPr>
          </w:p>
        </w:tc>
      </w:tr>
      <w:tr>
        <w:trPr>
          <w:trHeight w:val="213"/>
        </w:trPr>
        <w:tc>
          <w:tcPr>
            <w:tcW w:w="6240" w:type="dxa"/>
            <w:vAlign w:val="bottom"/>
          </w:tcPr>
          <w:p>
            <w:pPr>
              <w:ind w:left="500"/>
              <w:spacing w:after="0"/>
              <w:rPr>
                <w:sz w:val="20"/>
                <w:szCs w:val="20"/>
                <w:color w:val="auto"/>
              </w:rPr>
            </w:pPr>
            <w:r>
              <w:rPr>
                <w:rFonts w:ascii="Arial" w:cs="Arial" w:eastAsia="Arial" w:hAnsi="Arial"/>
                <w:sz w:val="16"/>
                <w:szCs w:val="16"/>
                <w:color w:val="auto"/>
              </w:rPr>
              <w:t>Inventories, net</w:t>
            </w:r>
          </w:p>
        </w:tc>
        <w:tc>
          <w:tcPr>
            <w:tcW w:w="1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(17,650)</w:t>
            </w:r>
          </w:p>
        </w:tc>
        <w:tc>
          <w:tcPr>
            <w:tcW w:w="6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1,283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2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Accounts payable</w:t>
            </w:r>
          </w:p>
        </w:tc>
        <w:tc>
          <w:tcPr>
            <w:tcW w:w="13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22,186</w:t>
            </w:r>
          </w:p>
        </w:tc>
        <w:tc>
          <w:tcPr>
            <w:tcW w:w="2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26,515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240" w:type="dxa"/>
            <w:vAlign w:val="bottom"/>
          </w:tcPr>
          <w:p>
            <w:pPr>
              <w:ind w:left="500"/>
              <w:spacing w:after="0"/>
              <w:rPr>
                <w:sz w:val="20"/>
                <w:szCs w:val="20"/>
                <w:color w:val="auto"/>
              </w:rPr>
            </w:pPr>
            <w:r>
              <w:rPr>
                <w:rFonts w:ascii="Arial" w:cs="Arial" w:eastAsia="Arial" w:hAnsi="Arial"/>
                <w:sz w:val="16"/>
                <w:szCs w:val="16"/>
                <w:color w:val="auto"/>
              </w:rPr>
              <w:t>Other assets and liabilities, net</w:t>
            </w:r>
          </w:p>
        </w:tc>
        <w:tc>
          <w:tcPr>
            <w:tcW w:w="1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(10,575)</w:t>
            </w:r>
          </w:p>
        </w:tc>
        <w:tc>
          <w:tcPr>
            <w:tcW w:w="6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46,637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Net Cash Provided by Operating Activities</w:t>
            </w:r>
          </w:p>
        </w:tc>
        <w:tc>
          <w:tcPr>
            <w:tcW w:w="1340" w:type="dxa"/>
            <w:vAlign w:val="bottom"/>
            <w:tcBorders>
              <w:top w:val="single" w:sz="8" w:color="CFF0FC"/>
            </w:tcBorders>
            <w:shd w:val="clear" w:color="auto" w:fill="CFF0FC"/>
          </w:tcPr>
          <w:p>
            <w:pPr>
              <w:spacing w:after="0"/>
              <w:rPr>
                <w:sz w:val="18"/>
                <w:szCs w:val="18"/>
                <w:color w:val="auto"/>
              </w:rPr>
            </w:pPr>
          </w:p>
        </w:tc>
        <w:tc>
          <w:tcPr>
            <w:tcW w:w="1060" w:type="dxa"/>
            <w:vAlign w:val="bottom"/>
            <w:tcBorders>
              <w:top w:val="single" w:sz="8" w:color="auto"/>
              <w:bottom w:val="single" w:sz="8" w:color="auto"/>
            </w:tcBorders>
            <w:shd w:val="clear" w:color="auto" w:fill="CFF0FC"/>
          </w:tcPr>
          <w:p>
            <w:pPr>
              <w:spacing w:after="0"/>
              <w:rPr>
                <w:sz w:val="18"/>
                <w:szCs w:val="18"/>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319,579</w:t>
            </w:r>
          </w:p>
        </w:tc>
        <w:tc>
          <w:tcPr>
            <w:tcW w:w="220" w:type="dxa"/>
            <w:vAlign w:val="bottom"/>
            <w:tcBorders>
              <w:top w:val="single" w:sz="8" w:color="CFF0FC"/>
            </w:tcBorders>
            <w:shd w:val="clear" w:color="auto" w:fill="CFF0FC"/>
          </w:tcPr>
          <w:p>
            <w:pPr>
              <w:spacing w:after="0"/>
              <w:rPr>
                <w:sz w:val="18"/>
                <w:szCs w:val="18"/>
                <w:color w:val="auto"/>
              </w:rPr>
            </w:pPr>
          </w:p>
        </w:tc>
        <w:tc>
          <w:tcPr>
            <w:tcW w:w="680" w:type="dxa"/>
            <w:vAlign w:val="bottom"/>
            <w:tcBorders>
              <w:top w:val="single" w:sz="8" w:color="auto"/>
              <w:bottom w:val="single" w:sz="8" w:color="auto"/>
            </w:tcBorders>
            <w:shd w:val="clear" w:color="auto" w:fill="CFF0FC"/>
          </w:tcPr>
          <w:p>
            <w:pPr>
              <w:spacing w:after="0"/>
              <w:rPr>
                <w:sz w:val="18"/>
                <w:szCs w:val="18"/>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201,628</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FF0FC"/>
          </w:tcPr>
          <w:p>
            <w:pPr>
              <w:spacing w:after="0"/>
              <w:rPr>
                <w:sz w:val="20"/>
                <w:szCs w:val="20"/>
                <w:color w:val="auto"/>
              </w:rPr>
            </w:pPr>
            <w:r>
              <w:rPr>
                <w:rFonts w:ascii="Arial" w:cs="Arial" w:eastAsia="Arial" w:hAnsi="Arial"/>
                <w:sz w:val="16"/>
                <w:szCs w:val="16"/>
                <w:color w:val="auto"/>
              </w:rPr>
              <w:t>Cash Flows from Investing Activities:</w:t>
            </w:r>
          </w:p>
        </w:tc>
        <w:tc>
          <w:tcPr>
            <w:tcW w:w="13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240" w:type="dxa"/>
            <w:vAlign w:val="bottom"/>
          </w:tcPr>
          <w:p>
            <w:pPr>
              <w:ind w:left="260"/>
              <w:spacing w:after="0"/>
              <w:rPr>
                <w:sz w:val="20"/>
                <w:szCs w:val="20"/>
                <w:color w:val="auto"/>
              </w:rPr>
            </w:pPr>
            <w:r>
              <w:rPr>
                <w:rFonts w:ascii="Arial" w:cs="Arial" w:eastAsia="Arial" w:hAnsi="Arial"/>
                <w:sz w:val="16"/>
                <w:szCs w:val="16"/>
                <w:color w:val="auto"/>
              </w:rPr>
              <w:t>Additions to property, plant and equipment</w:t>
            </w:r>
          </w:p>
        </w:tc>
        <w:tc>
          <w:tcPr>
            <w:tcW w:w="1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(212,447)</w:t>
            </w:r>
          </w:p>
        </w:tc>
        <w:tc>
          <w:tcPr>
            <w:tcW w:w="68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6"/>
                <w:szCs w:val="16"/>
                <w:color w:val="auto"/>
              </w:rPr>
              <w:t>(138,570)</w:t>
            </w:r>
          </w:p>
        </w:tc>
        <w:tc>
          <w:tcPr>
            <w:tcW w:w="0" w:type="dxa"/>
            <w:vAlign w:val="bottom"/>
          </w:tcPr>
          <w:p>
            <w:pPr>
              <w:spacing w:after="0"/>
              <w:rPr>
                <w:sz w:val="1"/>
                <w:szCs w:val="1"/>
                <w:color w:val="auto"/>
              </w:rPr>
            </w:pPr>
          </w:p>
        </w:tc>
      </w:tr>
      <w:tr>
        <w:trPr>
          <w:trHeight w:val="219"/>
        </w:trPr>
        <w:tc>
          <w:tcPr>
            <w:tcW w:w="62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Acquisitions, net</w:t>
            </w:r>
          </w:p>
        </w:tc>
        <w:tc>
          <w:tcPr>
            <w:tcW w:w="13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(10,748)</w:t>
            </w:r>
          </w:p>
        </w:tc>
        <w:tc>
          <w:tcPr>
            <w:tcW w:w="6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(174)</w:t>
            </w:r>
          </w:p>
        </w:tc>
        <w:tc>
          <w:tcPr>
            <w:tcW w:w="0" w:type="dxa"/>
            <w:vAlign w:val="bottom"/>
          </w:tcPr>
          <w:p>
            <w:pPr>
              <w:spacing w:after="0"/>
              <w:rPr>
                <w:sz w:val="1"/>
                <w:szCs w:val="1"/>
                <w:color w:val="auto"/>
              </w:rPr>
            </w:pPr>
          </w:p>
        </w:tc>
      </w:tr>
      <w:tr>
        <w:trPr>
          <w:trHeight w:val="213"/>
        </w:trPr>
        <w:tc>
          <w:tcPr>
            <w:tcW w:w="6240" w:type="dxa"/>
            <w:vAlign w:val="bottom"/>
          </w:tcPr>
          <w:p>
            <w:pPr>
              <w:ind w:left="260"/>
              <w:spacing w:after="0"/>
              <w:rPr>
                <w:sz w:val="20"/>
                <w:szCs w:val="20"/>
                <w:color w:val="auto"/>
              </w:rPr>
            </w:pPr>
            <w:r>
              <w:rPr>
                <w:rFonts w:ascii="Arial" w:cs="Arial" w:eastAsia="Arial" w:hAnsi="Arial"/>
                <w:sz w:val="16"/>
                <w:szCs w:val="16"/>
                <w:color w:val="auto"/>
              </w:rPr>
              <w:t>Cash received in acquisition</w:t>
            </w:r>
          </w:p>
        </w:tc>
        <w:tc>
          <w:tcPr>
            <w:tcW w:w="1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6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59,887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2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Proceeds from divestitures and sales of assets</w:t>
            </w:r>
          </w:p>
        </w:tc>
        <w:tc>
          <w:tcPr>
            <w:tcW w:w="13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422,045</w:t>
            </w:r>
          </w:p>
        </w:tc>
        <w:tc>
          <w:tcPr>
            <w:tcW w:w="2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113,158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240" w:type="dxa"/>
            <w:vAlign w:val="bottom"/>
          </w:tcPr>
          <w:p>
            <w:pPr>
              <w:ind w:left="260"/>
              <w:spacing w:after="0"/>
              <w:rPr>
                <w:sz w:val="20"/>
                <w:szCs w:val="20"/>
                <w:color w:val="auto"/>
              </w:rPr>
            </w:pPr>
            <w:r>
              <w:rPr>
                <w:rFonts w:ascii="Arial" w:cs="Arial" w:eastAsia="Arial" w:hAnsi="Arial"/>
                <w:sz w:val="16"/>
                <w:szCs w:val="16"/>
                <w:color w:val="auto"/>
              </w:rPr>
              <w:t>Repayments from affiliate</w:t>
            </w:r>
          </w:p>
        </w:tc>
        <w:tc>
          <w:tcPr>
            <w:tcW w:w="1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1,808</w:t>
            </w: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2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Payment of railcar construction advances</w:t>
            </w:r>
          </w:p>
        </w:tc>
        <w:tc>
          <w:tcPr>
            <w:tcW w:w="13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(25,341)</w:t>
            </w:r>
          </w:p>
        </w:tc>
        <w:tc>
          <w:tcPr>
            <w:tcW w:w="6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(14,513)</w:t>
            </w:r>
          </w:p>
        </w:tc>
        <w:tc>
          <w:tcPr>
            <w:tcW w:w="0" w:type="dxa"/>
            <w:vAlign w:val="bottom"/>
          </w:tcPr>
          <w:p>
            <w:pPr>
              <w:spacing w:after="0"/>
              <w:rPr>
                <w:sz w:val="1"/>
                <w:szCs w:val="1"/>
                <w:color w:val="auto"/>
              </w:rPr>
            </w:pPr>
          </w:p>
        </w:tc>
      </w:tr>
      <w:tr>
        <w:trPr>
          <w:trHeight w:val="213"/>
        </w:trPr>
        <w:tc>
          <w:tcPr>
            <w:tcW w:w="624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Reimbursement of railcar construction advances</w:t>
            </w:r>
          </w:p>
        </w:tc>
        <w:tc>
          <w:tcPr>
            <w:tcW w:w="1340" w:type="dxa"/>
            <w:vAlign w:val="bottom"/>
            <w:tcBorders>
              <w:bottom w:val="single" w:sz="8" w:color="CFF0FC"/>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25,234</w:t>
            </w:r>
          </w:p>
        </w:tc>
        <w:tc>
          <w:tcPr>
            <w:tcW w:w="220" w:type="dxa"/>
            <w:vAlign w:val="bottom"/>
            <w:tcBorders>
              <w:bottom w:val="single" w:sz="8" w:color="CFF0FC"/>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14,513</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40" w:type="dxa"/>
            <w:vAlign w:val="bottom"/>
            <w:shd w:val="clear" w:color="auto" w:fill="CFF0FC"/>
          </w:tcPr>
          <w:p>
            <w:pPr>
              <w:spacing w:after="0"/>
              <w:rPr>
                <w:sz w:val="20"/>
                <w:szCs w:val="20"/>
                <w:color w:val="auto"/>
              </w:rPr>
            </w:pPr>
            <w:r>
              <w:rPr>
                <w:rFonts w:ascii="Arial" w:cs="Arial" w:eastAsia="Arial" w:hAnsi="Arial"/>
                <w:sz w:val="16"/>
                <w:szCs w:val="16"/>
                <w:color w:val="auto"/>
              </w:rPr>
              <w:t>Net Cash Provided by Investing Activities</w:t>
            </w:r>
          </w:p>
        </w:tc>
        <w:tc>
          <w:tcPr>
            <w:tcW w:w="1340" w:type="dxa"/>
            <w:vAlign w:val="bottom"/>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200,551</w:t>
            </w:r>
          </w:p>
        </w:tc>
        <w:tc>
          <w:tcPr>
            <w:tcW w:w="220" w:type="dxa"/>
            <w:vAlign w:val="bottom"/>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35,151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FF0FC"/>
          </w:tcPr>
          <w:p>
            <w:pPr>
              <w:spacing w:after="0"/>
              <w:rPr>
                <w:sz w:val="20"/>
                <w:szCs w:val="20"/>
                <w:color w:val="auto"/>
              </w:rPr>
            </w:pPr>
            <w:r>
              <w:rPr>
                <w:rFonts w:ascii="Arial" w:cs="Arial" w:eastAsia="Arial" w:hAnsi="Arial"/>
                <w:sz w:val="16"/>
                <w:szCs w:val="16"/>
                <w:color w:val="auto"/>
              </w:rPr>
              <w:t>Cash Flows from Financing Activities:</w:t>
            </w:r>
          </w:p>
        </w:tc>
        <w:tc>
          <w:tcPr>
            <w:tcW w:w="13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240" w:type="dxa"/>
            <w:vAlign w:val="bottom"/>
          </w:tcPr>
          <w:p>
            <w:pPr>
              <w:ind w:left="260"/>
              <w:spacing w:after="0"/>
              <w:rPr>
                <w:sz w:val="20"/>
                <w:szCs w:val="20"/>
                <w:color w:val="auto"/>
              </w:rPr>
            </w:pPr>
            <w:r>
              <w:rPr>
                <w:rFonts w:ascii="Arial" w:cs="Arial" w:eastAsia="Arial" w:hAnsi="Arial"/>
                <w:sz w:val="16"/>
                <w:szCs w:val="16"/>
                <w:color w:val="auto"/>
              </w:rPr>
              <w:t>Borrowings of long-term debt</w:t>
            </w:r>
          </w:p>
        </w:tc>
        <w:tc>
          <w:tcPr>
            <w:tcW w:w="1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230,000</w:t>
            </w: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868,762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2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Repayments of long-term debt</w:t>
            </w:r>
          </w:p>
        </w:tc>
        <w:tc>
          <w:tcPr>
            <w:tcW w:w="13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(111,384)</w:t>
            </w:r>
          </w:p>
        </w:tc>
        <w:tc>
          <w:tcPr>
            <w:tcW w:w="6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(1,024,052)</w:t>
            </w:r>
          </w:p>
        </w:tc>
        <w:tc>
          <w:tcPr>
            <w:tcW w:w="0" w:type="dxa"/>
            <w:vAlign w:val="bottom"/>
          </w:tcPr>
          <w:p>
            <w:pPr>
              <w:spacing w:after="0"/>
              <w:rPr>
                <w:sz w:val="1"/>
                <w:szCs w:val="1"/>
                <w:color w:val="auto"/>
              </w:rPr>
            </w:pPr>
          </w:p>
        </w:tc>
      </w:tr>
      <w:tr>
        <w:trPr>
          <w:trHeight w:val="213"/>
        </w:trPr>
        <w:tc>
          <w:tcPr>
            <w:tcW w:w="6240" w:type="dxa"/>
            <w:vAlign w:val="bottom"/>
          </w:tcPr>
          <w:p>
            <w:pPr>
              <w:ind w:left="260"/>
              <w:spacing w:after="0"/>
              <w:rPr>
                <w:sz w:val="20"/>
                <w:szCs w:val="20"/>
                <w:color w:val="auto"/>
              </w:rPr>
            </w:pPr>
            <w:r>
              <w:rPr>
                <w:rFonts w:ascii="Arial" w:cs="Arial" w:eastAsia="Arial" w:hAnsi="Arial"/>
                <w:sz w:val="16"/>
                <w:szCs w:val="16"/>
                <w:color w:val="auto"/>
              </w:rPr>
              <w:t>Payments on capital lease obligations</w:t>
            </w:r>
          </w:p>
        </w:tc>
        <w:tc>
          <w:tcPr>
            <w:tcW w:w="1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(5,784)</w:t>
            </w:r>
          </w:p>
        </w:tc>
        <w:tc>
          <w:tcPr>
            <w:tcW w:w="68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6"/>
                <w:szCs w:val="16"/>
                <w:color w:val="auto"/>
              </w:rPr>
              <w:t>(2,177)</w:t>
            </w:r>
          </w:p>
        </w:tc>
        <w:tc>
          <w:tcPr>
            <w:tcW w:w="0" w:type="dxa"/>
            <w:vAlign w:val="bottom"/>
          </w:tcPr>
          <w:p>
            <w:pPr>
              <w:spacing w:after="0"/>
              <w:rPr>
                <w:sz w:val="1"/>
                <w:szCs w:val="1"/>
                <w:color w:val="auto"/>
              </w:rPr>
            </w:pPr>
          </w:p>
        </w:tc>
      </w:tr>
      <w:tr>
        <w:trPr>
          <w:trHeight w:val="219"/>
        </w:trPr>
        <w:tc>
          <w:tcPr>
            <w:tcW w:w="62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Debt issuance costs</w:t>
            </w:r>
          </w:p>
        </w:tc>
        <w:tc>
          <w:tcPr>
            <w:tcW w:w="13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6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(2,402)</w:t>
            </w:r>
          </w:p>
        </w:tc>
        <w:tc>
          <w:tcPr>
            <w:tcW w:w="0" w:type="dxa"/>
            <w:vAlign w:val="bottom"/>
          </w:tcPr>
          <w:p>
            <w:pPr>
              <w:spacing w:after="0"/>
              <w:rPr>
                <w:sz w:val="1"/>
                <w:szCs w:val="1"/>
                <w:color w:val="auto"/>
              </w:rPr>
            </w:pPr>
          </w:p>
        </w:tc>
      </w:tr>
      <w:tr>
        <w:trPr>
          <w:trHeight w:val="213"/>
        </w:trPr>
        <w:tc>
          <w:tcPr>
            <w:tcW w:w="6240" w:type="dxa"/>
            <w:vAlign w:val="bottom"/>
          </w:tcPr>
          <w:p>
            <w:pPr>
              <w:ind w:left="260"/>
              <w:spacing w:after="0"/>
              <w:rPr>
                <w:sz w:val="20"/>
                <w:szCs w:val="20"/>
                <w:color w:val="auto"/>
              </w:rPr>
            </w:pPr>
            <w:r>
              <w:rPr>
                <w:rFonts w:ascii="Arial" w:cs="Arial" w:eastAsia="Arial" w:hAnsi="Arial"/>
                <w:sz w:val="16"/>
                <w:szCs w:val="16"/>
                <w:color w:val="auto"/>
              </w:rPr>
              <w:t>Change in bank overdraft</w:t>
            </w:r>
          </w:p>
        </w:tc>
        <w:tc>
          <w:tcPr>
            <w:tcW w:w="1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(183)</w:t>
            </w:r>
          </w:p>
        </w:tc>
        <w:tc>
          <w:tcPr>
            <w:tcW w:w="68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6"/>
                <w:szCs w:val="16"/>
                <w:color w:val="auto"/>
              </w:rPr>
              <w:t>(2,556)</w:t>
            </w:r>
          </w:p>
        </w:tc>
        <w:tc>
          <w:tcPr>
            <w:tcW w:w="0" w:type="dxa"/>
            <w:vAlign w:val="bottom"/>
          </w:tcPr>
          <w:p>
            <w:pPr>
              <w:spacing w:after="0"/>
              <w:rPr>
                <w:sz w:val="1"/>
                <w:szCs w:val="1"/>
                <w:color w:val="auto"/>
              </w:rPr>
            </w:pPr>
          </w:p>
        </w:tc>
      </w:tr>
      <w:tr>
        <w:trPr>
          <w:trHeight w:val="219"/>
        </w:trPr>
        <w:tc>
          <w:tcPr>
            <w:tcW w:w="62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Dividends paid</w:t>
            </w:r>
          </w:p>
        </w:tc>
        <w:tc>
          <w:tcPr>
            <w:tcW w:w="13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(81,219)</w:t>
            </w:r>
          </w:p>
        </w:tc>
        <w:tc>
          <w:tcPr>
            <w:tcW w:w="6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(64,263)</w:t>
            </w:r>
          </w:p>
        </w:tc>
        <w:tc>
          <w:tcPr>
            <w:tcW w:w="0" w:type="dxa"/>
            <w:vAlign w:val="bottom"/>
          </w:tcPr>
          <w:p>
            <w:pPr>
              <w:spacing w:after="0"/>
              <w:rPr>
                <w:sz w:val="1"/>
                <w:szCs w:val="1"/>
                <w:color w:val="auto"/>
              </w:rPr>
            </w:pPr>
          </w:p>
        </w:tc>
      </w:tr>
      <w:tr>
        <w:trPr>
          <w:trHeight w:val="213"/>
        </w:trPr>
        <w:tc>
          <w:tcPr>
            <w:tcW w:w="6240" w:type="dxa"/>
            <w:vAlign w:val="bottom"/>
          </w:tcPr>
          <w:p>
            <w:pPr>
              <w:ind w:left="260"/>
              <w:spacing w:after="0"/>
              <w:rPr>
                <w:sz w:val="20"/>
                <w:szCs w:val="20"/>
                <w:color w:val="auto"/>
              </w:rPr>
            </w:pPr>
            <w:r>
              <w:rPr>
                <w:rFonts w:ascii="Arial" w:cs="Arial" w:eastAsia="Arial" w:hAnsi="Arial"/>
                <w:sz w:val="16"/>
                <w:szCs w:val="16"/>
                <w:color w:val="auto"/>
              </w:rPr>
              <w:t>Purchase of remaining interest in existing subsidiaries</w:t>
            </w:r>
          </w:p>
        </w:tc>
        <w:tc>
          <w:tcPr>
            <w:tcW w:w="1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68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6"/>
                <w:szCs w:val="16"/>
                <w:color w:val="auto"/>
              </w:rPr>
              <w:t>(19,480)</w:t>
            </w:r>
          </w:p>
        </w:tc>
        <w:tc>
          <w:tcPr>
            <w:tcW w:w="0" w:type="dxa"/>
            <w:vAlign w:val="bottom"/>
          </w:tcPr>
          <w:p>
            <w:pPr>
              <w:spacing w:after="0"/>
              <w:rPr>
                <w:sz w:val="1"/>
                <w:szCs w:val="1"/>
                <w:color w:val="auto"/>
              </w:rPr>
            </w:pPr>
          </w:p>
        </w:tc>
      </w:tr>
      <w:tr>
        <w:trPr>
          <w:trHeight w:val="219"/>
        </w:trPr>
        <w:tc>
          <w:tcPr>
            <w:tcW w:w="62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Issuances of common stock</w:t>
            </w:r>
          </w:p>
        </w:tc>
        <w:tc>
          <w:tcPr>
            <w:tcW w:w="13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33,892</w:t>
            </w:r>
          </w:p>
        </w:tc>
        <w:tc>
          <w:tcPr>
            <w:tcW w:w="2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38,195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240" w:type="dxa"/>
            <w:vAlign w:val="bottom"/>
          </w:tcPr>
          <w:p>
            <w:pPr>
              <w:ind w:left="260"/>
              <w:spacing w:after="0"/>
              <w:rPr>
                <w:sz w:val="20"/>
                <w:szCs w:val="20"/>
                <w:color w:val="auto"/>
              </w:rPr>
            </w:pPr>
            <w:r>
              <w:rPr>
                <w:rFonts w:ascii="Arial" w:cs="Arial" w:eastAsia="Arial" w:hAnsi="Arial"/>
                <w:sz w:val="16"/>
                <w:szCs w:val="16"/>
                <w:color w:val="auto"/>
              </w:rPr>
              <w:t>Repurchases of common stock</w:t>
            </w:r>
          </w:p>
        </w:tc>
        <w:tc>
          <w:tcPr>
            <w:tcW w:w="1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(257,674)</w:t>
            </w:r>
          </w:p>
        </w:tc>
        <w:tc>
          <w:tcPr>
            <w:tcW w:w="6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62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Excess tax benefits from stock-based compensation transactions</w:t>
            </w:r>
          </w:p>
        </w:tc>
        <w:tc>
          <w:tcPr>
            <w:tcW w:w="1340" w:type="dxa"/>
            <w:vAlign w:val="bottom"/>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2,354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6240" w:type="dxa"/>
            <w:vAlign w:val="bottom"/>
          </w:tcPr>
          <w:p>
            <w:pPr>
              <w:spacing w:after="0"/>
              <w:rPr>
                <w:sz w:val="20"/>
                <w:szCs w:val="20"/>
                <w:color w:val="auto"/>
              </w:rPr>
            </w:pPr>
            <w:r>
              <w:rPr>
                <w:rFonts w:ascii="Arial" w:cs="Arial" w:eastAsia="Arial" w:hAnsi="Arial"/>
                <w:sz w:val="16"/>
                <w:szCs w:val="16"/>
                <w:color w:val="auto"/>
              </w:rPr>
              <w:t>Net Cash Used for Financing Activities</w:t>
            </w:r>
          </w:p>
        </w:tc>
        <w:tc>
          <w:tcPr>
            <w:tcW w:w="1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(192,352)</w:t>
            </w:r>
          </w:p>
        </w:tc>
        <w:tc>
          <w:tcPr>
            <w:tcW w:w="680" w:type="dxa"/>
            <w:vAlign w:val="bottom"/>
          </w:tcPr>
          <w:p>
            <w:pPr>
              <w:spacing w:after="0"/>
              <w:rPr>
                <w:sz w:val="17"/>
                <w:szCs w:val="17"/>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6"/>
                <w:szCs w:val="16"/>
                <w:color w:val="auto"/>
              </w:rPr>
              <w:t>(205,619)</w:t>
            </w:r>
          </w:p>
        </w:tc>
        <w:tc>
          <w:tcPr>
            <w:tcW w:w="0" w:type="dxa"/>
            <w:vAlign w:val="bottom"/>
          </w:tcPr>
          <w:p>
            <w:pPr>
              <w:spacing w:after="0"/>
              <w:rPr>
                <w:sz w:val="1"/>
                <w:szCs w:val="1"/>
                <w:color w:val="auto"/>
              </w:rPr>
            </w:pPr>
          </w:p>
        </w:tc>
      </w:tr>
      <w:tr>
        <w:trPr>
          <w:trHeight w:val="213"/>
        </w:trPr>
        <w:tc>
          <w:tcPr>
            <w:tcW w:w="6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Net Increase in Cash and Cash Equivalents</w:t>
            </w:r>
          </w:p>
        </w:tc>
        <w:tc>
          <w:tcPr>
            <w:tcW w:w="1340" w:type="dxa"/>
            <w:vAlign w:val="bottom"/>
            <w:tcBorders>
              <w:top w:val="single" w:sz="8" w:color="CFF0FC"/>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327,778</w:t>
            </w:r>
          </w:p>
        </w:tc>
        <w:tc>
          <w:tcPr>
            <w:tcW w:w="220" w:type="dxa"/>
            <w:vAlign w:val="bottom"/>
            <w:tcBorders>
              <w:top w:val="single" w:sz="8" w:color="CFF0FC"/>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31,160</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24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Cash and Cash Equivalents, beginning of period</w:t>
            </w:r>
          </w:p>
        </w:tc>
        <w:tc>
          <w:tcPr>
            <w:tcW w:w="1340" w:type="dxa"/>
            <w:vAlign w:val="bottom"/>
            <w:tcBorders>
              <w:bottom w:val="single" w:sz="8" w:color="CFF0FC"/>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108,651</w:t>
            </w:r>
          </w:p>
        </w:tc>
        <w:tc>
          <w:tcPr>
            <w:tcW w:w="220" w:type="dxa"/>
            <w:vAlign w:val="bottom"/>
            <w:tcBorders>
              <w:bottom w:val="single" w:sz="8" w:color="CFF0FC"/>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42,437</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40" w:type="dxa"/>
            <w:vAlign w:val="bottom"/>
            <w:shd w:val="clear" w:color="auto" w:fill="CFF0FC"/>
          </w:tcPr>
          <w:p>
            <w:pPr>
              <w:spacing w:after="0"/>
              <w:rPr>
                <w:sz w:val="20"/>
                <w:szCs w:val="20"/>
                <w:color w:val="auto"/>
              </w:rPr>
            </w:pPr>
            <w:r>
              <w:rPr>
                <w:rFonts w:ascii="Arial" w:cs="Arial" w:eastAsia="Arial" w:hAnsi="Arial"/>
                <w:sz w:val="16"/>
                <w:szCs w:val="16"/>
                <w:color w:val="auto"/>
              </w:rPr>
              <w:t>Cash and Cash Equivalents, end of period</w:t>
            </w:r>
          </w:p>
        </w:tc>
        <w:tc>
          <w:tcPr>
            <w:tcW w:w="2400" w:type="dxa"/>
            <w:vAlign w:val="bottom"/>
            <w:gridSpan w:val="2"/>
            <w:shd w:val="clear" w:color="auto" w:fill="CFF0FC"/>
          </w:tcPr>
          <w:p>
            <w:pPr>
              <w:jc w:val="right"/>
              <w:ind w:right="980"/>
              <w:spacing w:after="0"/>
              <w:rPr>
                <w:sz w:val="20"/>
                <w:szCs w:val="20"/>
                <w:color w:val="auto"/>
              </w:rPr>
            </w:pPr>
            <w:r>
              <w:rPr>
                <w:rFonts w:ascii="Arial" w:cs="Arial" w:eastAsia="Arial" w:hAnsi="Arial"/>
                <w:sz w:val="16"/>
                <w:szCs w:val="16"/>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436,429</w:t>
            </w:r>
          </w:p>
        </w:tc>
        <w:tc>
          <w:tcPr>
            <w:tcW w:w="220" w:type="dxa"/>
            <w:vAlign w:val="bottom"/>
            <w:shd w:val="clear" w:color="auto" w:fill="CFF0FC"/>
          </w:tcPr>
          <w:p>
            <w:pPr>
              <w:spacing w:after="0"/>
              <w:rPr>
                <w:sz w:val="18"/>
                <w:szCs w:val="18"/>
                <w:color w:val="auto"/>
              </w:rPr>
            </w:pPr>
          </w:p>
        </w:tc>
        <w:tc>
          <w:tcPr>
            <w:tcW w:w="680" w:type="dxa"/>
            <w:vAlign w:val="bottom"/>
            <w:shd w:val="clear" w:color="auto" w:fill="CFF0FC"/>
          </w:tcPr>
          <w:p>
            <w:pPr>
              <w:jc w:val="right"/>
              <w:ind w:right="524"/>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73,597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4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6"/>
                <w:szCs w:val="16"/>
                <w:color w:val="auto"/>
              </w:rPr>
              <w:t>Supplemental Disclosures of Cash Flow Information:</w:t>
            </w:r>
          </w:p>
        </w:tc>
        <w:tc>
          <w:tcPr>
            <w:tcW w:w="1340" w:type="dxa"/>
            <w:vAlign w:val="bottom"/>
            <w:tcBorders>
              <w:top w:val="single" w:sz="8" w:color="CFF0FC"/>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240" w:type="dxa"/>
            <w:vAlign w:val="bottom"/>
            <w:vMerge w:val="continue"/>
          </w:tcPr>
          <w:p>
            <w:pPr>
              <w:spacing w:after="0"/>
              <w:rPr>
                <w:sz w:val="17"/>
                <w:szCs w:val="17"/>
                <w:color w:val="auto"/>
              </w:rPr>
            </w:pPr>
          </w:p>
        </w:tc>
        <w:tc>
          <w:tcPr>
            <w:tcW w:w="1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62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Cash paid for interest</w:t>
            </w:r>
          </w:p>
        </w:tc>
        <w:tc>
          <w:tcPr>
            <w:tcW w:w="2400" w:type="dxa"/>
            <w:vAlign w:val="bottom"/>
            <w:gridSpan w:val="2"/>
            <w:shd w:val="clear" w:color="auto" w:fill="CFF0FC"/>
          </w:tcPr>
          <w:p>
            <w:pPr>
              <w:jc w:val="right"/>
              <w:ind w:right="980"/>
              <w:spacing w:after="0"/>
              <w:rPr>
                <w:sz w:val="20"/>
                <w:szCs w:val="20"/>
                <w:color w:val="auto"/>
              </w:rPr>
            </w:pPr>
            <w:r>
              <w:rPr>
                <w:rFonts w:ascii="Arial" w:cs="Arial" w:eastAsia="Arial" w:hAnsi="Arial"/>
                <w:sz w:val="16"/>
                <w:szCs w:val="16"/>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47,069</w:t>
            </w:r>
          </w:p>
        </w:tc>
        <w:tc>
          <w:tcPr>
            <w:tcW w:w="22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524"/>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56,162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240" w:type="dxa"/>
            <w:vAlign w:val="bottom"/>
          </w:tcPr>
          <w:p>
            <w:pPr>
              <w:ind w:left="260"/>
              <w:spacing w:after="0"/>
              <w:rPr>
                <w:sz w:val="20"/>
                <w:szCs w:val="20"/>
                <w:color w:val="auto"/>
              </w:rPr>
            </w:pPr>
            <w:r>
              <w:rPr>
                <w:rFonts w:ascii="Arial" w:cs="Arial" w:eastAsia="Arial" w:hAnsi="Arial"/>
                <w:sz w:val="16"/>
                <w:szCs w:val="16"/>
                <w:color w:val="auto"/>
              </w:rPr>
              <w:t>Cash paid for income taxes</w:t>
            </w:r>
          </w:p>
        </w:tc>
        <w:tc>
          <w:tcPr>
            <w:tcW w:w="2400" w:type="dxa"/>
            <w:vAlign w:val="bottom"/>
            <w:gridSpan w:val="2"/>
          </w:tcPr>
          <w:p>
            <w:pPr>
              <w:jc w:val="right"/>
              <w:ind w:right="98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30,896</w:t>
            </w:r>
          </w:p>
        </w:tc>
        <w:tc>
          <w:tcPr>
            <w:tcW w:w="220" w:type="dxa"/>
            <w:vAlign w:val="bottom"/>
          </w:tcPr>
          <w:p>
            <w:pPr>
              <w:spacing w:after="0"/>
              <w:rPr>
                <w:sz w:val="18"/>
                <w:szCs w:val="18"/>
                <w:color w:val="auto"/>
              </w:rPr>
            </w:pPr>
          </w:p>
        </w:tc>
        <w:tc>
          <w:tcPr>
            <w:tcW w:w="680" w:type="dxa"/>
            <w:vAlign w:val="bottom"/>
          </w:tcPr>
          <w:p>
            <w:pPr>
              <w:jc w:val="right"/>
              <w:ind w:right="524"/>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6,011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See accompanying notes to the consolidated financial statements.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5 of 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9" w:right="239" w:bottom="1440" w:gutter="0" w:footer="0" w:header="0"/>
        </w:sectPr>
      </w:pPr>
    </w:p>
    <w:bookmarkStart w:id="5" w:name="page6"/>
    <w:bookmarkEnd w:id="5"/>
    <w:p>
      <w:pPr>
        <w:jc w:val="center"/>
        <w:ind w:right="100"/>
        <w:spacing w:after="0" w:line="279" w:lineRule="auto"/>
        <w:rPr>
          <w:sz w:val="20"/>
          <w:szCs w:val="20"/>
          <w:color w:val="auto"/>
        </w:rPr>
      </w:pPr>
      <w:r>
        <w:rPr>
          <w:rFonts w:ascii="Arial" w:cs="Arial" w:eastAsia="Arial" w:hAnsi="Arial"/>
          <w:sz w:val="18"/>
          <w:szCs w:val="18"/>
          <w:color w:val="auto"/>
        </w:rPr>
        <w:t xml:space="preserve">MARTIN MARIETTA MATERIALS, INC. AND CONSOLIDATED SUBSIDIARIES CONSOLIDATED STATEMENT OF TOTAL EQUITY </w:t>
      </w:r>
      <w:r>
        <w:rPr>
          <w:rFonts w:ascii="Arial" w:cs="Arial" w:eastAsia="Arial" w:hAnsi="Arial"/>
          <w:sz w:val="18"/>
          <w:szCs w:val="18"/>
          <w:i w:val="1"/>
          <w:iCs w:val="1"/>
          <w:color w:val="auto"/>
        </w:rPr>
        <w:t>(Unaudited)</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Shares of</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6"/>
              </w:rPr>
              <w:t>Additional</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Total</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Common</w:t>
            </w:r>
          </w:p>
        </w:tc>
        <w:tc>
          <w:tcPr>
            <w:tcW w:w="60" w:type="dxa"/>
            <w:vAlign w:val="bottom"/>
          </w:tcPr>
          <w:p>
            <w:pPr>
              <w:spacing w:after="0"/>
              <w:rPr>
                <w:sz w:val="18"/>
                <w:szCs w:val="18"/>
                <w:color w:val="auto"/>
              </w:rPr>
            </w:pPr>
          </w:p>
        </w:tc>
        <w:tc>
          <w:tcPr>
            <w:tcW w:w="920" w:type="dxa"/>
            <w:vAlign w:val="bottom"/>
            <w:gridSpan w:val="3"/>
          </w:tcPr>
          <w:p>
            <w:pPr>
              <w:jc w:val="right"/>
              <w:ind w:right="220"/>
              <w:spacing w:after="0"/>
              <w:rPr>
                <w:sz w:val="20"/>
                <w:szCs w:val="20"/>
                <w:color w:val="auto"/>
              </w:rPr>
            </w:pPr>
            <w:r>
              <w:rPr>
                <w:rFonts w:ascii="Arial" w:cs="Arial" w:eastAsia="Arial" w:hAnsi="Arial"/>
                <w:sz w:val="18"/>
                <w:szCs w:val="18"/>
                <w:color w:val="auto"/>
                <w:w w:val="93"/>
              </w:rPr>
              <w:t>Common</w:t>
            </w:r>
          </w:p>
        </w:tc>
        <w:tc>
          <w:tcPr>
            <w:tcW w:w="860" w:type="dxa"/>
            <w:vAlign w:val="bottom"/>
          </w:tcPr>
          <w:p>
            <w:pPr>
              <w:jc w:val="center"/>
              <w:spacing w:after="0"/>
              <w:rPr>
                <w:sz w:val="20"/>
                <w:szCs w:val="20"/>
                <w:color w:val="auto"/>
              </w:rPr>
            </w:pPr>
            <w:r>
              <w:rPr>
                <w:rFonts w:ascii="Arial" w:cs="Arial" w:eastAsia="Arial" w:hAnsi="Arial"/>
                <w:sz w:val="18"/>
                <w:szCs w:val="18"/>
                <w:color w:val="auto"/>
                <w:w w:val="90"/>
              </w:rPr>
              <w:t>Paid-</w:t>
            </w:r>
          </w:p>
        </w:tc>
        <w:tc>
          <w:tcPr>
            <w:tcW w:w="180" w:type="dxa"/>
            <w:vAlign w:val="bottom"/>
          </w:tcPr>
          <w:p>
            <w:pPr>
              <w:spacing w:after="0"/>
              <w:rPr>
                <w:sz w:val="18"/>
                <w:szCs w:val="18"/>
                <w:color w:val="auto"/>
              </w:rPr>
            </w:pPr>
          </w:p>
        </w:tc>
        <w:tc>
          <w:tcPr>
            <w:tcW w:w="1660" w:type="dxa"/>
            <w:vAlign w:val="bottom"/>
            <w:gridSpan w:val="3"/>
          </w:tcPr>
          <w:p>
            <w:pPr>
              <w:jc w:val="right"/>
              <w:ind w:right="200"/>
              <w:spacing w:after="0"/>
              <w:rPr>
                <w:sz w:val="20"/>
                <w:szCs w:val="20"/>
                <w:color w:val="auto"/>
              </w:rPr>
            </w:pPr>
            <w:r>
              <w:rPr>
                <w:rFonts w:ascii="Arial" w:cs="Arial" w:eastAsia="Arial" w:hAnsi="Arial"/>
                <w:sz w:val="18"/>
                <w:szCs w:val="18"/>
                <w:color w:val="auto"/>
                <w:w w:val="93"/>
              </w:rPr>
              <w:t>Accumulated Other</w:t>
            </w:r>
          </w:p>
        </w:tc>
        <w:tc>
          <w:tcPr>
            <w:tcW w:w="6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w w:val="99"/>
              </w:rPr>
              <w:t>Retained</w:t>
            </w:r>
          </w:p>
        </w:tc>
        <w:tc>
          <w:tcPr>
            <w:tcW w:w="1100" w:type="dxa"/>
            <w:vAlign w:val="bottom"/>
            <w:gridSpan w:val="3"/>
          </w:tcPr>
          <w:p>
            <w:pPr>
              <w:spacing w:after="0"/>
              <w:rPr>
                <w:sz w:val="20"/>
                <w:szCs w:val="20"/>
                <w:color w:val="auto"/>
              </w:rPr>
            </w:pPr>
            <w:r>
              <w:rPr>
                <w:rFonts w:ascii="Arial" w:cs="Arial" w:eastAsia="Arial" w:hAnsi="Arial"/>
                <w:sz w:val="18"/>
                <w:szCs w:val="18"/>
                <w:color w:val="auto"/>
                <w:w w:val="97"/>
              </w:rPr>
              <w:t>Shareholders'</w:t>
            </w:r>
          </w:p>
        </w:tc>
        <w:tc>
          <w:tcPr>
            <w:tcW w:w="1580" w:type="dxa"/>
            <w:vAlign w:val="bottom"/>
            <w:gridSpan w:val="4"/>
          </w:tcPr>
          <w:p>
            <w:pPr>
              <w:ind w:left="60"/>
              <w:spacing w:after="0"/>
              <w:rPr>
                <w:sz w:val="20"/>
                <w:szCs w:val="20"/>
                <w:color w:val="auto"/>
              </w:rPr>
            </w:pPr>
            <w:r>
              <w:rPr>
                <w:rFonts w:ascii="Arial" w:cs="Arial" w:eastAsia="Arial" w:hAnsi="Arial"/>
                <w:sz w:val="18"/>
                <w:szCs w:val="18"/>
                <w:color w:val="auto"/>
              </w:rPr>
              <w:t>Noncontrolling</w:t>
            </w: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Total</w:t>
            </w:r>
          </w:p>
        </w:tc>
      </w:tr>
      <w:tr>
        <w:trPr>
          <w:trHeight w:val="230"/>
        </w:trPr>
        <w:tc>
          <w:tcPr>
            <w:tcW w:w="2160" w:type="dxa"/>
            <w:vAlign w:val="bottom"/>
            <w:gridSpan w:val="3"/>
          </w:tcPr>
          <w:p>
            <w:pPr>
              <w:spacing w:after="0"/>
              <w:rPr>
                <w:sz w:val="20"/>
                <w:szCs w:val="20"/>
                <w:color w:val="auto"/>
              </w:rPr>
            </w:pPr>
            <w:r>
              <w:rPr>
                <w:rFonts w:ascii="Arial" w:cs="Arial" w:eastAsia="Arial" w:hAnsi="Arial"/>
                <w:sz w:val="18"/>
                <w:szCs w:val="18"/>
                <w:i w:val="1"/>
                <w:iCs w:val="1"/>
                <w:color w:val="auto"/>
              </w:rPr>
              <w:t>(in thousands)</w:t>
            </w:r>
          </w:p>
        </w:tc>
        <w:tc>
          <w:tcPr>
            <w:tcW w:w="8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Stock</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w w:val="97"/>
              </w:rPr>
              <w:t>Stock</w:t>
            </w:r>
          </w:p>
        </w:tc>
        <w:tc>
          <w:tcPr>
            <w:tcW w:w="860" w:type="dxa"/>
            <w:vAlign w:val="bottom"/>
          </w:tcPr>
          <w:p>
            <w:pPr>
              <w:jc w:val="center"/>
              <w:spacing w:after="0"/>
              <w:rPr>
                <w:sz w:val="20"/>
                <w:szCs w:val="20"/>
                <w:color w:val="auto"/>
              </w:rPr>
            </w:pPr>
            <w:r>
              <w:rPr>
                <w:rFonts w:ascii="Arial" w:cs="Arial" w:eastAsia="Arial" w:hAnsi="Arial"/>
                <w:sz w:val="18"/>
                <w:szCs w:val="18"/>
                <w:color w:val="auto"/>
                <w:w w:val="93"/>
              </w:rPr>
              <w:t>in Capital</w:t>
            </w:r>
          </w:p>
        </w:tc>
        <w:tc>
          <w:tcPr>
            <w:tcW w:w="1840" w:type="dxa"/>
            <w:vAlign w:val="bottom"/>
            <w:gridSpan w:val="4"/>
          </w:tcPr>
          <w:p>
            <w:pPr>
              <w:ind w:left="180"/>
              <w:spacing w:after="0"/>
              <w:rPr>
                <w:sz w:val="20"/>
                <w:szCs w:val="20"/>
                <w:color w:val="auto"/>
              </w:rPr>
            </w:pPr>
            <w:r>
              <w:rPr>
                <w:rFonts w:ascii="Arial" w:cs="Arial" w:eastAsia="Arial" w:hAnsi="Arial"/>
                <w:sz w:val="18"/>
                <w:szCs w:val="18"/>
                <w:color w:val="auto"/>
                <w:w w:val="96"/>
              </w:rPr>
              <w:t>Comprehensive Loss</w:t>
            </w:r>
          </w:p>
        </w:tc>
        <w:tc>
          <w:tcPr>
            <w:tcW w:w="60" w:type="dxa"/>
            <w:vAlign w:val="bottom"/>
          </w:tcPr>
          <w:p>
            <w:pPr>
              <w:spacing w:after="0"/>
              <w:rPr>
                <w:sz w:val="20"/>
                <w:szCs w:val="20"/>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Earnings</w:t>
            </w:r>
          </w:p>
        </w:tc>
        <w:tc>
          <w:tcPr>
            <w:tcW w:w="160" w:type="dxa"/>
            <w:vAlign w:val="bottom"/>
          </w:tcPr>
          <w:p>
            <w:pPr>
              <w:spacing w:after="0"/>
              <w:rPr>
                <w:sz w:val="20"/>
                <w:szCs w:val="20"/>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Equity</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2"/>
          </w:tcPr>
          <w:p>
            <w:pPr>
              <w:ind w:left="80"/>
              <w:spacing w:after="0"/>
              <w:rPr>
                <w:sz w:val="20"/>
                <w:szCs w:val="20"/>
                <w:color w:val="auto"/>
              </w:rPr>
            </w:pPr>
            <w:r>
              <w:rPr>
                <w:rFonts w:ascii="Arial" w:cs="Arial" w:eastAsia="Arial" w:hAnsi="Arial"/>
                <w:sz w:val="18"/>
                <w:szCs w:val="18"/>
                <w:color w:val="auto"/>
              </w:rPr>
              <w:t>Interests</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Equity</w:t>
            </w:r>
          </w:p>
        </w:tc>
      </w:tr>
      <w:tr>
        <w:trPr>
          <w:trHeight w:val="209"/>
        </w:trPr>
        <w:tc>
          <w:tcPr>
            <w:tcW w:w="20" w:type="dxa"/>
            <w:vAlign w:val="bottom"/>
          </w:tcPr>
          <w:p>
            <w:pPr>
              <w:spacing w:after="0"/>
              <w:rPr>
                <w:sz w:val="18"/>
                <w:szCs w:val="18"/>
                <w:color w:val="auto"/>
              </w:rPr>
            </w:pPr>
          </w:p>
        </w:tc>
        <w:tc>
          <w:tcPr>
            <w:tcW w:w="196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5"/>
              </w:rPr>
              <w:t>Balance at December 31,</w:t>
            </w:r>
          </w:p>
        </w:tc>
        <w:tc>
          <w:tcPr>
            <w:tcW w:w="18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1980" w:type="dxa"/>
            <w:vAlign w:val="bottom"/>
            <w:gridSpan w:val="2"/>
          </w:tcPr>
          <w:p>
            <w:pPr>
              <w:spacing w:after="0"/>
              <w:rPr>
                <w:sz w:val="20"/>
                <w:szCs w:val="20"/>
                <w:color w:val="auto"/>
              </w:rPr>
            </w:pPr>
            <w:r>
              <w:rPr>
                <w:rFonts w:ascii="Arial" w:cs="Arial" w:eastAsia="Arial" w:hAnsi="Arial"/>
                <w:sz w:val="18"/>
                <w:szCs w:val="18"/>
                <w:color w:val="auto"/>
              </w:rPr>
              <w:t>2014</w:t>
            </w: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67,293</w:t>
            </w:r>
          </w:p>
        </w:tc>
        <w:tc>
          <w:tcPr>
            <w:tcW w:w="120" w:type="dxa"/>
            <w:vAlign w:val="bottom"/>
          </w:tcPr>
          <w:p>
            <w:pPr>
              <w:spacing w:after="0"/>
              <w:rPr>
                <w:sz w:val="20"/>
                <w:szCs w:val="20"/>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671</w:t>
            </w: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86"/>
              </w:rPr>
              <w:t>$ 3,243,619</w:t>
            </w:r>
          </w:p>
        </w:tc>
        <w:tc>
          <w:tcPr>
            <w:tcW w:w="6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(106,159)</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w w:val="92"/>
              </w:rPr>
              <w:t>$ 1,213,035</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7"/>
              </w:rPr>
              <w:t>4,351,166</w:t>
            </w:r>
          </w:p>
        </w:tc>
        <w:tc>
          <w:tcPr>
            <w:tcW w:w="120" w:type="dxa"/>
            <w:vAlign w:val="bottom"/>
          </w:tcPr>
          <w:p>
            <w:pPr>
              <w:spacing w:after="0"/>
              <w:rPr>
                <w:sz w:val="20"/>
                <w:szCs w:val="20"/>
                <w:color w:val="auto"/>
              </w:rPr>
            </w:pPr>
          </w:p>
        </w:tc>
        <w:tc>
          <w:tcPr>
            <w:tcW w:w="2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1,582</w:t>
            </w:r>
          </w:p>
        </w:tc>
        <w:tc>
          <w:tcPr>
            <w:tcW w:w="4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86"/>
              </w:rPr>
              <w:t>$ 4,352,748</w:t>
            </w:r>
          </w:p>
        </w:tc>
        <w:tc>
          <w:tcPr>
            <w:tcW w:w="100" w:type="dxa"/>
            <w:vAlign w:val="bottom"/>
          </w:tcPr>
          <w:p>
            <w:pPr>
              <w:spacing w:after="0"/>
              <w:rPr>
                <w:sz w:val="20"/>
                <w:szCs w:val="20"/>
                <w:color w:val="auto"/>
              </w:rPr>
            </w:pPr>
          </w:p>
        </w:tc>
      </w:tr>
      <w:tr>
        <w:trPr>
          <w:trHeight w:val="215"/>
        </w:trPr>
        <w:tc>
          <w:tcPr>
            <w:tcW w:w="20" w:type="dxa"/>
            <w:vAlign w:val="bottom"/>
          </w:tcPr>
          <w:p>
            <w:pPr>
              <w:spacing w:after="0"/>
              <w:rPr>
                <w:sz w:val="18"/>
                <w:szCs w:val="18"/>
                <w:color w:val="auto"/>
              </w:rPr>
            </w:pPr>
          </w:p>
        </w:tc>
        <w:tc>
          <w:tcPr>
            <w:tcW w:w="21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Consolidated net</w:t>
            </w:r>
          </w:p>
        </w:tc>
        <w:tc>
          <w:tcPr>
            <w:tcW w:w="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21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earnings</w:t>
            </w: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205,607</w:t>
            </w:r>
          </w:p>
        </w:tc>
        <w:tc>
          <w:tcPr>
            <w:tcW w:w="1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205,607</w:t>
            </w:r>
          </w:p>
        </w:tc>
        <w:tc>
          <w:tcPr>
            <w:tcW w:w="1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w:t>
            </w:r>
          </w:p>
        </w:tc>
        <w:tc>
          <w:tcPr>
            <w:tcW w:w="42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205,715</w:t>
            </w:r>
          </w:p>
        </w:tc>
        <w:tc>
          <w:tcPr>
            <w:tcW w:w="100" w:type="dxa"/>
            <w:vAlign w:val="bottom"/>
            <w:shd w:val="clear" w:color="auto" w:fill="CFF0FC"/>
          </w:tcPr>
          <w:p>
            <w:pPr>
              <w:spacing w:after="0"/>
              <w:rPr>
                <w:sz w:val="20"/>
                <w:szCs w:val="20"/>
                <w:color w:val="auto"/>
              </w:rPr>
            </w:pPr>
          </w:p>
        </w:tc>
      </w:tr>
      <w:tr>
        <w:trPr>
          <w:trHeight w:val="215"/>
        </w:trPr>
        <w:tc>
          <w:tcPr>
            <w:tcW w:w="20" w:type="dxa"/>
            <w:vAlign w:val="bottom"/>
          </w:tcPr>
          <w:p>
            <w:pPr>
              <w:spacing w:after="0"/>
              <w:rPr>
                <w:sz w:val="18"/>
                <w:szCs w:val="18"/>
                <w:color w:val="auto"/>
              </w:rPr>
            </w:pPr>
          </w:p>
        </w:tc>
        <w:tc>
          <w:tcPr>
            <w:tcW w:w="2140" w:type="dxa"/>
            <w:vAlign w:val="bottom"/>
            <w:gridSpan w:val="2"/>
          </w:tcPr>
          <w:p>
            <w:pPr>
              <w:ind w:left="240"/>
              <w:spacing w:after="0"/>
              <w:rPr>
                <w:sz w:val="20"/>
                <w:szCs w:val="20"/>
                <w:color w:val="auto"/>
              </w:rPr>
            </w:pPr>
            <w:r>
              <w:rPr>
                <w:rFonts w:ascii="Arial" w:cs="Arial" w:eastAsia="Arial" w:hAnsi="Arial"/>
                <w:sz w:val="18"/>
                <w:szCs w:val="18"/>
                <w:color w:val="auto"/>
              </w:rPr>
              <w:t>Other comprehensive</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140" w:type="dxa"/>
            <w:vAlign w:val="bottom"/>
            <w:gridSpan w:val="2"/>
          </w:tcPr>
          <w:p>
            <w:pPr>
              <w:ind w:left="240"/>
              <w:spacing w:after="0"/>
              <w:rPr>
                <w:sz w:val="20"/>
                <w:szCs w:val="20"/>
                <w:color w:val="auto"/>
              </w:rPr>
            </w:pPr>
            <w:r>
              <w:rPr>
                <w:rFonts w:ascii="Arial" w:cs="Arial" w:eastAsia="Arial" w:hAnsi="Arial"/>
                <w:sz w:val="18"/>
                <w:szCs w:val="18"/>
                <w:color w:val="auto"/>
              </w:rPr>
              <w:t>(loss) earnings,</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2140" w:type="dxa"/>
            <w:vAlign w:val="bottom"/>
            <w:gridSpan w:val="2"/>
          </w:tcPr>
          <w:p>
            <w:pPr>
              <w:ind w:left="460"/>
              <w:spacing w:after="0"/>
              <w:rPr>
                <w:sz w:val="20"/>
                <w:szCs w:val="20"/>
                <w:color w:val="auto"/>
              </w:rPr>
            </w:pPr>
            <w:r>
              <w:rPr>
                <w:rFonts w:ascii="Arial" w:cs="Arial" w:eastAsia="Arial" w:hAnsi="Arial"/>
                <w:sz w:val="18"/>
                <w:szCs w:val="18"/>
                <w:color w:val="auto"/>
              </w:rPr>
              <w:t>net of tax</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(6,583)</w:t>
            </w:r>
          </w:p>
        </w:tc>
        <w:tc>
          <w:tcPr>
            <w:tcW w:w="6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(6,583)</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w:t>
            </w:r>
          </w:p>
        </w:tc>
        <w:tc>
          <w:tcPr>
            <w:tcW w:w="42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(6,575)</w:t>
            </w:r>
          </w:p>
        </w:tc>
      </w:tr>
      <w:tr>
        <w:trPr>
          <w:trHeight w:val="230"/>
        </w:trPr>
        <w:tc>
          <w:tcPr>
            <w:tcW w:w="20" w:type="dxa"/>
            <w:vAlign w:val="bottom"/>
          </w:tcPr>
          <w:p>
            <w:pPr>
              <w:spacing w:after="0"/>
              <w:rPr>
                <w:sz w:val="19"/>
                <w:szCs w:val="19"/>
                <w:color w:val="auto"/>
              </w:rPr>
            </w:pPr>
          </w:p>
        </w:tc>
        <w:tc>
          <w:tcPr>
            <w:tcW w:w="21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Dividends declared</w:t>
            </w: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(81,219)</w:t>
            </w:r>
          </w:p>
        </w:tc>
        <w:tc>
          <w:tcPr>
            <w:tcW w:w="1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(81,219)</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4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(81,219)</w:t>
            </w:r>
          </w:p>
        </w:tc>
      </w:tr>
      <w:tr>
        <w:trPr>
          <w:trHeight w:val="215"/>
        </w:trPr>
        <w:tc>
          <w:tcPr>
            <w:tcW w:w="20" w:type="dxa"/>
            <w:vAlign w:val="bottom"/>
          </w:tcPr>
          <w:p>
            <w:pPr>
              <w:spacing w:after="0"/>
              <w:rPr>
                <w:sz w:val="18"/>
                <w:szCs w:val="18"/>
                <w:color w:val="auto"/>
              </w:rPr>
            </w:pPr>
          </w:p>
        </w:tc>
        <w:tc>
          <w:tcPr>
            <w:tcW w:w="2140" w:type="dxa"/>
            <w:vAlign w:val="bottom"/>
            <w:gridSpan w:val="2"/>
          </w:tcPr>
          <w:p>
            <w:pPr>
              <w:ind w:left="240"/>
              <w:spacing w:after="0"/>
              <w:rPr>
                <w:sz w:val="20"/>
                <w:szCs w:val="20"/>
                <w:color w:val="auto"/>
              </w:rPr>
            </w:pPr>
            <w:r>
              <w:rPr>
                <w:rFonts w:ascii="Arial" w:cs="Arial" w:eastAsia="Arial" w:hAnsi="Arial"/>
                <w:sz w:val="18"/>
                <w:szCs w:val="18"/>
                <w:color w:val="auto"/>
              </w:rPr>
              <w:t>Issuances of common</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140" w:type="dxa"/>
            <w:vAlign w:val="bottom"/>
            <w:gridSpan w:val="2"/>
          </w:tcPr>
          <w:p>
            <w:pPr>
              <w:ind w:left="240"/>
              <w:spacing w:after="0"/>
              <w:rPr>
                <w:sz w:val="20"/>
                <w:szCs w:val="20"/>
                <w:color w:val="auto"/>
              </w:rPr>
            </w:pPr>
            <w:r>
              <w:rPr>
                <w:rFonts w:ascii="Arial" w:cs="Arial" w:eastAsia="Arial" w:hAnsi="Arial"/>
                <w:sz w:val="18"/>
                <w:szCs w:val="18"/>
                <w:color w:val="auto"/>
              </w:rPr>
              <w:t>stock for stock</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2140" w:type="dxa"/>
            <w:vAlign w:val="bottom"/>
            <w:gridSpan w:val="2"/>
          </w:tcPr>
          <w:p>
            <w:pPr>
              <w:ind w:left="460"/>
              <w:spacing w:after="0"/>
              <w:rPr>
                <w:sz w:val="20"/>
                <w:szCs w:val="20"/>
                <w:color w:val="auto"/>
              </w:rPr>
            </w:pPr>
            <w:r>
              <w:rPr>
                <w:rFonts w:ascii="Arial" w:cs="Arial" w:eastAsia="Arial" w:hAnsi="Arial"/>
                <w:sz w:val="18"/>
                <w:szCs w:val="18"/>
                <w:color w:val="auto"/>
              </w:rPr>
              <w:t>award plans</w:t>
            </w:r>
          </w:p>
        </w:tc>
        <w:tc>
          <w:tcPr>
            <w:tcW w:w="740" w:type="dxa"/>
            <w:vAlign w:val="bottom"/>
          </w:tcPr>
          <w:p>
            <w:pPr>
              <w:jc w:val="right"/>
              <w:spacing w:after="0"/>
              <w:rPr>
                <w:sz w:val="20"/>
                <w:szCs w:val="20"/>
                <w:color w:val="auto"/>
              </w:rPr>
            </w:pPr>
            <w:r>
              <w:rPr>
                <w:rFonts w:ascii="Arial" w:cs="Arial" w:eastAsia="Arial" w:hAnsi="Arial"/>
                <w:sz w:val="18"/>
                <w:szCs w:val="18"/>
                <w:color w:val="auto"/>
              </w:rPr>
              <w:t>434</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28,859</w:t>
            </w: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28,863</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28,863</w:t>
            </w:r>
          </w:p>
        </w:tc>
        <w:tc>
          <w:tcPr>
            <w:tcW w:w="100" w:type="dxa"/>
            <w:vAlign w:val="bottom"/>
          </w:tcPr>
          <w:p>
            <w:pPr>
              <w:spacing w:after="0"/>
              <w:rPr>
                <w:sz w:val="20"/>
                <w:szCs w:val="20"/>
                <w:color w:val="auto"/>
              </w:rPr>
            </w:pPr>
          </w:p>
        </w:tc>
      </w:tr>
      <w:tr>
        <w:trPr>
          <w:trHeight w:val="215"/>
        </w:trPr>
        <w:tc>
          <w:tcPr>
            <w:tcW w:w="20" w:type="dxa"/>
            <w:vAlign w:val="bottom"/>
          </w:tcPr>
          <w:p>
            <w:pPr>
              <w:spacing w:after="0"/>
              <w:rPr>
                <w:sz w:val="18"/>
                <w:szCs w:val="18"/>
                <w:color w:val="auto"/>
              </w:rPr>
            </w:pPr>
          </w:p>
        </w:tc>
        <w:tc>
          <w:tcPr>
            <w:tcW w:w="21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Repurchases of</w:t>
            </w:r>
          </w:p>
        </w:tc>
        <w:tc>
          <w:tcPr>
            <w:tcW w:w="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21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common stock</w:t>
            </w: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(1,587)</w:t>
            </w:r>
          </w:p>
        </w:tc>
        <w:tc>
          <w:tcPr>
            <w:tcW w:w="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(15)</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(257,659)</w:t>
            </w:r>
          </w:p>
        </w:tc>
        <w:tc>
          <w:tcPr>
            <w:tcW w:w="16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(257,674)</w:t>
            </w:r>
          </w:p>
        </w:tc>
        <w:tc>
          <w:tcPr>
            <w:tcW w:w="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360" w:type="dxa"/>
            <w:vAlign w:val="bottom"/>
            <w:gridSpan w:val="2"/>
            <w:shd w:val="clear" w:color="auto" w:fill="CFF0FC"/>
          </w:tcPr>
          <w:p>
            <w:pPr>
              <w:jc w:val="right"/>
              <w:ind w:right="4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(257,674)</w:t>
            </w:r>
          </w:p>
        </w:tc>
      </w:tr>
      <w:tr>
        <w:trPr>
          <w:trHeight w:val="215"/>
        </w:trPr>
        <w:tc>
          <w:tcPr>
            <w:tcW w:w="20" w:type="dxa"/>
            <w:vAlign w:val="bottom"/>
          </w:tcPr>
          <w:p>
            <w:pPr>
              <w:spacing w:after="0"/>
              <w:rPr>
                <w:sz w:val="18"/>
                <w:szCs w:val="18"/>
                <w:color w:val="auto"/>
              </w:rPr>
            </w:pPr>
          </w:p>
        </w:tc>
        <w:tc>
          <w:tcPr>
            <w:tcW w:w="2140" w:type="dxa"/>
            <w:vAlign w:val="bottom"/>
            <w:gridSpan w:val="2"/>
          </w:tcPr>
          <w:p>
            <w:pPr>
              <w:ind w:left="240"/>
              <w:spacing w:after="0"/>
              <w:rPr>
                <w:sz w:val="20"/>
                <w:szCs w:val="20"/>
                <w:color w:val="auto"/>
              </w:rPr>
            </w:pPr>
            <w:r>
              <w:rPr>
                <w:rFonts w:ascii="Arial" w:cs="Arial" w:eastAsia="Arial" w:hAnsi="Arial"/>
                <w:sz w:val="18"/>
                <w:szCs w:val="18"/>
                <w:color w:val="auto"/>
              </w:rPr>
              <w:t>Stock-based</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2140" w:type="dxa"/>
            <w:vAlign w:val="bottom"/>
            <w:gridSpan w:val="2"/>
          </w:tcPr>
          <w:p>
            <w:pPr>
              <w:ind w:left="240"/>
              <w:spacing w:after="0"/>
              <w:rPr>
                <w:sz w:val="20"/>
                <w:szCs w:val="20"/>
                <w:color w:val="auto"/>
              </w:rPr>
            </w:pPr>
            <w:r>
              <w:rPr>
                <w:rFonts w:ascii="Arial" w:cs="Arial" w:eastAsia="Arial" w:hAnsi="Arial"/>
                <w:sz w:val="18"/>
                <w:szCs w:val="18"/>
                <w:color w:val="auto"/>
              </w:rPr>
              <w:t>compensation expense</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10,722</w:t>
            </w: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10,722</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10,722</w:t>
            </w:r>
          </w:p>
        </w:tc>
        <w:tc>
          <w:tcPr>
            <w:tcW w:w="100" w:type="dxa"/>
            <w:vAlign w:val="bottom"/>
          </w:tcPr>
          <w:p>
            <w:pPr>
              <w:spacing w:after="0"/>
              <w:rPr>
                <w:sz w:val="20"/>
                <w:szCs w:val="20"/>
                <w:color w:val="auto"/>
              </w:rPr>
            </w:pPr>
          </w:p>
        </w:tc>
      </w:tr>
      <w:tr>
        <w:trPr>
          <w:trHeight w:val="209"/>
        </w:trPr>
        <w:tc>
          <w:tcPr>
            <w:tcW w:w="20" w:type="dxa"/>
            <w:vAlign w:val="bottom"/>
          </w:tcPr>
          <w:p>
            <w:pPr>
              <w:spacing w:after="0"/>
              <w:rPr>
                <w:sz w:val="18"/>
                <w:szCs w:val="18"/>
                <w:color w:val="auto"/>
              </w:rPr>
            </w:pPr>
          </w:p>
        </w:tc>
        <w:tc>
          <w:tcPr>
            <w:tcW w:w="214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Balance at September 30,</w:t>
            </w:r>
          </w:p>
        </w:tc>
        <w:tc>
          <w:tcPr>
            <w:tcW w:w="7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48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420" w:type="dxa"/>
            <w:vAlign w:val="bottom"/>
            <w:tcBorders>
              <w:top w:val="single" w:sz="8" w:color="CFF0FC"/>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960" w:type="dxa"/>
            <w:vAlign w:val="bottom"/>
            <w:shd w:val="clear" w:color="auto" w:fill="CFF0FC"/>
          </w:tcPr>
          <w:p>
            <w:pPr>
              <w:spacing w:after="0"/>
              <w:rPr>
                <w:sz w:val="20"/>
                <w:szCs w:val="20"/>
                <w:color w:val="auto"/>
              </w:rPr>
            </w:pPr>
            <w:r>
              <w:rPr>
                <w:rFonts w:ascii="Arial" w:cs="Arial" w:eastAsia="Arial" w:hAnsi="Arial"/>
                <w:sz w:val="18"/>
                <w:szCs w:val="18"/>
                <w:color w:val="auto"/>
              </w:rPr>
              <w:t>2015</w:t>
            </w:r>
          </w:p>
        </w:tc>
        <w:tc>
          <w:tcPr>
            <w:tcW w:w="18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66,140</w:t>
            </w:r>
          </w:p>
        </w:tc>
        <w:tc>
          <w:tcPr>
            <w:tcW w:w="120" w:type="dxa"/>
            <w:vAlign w:val="bottom"/>
            <w:shd w:val="clear" w:color="auto" w:fill="CFF0FC"/>
          </w:tcPr>
          <w:p>
            <w:pPr>
              <w:spacing w:after="0"/>
              <w:rPr>
                <w:sz w:val="20"/>
                <w:szCs w:val="20"/>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660</w:t>
            </w:r>
          </w:p>
        </w:tc>
        <w:tc>
          <w:tcPr>
            <w:tcW w:w="18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6"/>
              </w:rPr>
              <w:t>$ 3,283,200</w:t>
            </w:r>
          </w:p>
        </w:tc>
        <w:tc>
          <w:tcPr>
            <w:tcW w:w="66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(112,742)</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2"/>
              </w:rPr>
              <w:t>$ 1,079,764</w:t>
            </w:r>
          </w:p>
        </w:tc>
        <w:tc>
          <w:tcPr>
            <w:tcW w:w="1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4,250,882</w:t>
            </w:r>
          </w:p>
        </w:tc>
        <w:tc>
          <w:tcPr>
            <w:tcW w:w="120" w:type="dxa"/>
            <w:vAlign w:val="bottom"/>
            <w:shd w:val="clear" w:color="auto" w:fill="CFF0FC"/>
          </w:tcPr>
          <w:p>
            <w:pPr>
              <w:spacing w:after="0"/>
              <w:rPr>
                <w:sz w:val="20"/>
                <w:szCs w:val="20"/>
                <w:color w:val="auto"/>
              </w:rPr>
            </w:pPr>
          </w:p>
        </w:tc>
        <w:tc>
          <w:tcPr>
            <w:tcW w:w="22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1,698</w:t>
            </w:r>
          </w:p>
        </w:tc>
        <w:tc>
          <w:tcPr>
            <w:tcW w:w="42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6"/>
              </w:rPr>
              <w:t>$ 4,252,580</w:t>
            </w:r>
          </w:p>
        </w:tc>
        <w:tc>
          <w:tcPr>
            <w:tcW w:w="100" w:type="dxa"/>
            <w:vAlign w:val="bottom"/>
            <w:shd w:val="clear" w:color="auto" w:fill="CFF0FC"/>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19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See accompanying notes to the consolidated financial statements.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6 of 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September 30, 2015</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NOTES TO CONSOLIDATED FINANCIAL STATEMENTS</w:t>
      </w:r>
    </w:p>
    <w:p>
      <w:pPr>
        <w:spacing w:after="0" w:line="237" w:lineRule="exact"/>
        <w:rPr>
          <w:sz w:val="20"/>
          <w:szCs w:val="20"/>
          <w:color w:val="auto"/>
        </w:rPr>
      </w:pPr>
    </w:p>
    <w:p>
      <w:pPr>
        <w:ind w:left="380" w:right="8420" w:hanging="372"/>
        <w:spacing w:after="0" w:line="355" w:lineRule="auto"/>
        <w:tabs>
          <w:tab w:leader="none" w:pos="378" w:val="left"/>
        </w:tabs>
        <w:numPr>
          <w:ilvl w:val="0"/>
          <w:numId w:val="3"/>
        </w:numPr>
        <w:rPr>
          <w:rFonts w:ascii="Arial" w:cs="Arial" w:eastAsia="Arial" w:hAnsi="Arial"/>
          <w:sz w:val="20"/>
          <w:szCs w:val="20"/>
          <w:b w:val="1"/>
          <w:bCs w:val="1"/>
          <w:color w:val="auto"/>
        </w:rPr>
      </w:pPr>
      <w:r>
        <w:rPr>
          <w:rFonts w:ascii="Arial" w:cs="Arial" w:eastAsia="Arial" w:hAnsi="Arial"/>
          <w:sz w:val="20"/>
          <w:szCs w:val="20"/>
          <w:b w:val="1"/>
          <w:bCs w:val="1"/>
          <w:color w:val="auto"/>
        </w:rPr>
        <w:t>Significant Accounting Policies Organization</w:t>
      </w:r>
    </w:p>
    <w:p>
      <w:pPr>
        <w:jc w:val="both"/>
        <w:ind w:left="380"/>
        <w:spacing w:after="0" w:line="273" w:lineRule="auto"/>
        <w:rPr>
          <w:rFonts w:ascii="Arial" w:cs="Arial" w:eastAsia="Arial" w:hAnsi="Arial"/>
          <w:sz w:val="20"/>
          <w:szCs w:val="20"/>
          <w:b w:val="1"/>
          <w:bCs w:val="1"/>
          <w:color w:val="auto"/>
        </w:rPr>
      </w:pPr>
      <w:r>
        <w:rPr>
          <w:rFonts w:ascii="Arial" w:cs="Arial" w:eastAsia="Arial" w:hAnsi="Arial"/>
          <w:sz w:val="18"/>
          <w:szCs w:val="18"/>
          <w:color w:val="auto"/>
        </w:rPr>
        <w:t>Martin Marietta Materials, Inc. (the “Corporation” or “Martin Marietta”) is engaged principally in the construction aggregates business. The aggregates product line accounted for 58% of 2014 consolidated net sales and includes crushed stone, sand and gravel, and is used for construction of highways and other infrastructure projects, and in the nonresidential and residential construction industries. Aggregates products are also used in the railroad, agricultural, utility and environmental industries. These aggregates products, along with the Corporation’s aggregates-related downstream product lines, which accounted for 25% of 2014 consolidated net sales and include asphalt products, ready mixed concrete and road paving construction services, are sold and shipped from a network of more than 400 quarries, distribution facilities and plants in 26 states, Canada, the Bahamas and the Caribbean Islands. The aggregates and aggregates-related downstream product lines are reported collectively as the “Aggregates business”.</w:t>
      </w:r>
    </w:p>
    <w:p>
      <w:pPr>
        <w:spacing w:after="0" w:line="169" w:lineRule="exact"/>
        <w:rPr>
          <w:rFonts w:ascii="Arial" w:cs="Arial" w:eastAsia="Arial" w:hAnsi="Arial"/>
          <w:sz w:val="20"/>
          <w:szCs w:val="20"/>
          <w:b w:val="1"/>
          <w:bCs w:val="1"/>
          <w:color w:val="auto"/>
        </w:rPr>
      </w:pPr>
    </w:p>
    <w:p>
      <w:pPr>
        <w:ind w:left="380"/>
        <w:spacing w:after="0" w:line="260" w:lineRule="auto"/>
        <w:rPr>
          <w:rFonts w:ascii="Arial" w:cs="Arial" w:eastAsia="Arial" w:hAnsi="Arial"/>
          <w:sz w:val="20"/>
          <w:szCs w:val="20"/>
          <w:b w:val="1"/>
          <w:bCs w:val="1"/>
          <w:color w:val="auto"/>
        </w:rPr>
      </w:pPr>
      <w:r>
        <w:rPr>
          <w:rFonts w:ascii="Arial" w:cs="Arial" w:eastAsia="Arial" w:hAnsi="Arial"/>
          <w:sz w:val="20"/>
          <w:szCs w:val="20"/>
          <w:color w:val="auto"/>
        </w:rPr>
        <w:t>The Corporation currently conducts the Aggregates business through three reportable segments: the Mid-America Group, the Southeast Group and the West Group.</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AGGREGATES BUSINESS</w:t>
      </w:r>
    </w:p>
    <w:p>
      <w:pPr>
        <w:spacing w:after="0" w:line="22" w:lineRule="exact"/>
        <w:rPr>
          <w:sz w:val="20"/>
          <w:szCs w:val="20"/>
          <w:color w:val="auto"/>
        </w:rPr>
      </w:pPr>
    </w:p>
    <w:tbl>
      <w:tblPr>
        <w:tblLayout w:type="fixed"/>
        <w:tblInd w:w="480" w:type="dxa"/>
        <w:tblCellMar>
          <w:top w:w="0" w:type="dxa"/>
          <w:left w:w="0" w:type="dxa"/>
          <w:bottom w:w="0" w:type="dxa"/>
          <w:right w:w="0" w:type="dxa"/>
        </w:tblCellMar>
      </w:tblPr>
      <w:tr>
        <w:trPr>
          <w:trHeight w:val="237"/>
        </w:trPr>
        <w:tc>
          <w:tcPr>
            <w:tcW w:w="2160" w:type="dxa"/>
            <w:vAlign w:val="bottom"/>
            <w:tcBorders>
              <w:top w:val="single" w:sz="8" w:color="auto"/>
            </w:tcBorders>
            <w:gridSpan w:val="2"/>
          </w:tcPr>
          <w:p>
            <w:pPr>
              <w:spacing w:after="0"/>
              <w:rPr>
                <w:sz w:val="20"/>
                <w:szCs w:val="20"/>
                <w:color w:val="auto"/>
              </w:rPr>
            </w:pPr>
            <w:r>
              <w:rPr>
                <w:rFonts w:ascii="Arial" w:cs="Arial" w:eastAsia="Arial" w:hAnsi="Arial"/>
                <w:sz w:val="20"/>
                <w:szCs w:val="20"/>
                <w:color w:val="auto"/>
              </w:rPr>
              <w:t>Reportable Segments</w:t>
            </w:r>
          </w:p>
        </w:tc>
        <w:tc>
          <w:tcPr>
            <w:tcW w:w="3000" w:type="dxa"/>
            <w:vAlign w:val="bottom"/>
            <w:tcBorders>
              <w:top w:val="single" w:sz="8" w:color="auto"/>
            </w:tcBorders>
            <w:gridSpan w:val="2"/>
          </w:tcPr>
          <w:p>
            <w:pPr>
              <w:jc w:val="center"/>
              <w:ind w:right="140"/>
              <w:spacing w:after="0"/>
              <w:rPr>
                <w:sz w:val="20"/>
                <w:szCs w:val="20"/>
                <w:color w:val="auto"/>
              </w:rPr>
            </w:pPr>
            <w:r>
              <w:rPr>
                <w:rFonts w:ascii="Arial" w:cs="Arial" w:eastAsia="Arial" w:hAnsi="Arial"/>
                <w:sz w:val="20"/>
                <w:szCs w:val="20"/>
                <w:color w:val="auto"/>
                <w:w w:val="93"/>
              </w:rPr>
              <w:t>Mid-America Group</w:t>
            </w:r>
          </w:p>
        </w:tc>
        <w:tc>
          <w:tcPr>
            <w:tcW w:w="2620" w:type="dxa"/>
            <w:vAlign w:val="bottom"/>
            <w:tcBorders>
              <w:top w:val="single" w:sz="8" w:color="auto"/>
            </w:tcBorders>
            <w:gridSpan w:val="2"/>
          </w:tcPr>
          <w:p>
            <w:pPr>
              <w:jc w:val="center"/>
              <w:ind w:right="120"/>
              <w:spacing w:after="0"/>
              <w:rPr>
                <w:sz w:val="20"/>
                <w:szCs w:val="20"/>
                <w:color w:val="auto"/>
              </w:rPr>
            </w:pPr>
            <w:r>
              <w:rPr>
                <w:rFonts w:ascii="Arial" w:cs="Arial" w:eastAsia="Arial" w:hAnsi="Arial"/>
                <w:sz w:val="20"/>
                <w:szCs w:val="20"/>
                <w:color w:val="auto"/>
                <w:w w:val="88"/>
              </w:rPr>
              <w:t>Southeast Group</w:t>
            </w:r>
          </w:p>
        </w:tc>
        <w:tc>
          <w:tcPr>
            <w:tcW w:w="2680" w:type="dxa"/>
            <w:vAlign w:val="bottom"/>
            <w:tcBorders>
              <w:top w:val="single" w:sz="8" w:color="auto"/>
            </w:tcBorders>
          </w:tcPr>
          <w:p>
            <w:pPr>
              <w:jc w:val="center"/>
              <w:spacing w:after="0"/>
              <w:rPr>
                <w:sz w:val="20"/>
                <w:szCs w:val="20"/>
                <w:color w:val="auto"/>
              </w:rPr>
            </w:pPr>
            <w:r>
              <w:rPr>
                <w:rFonts w:ascii="Arial" w:cs="Arial" w:eastAsia="Arial" w:hAnsi="Arial"/>
                <w:sz w:val="20"/>
                <w:szCs w:val="20"/>
                <w:color w:val="auto"/>
                <w:w w:val="88"/>
              </w:rPr>
              <w:t>West Group</w:t>
            </w:r>
          </w:p>
        </w:tc>
      </w:tr>
      <w:tr>
        <w:trPr>
          <w:trHeight w:val="206"/>
        </w:trPr>
        <w:tc>
          <w:tcPr>
            <w:tcW w:w="2020" w:type="dxa"/>
            <w:vAlign w:val="bottom"/>
            <w:tcBorders>
              <w:top w:val="single" w:sz="8" w:color="auto"/>
            </w:tcBorders>
          </w:tcPr>
          <w:p>
            <w:pPr>
              <w:spacing w:after="0" w:line="207" w:lineRule="exact"/>
              <w:rPr>
                <w:sz w:val="20"/>
                <w:szCs w:val="20"/>
                <w:color w:val="auto"/>
              </w:rPr>
            </w:pPr>
            <w:r>
              <w:rPr>
                <w:rFonts w:ascii="Arial" w:cs="Arial" w:eastAsia="Arial" w:hAnsi="Arial"/>
                <w:sz w:val="20"/>
                <w:szCs w:val="20"/>
                <w:color w:val="auto"/>
              </w:rPr>
              <w:t>Operating Locations</w:t>
            </w:r>
          </w:p>
        </w:tc>
        <w:tc>
          <w:tcPr>
            <w:tcW w:w="140" w:type="dxa"/>
            <w:vAlign w:val="bottom"/>
          </w:tcPr>
          <w:p>
            <w:pPr>
              <w:spacing w:after="0"/>
              <w:rPr>
                <w:sz w:val="17"/>
                <w:szCs w:val="17"/>
                <w:color w:val="auto"/>
              </w:rPr>
            </w:pPr>
          </w:p>
        </w:tc>
        <w:tc>
          <w:tcPr>
            <w:tcW w:w="2860" w:type="dxa"/>
            <w:vAlign w:val="bottom"/>
            <w:tcBorders>
              <w:top w:val="single" w:sz="8" w:color="auto"/>
            </w:tcBorders>
          </w:tcPr>
          <w:p>
            <w:pPr>
              <w:jc w:val="center"/>
              <w:spacing w:after="0" w:line="207" w:lineRule="exact"/>
              <w:rPr>
                <w:sz w:val="20"/>
                <w:szCs w:val="20"/>
                <w:color w:val="auto"/>
              </w:rPr>
            </w:pPr>
            <w:r>
              <w:rPr>
                <w:rFonts w:ascii="Arial" w:cs="Arial" w:eastAsia="Arial" w:hAnsi="Arial"/>
                <w:sz w:val="20"/>
                <w:szCs w:val="20"/>
                <w:color w:val="auto"/>
                <w:w w:val="91"/>
              </w:rPr>
              <w:t>Indiana, Iowa,</w:t>
            </w:r>
          </w:p>
        </w:tc>
        <w:tc>
          <w:tcPr>
            <w:tcW w:w="140" w:type="dxa"/>
            <w:vAlign w:val="bottom"/>
          </w:tcPr>
          <w:p>
            <w:pPr>
              <w:spacing w:after="0"/>
              <w:rPr>
                <w:sz w:val="17"/>
                <w:szCs w:val="17"/>
                <w:color w:val="auto"/>
              </w:rPr>
            </w:pPr>
          </w:p>
        </w:tc>
        <w:tc>
          <w:tcPr>
            <w:tcW w:w="2500" w:type="dxa"/>
            <w:vAlign w:val="bottom"/>
            <w:tcBorders>
              <w:top w:val="single" w:sz="8" w:color="auto"/>
            </w:tcBorders>
          </w:tcPr>
          <w:p>
            <w:pPr>
              <w:jc w:val="center"/>
              <w:spacing w:after="0" w:line="207" w:lineRule="exact"/>
              <w:rPr>
                <w:sz w:val="20"/>
                <w:szCs w:val="20"/>
                <w:color w:val="auto"/>
              </w:rPr>
            </w:pPr>
            <w:r>
              <w:rPr>
                <w:rFonts w:ascii="Arial" w:cs="Arial" w:eastAsia="Arial" w:hAnsi="Arial"/>
                <w:sz w:val="20"/>
                <w:szCs w:val="20"/>
                <w:color w:val="auto"/>
                <w:w w:val="91"/>
              </w:rPr>
              <w:t>Alabama, Florida, Georgia,</w:t>
            </w:r>
          </w:p>
        </w:tc>
        <w:tc>
          <w:tcPr>
            <w:tcW w:w="120" w:type="dxa"/>
            <w:vAlign w:val="bottom"/>
          </w:tcPr>
          <w:p>
            <w:pPr>
              <w:spacing w:after="0"/>
              <w:rPr>
                <w:sz w:val="17"/>
                <w:szCs w:val="17"/>
                <w:color w:val="auto"/>
              </w:rPr>
            </w:pPr>
          </w:p>
        </w:tc>
        <w:tc>
          <w:tcPr>
            <w:tcW w:w="2680" w:type="dxa"/>
            <w:vAlign w:val="bottom"/>
            <w:tcBorders>
              <w:top w:val="single" w:sz="8" w:color="auto"/>
            </w:tcBorders>
          </w:tcPr>
          <w:p>
            <w:pPr>
              <w:jc w:val="center"/>
              <w:spacing w:after="0" w:line="207" w:lineRule="exact"/>
              <w:rPr>
                <w:sz w:val="20"/>
                <w:szCs w:val="20"/>
                <w:color w:val="auto"/>
              </w:rPr>
            </w:pPr>
            <w:r>
              <w:rPr>
                <w:rFonts w:ascii="Arial" w:cs="Arial" w:eastAsia="Arial" w:hAnsi="Arial"/>
                <w:sz w:val="20"/>
                <w:szCs w:val="20"/>
                <w:color w:val="auto"/>
                <w:w w:val="89"/>
              </w:rPr>
              <w:t>Arkansas, Colorado, southern</w:t>
            </w:r>
          </w:p>
        </w:tc>
      </w:tr>
      <w:tr>
        <w:trPr>
          <w:trHeight w:val="230"/>
        </w:trPr>
        <w:tc>
          <w:tcPr>
            <w:tcW w:w="2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0" w:type="dxa"/>
            <w:vAlign w:val="bottom"/>
            <w:gridSpan w:val="2"/>
          </w:tcPr>
          <w:p>
            <w:pPr>
              <w:jc w:val="center"/>
              <w:ind w:right="120"/>
              <w:spacing w:after="0"/>
              <w:rPr>
                <w:sz w:val="20"/>
                <w:szCs w:val="20"/>
                <w:color w:val="auto"/>
              </w:rPr>
            </w:pPr>
            <w:r>
              <w:rPr>
                <w:rFonts w:ascii="Arial" w:cs="Arial" w:eastAsia="Arial" w:hAnsi="Arial"/>
                <w:sz w:val="20"/>
                <w:szCs w:val="20"/>
                <w:color w:val="auto"/>
                <w:w w:val="89"/>
              </w:rPr>
              <w:t>northern Kansas, Kentucky,</w:t>
            </w:r>
          </w:p>
        </w:tc>
        <w:tc>
          <w:tcPr>
            <w:tcW w:w="2620" w:type="dxa"/>
            <w:vAlign w:val="bottom"/>
            <w:gridSpan w:val="2"/>
          </w:tcPr>
          <w:p>
            <w:pPr>
              <w:ind w:left="800"/>
              <w:spacing w:after="0"/>
              <w:rPr>
                <w:sz w:val="20"/>
                <w:szCs w:val="20"/>
                <w:color w:val="auto"/>
              </w:rPr>
            </w:pPr>
            <w:r>
              <w:rPr>
                <w:rFonts w:ascii="Arial" w:cs="Arial" w:eastAsia="Arial" w:hAnsi="Arial"/>
                <w:sz w:val="20"/>
                <w:szCs w:val="20"/>
                <w:color w:val="auto"/>
              </w:rPr>
              <w:t>Tennessee,</w:t>
            </w:r>
          </w:p>
        </w:tc>
        <w:tc>
          <w:tcPr>
            <w:tcW w:w="2680" w:type="dxa"/>
            <w:vAlign w:val="bottom"/>
          </w:tcPr>
          <w:p>
            <w:pPr>
              <w:jc w:val="center"/>
              <w:spacing w:after="0"/>
              <w:rPr>
                <w:sz w:val="20"/>
                <w:szCs w:val="20"/>
                <w:color w:val="auto"/>
              </w:rPr>
            </w:pPr>
            <w:r>
              <w:rPr>
                <w:rFonts w:ascii="Arial" w:cs="Arial" w:eastAsia="Arial" w:hAnsi="Arial"/>
                <w:sz w:val="20"/>
                <w:szCs w:val="20"/>
                <w:color w:val="auto"/>
                <w:w w:val="85"/>
              </w:rPr>
              <w:t>Kansas,</w:t>
            </w:r>
          </w:p>
        </w:tc>
      </w:tr>
      <w:tr>
        <w:trPr>
          <w:trHeight w:val="230"/>
        </w:trPr>
        <w:tc>
          <w:tcPr>
            <w:tcW w:w="2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0" w:type="dxa"/>
            <w:vAlign w:val="bottom"/>
            <w:gridSpan w:val="2"/>
          </w:tcPr>
          <w:p>
            <w:pPr>
              <w:jc w:val="center"/>
              <w:ind w:right="120"/>
              <w:spacing w:after="0"/>
              <w:rPr>
                <w:sz w:val="20"/>
                <w:szCs w:val="20"/>
                <w:color w:val="auto"/>
              </w:rPr>
            </w:pPr>
            <w:r>
              <w:rPr>
                <w:rFonts w:ascii="Arial" w:cs="Arial" w:eastAsia="Arial" w:hAnsi="Arial"/>
                <w:sz w:val="20"/>
                <w:szCs w:val="20"/>
                <w:color w:val="auto"/>
                <w:w w:val="92"/>
              </w:rPr>
              <w:t>Maryland, Minnesota, Missouri,</w:t>
            </w:r>
          </w:p>
        </w:tc>
        <w:tc>
          <w:tcPr>
            <w:tcW w:w="2620" w:type="dxa"/>
            <w:vAlign w:val="bottom"/>
            <w:gridSpan w:val="2"/>
          </w:tcPr>
          <w:p>
            <w:pPr>
              <w:jc w:val="center"/>
              <w:ind w:right="120"/>
              <w:spacing w:after="0"/>
              <w:rPr>
                <w:sz w:val="20"/>
                <w:szCs w:val="20"/>
                <w:color w:val="auto"/>
              </w:rPr>
            </w:pPr>
            <w:r>
              <w:rPr>
                <w:rFonts w:ascii="Arial" w:cs="Arial" w:eastAsia="Arial" w:hAnsi="Arial"/>
                <w:sz w:val="20"/>
                <w:szCs w:val="20"/>
                <w:color w:val="auto"/>
                <w:w w:val="88"/>
              </w:rPr>
              <w:t>Nova Scotia and the Bahamas</w:t>
            </w:r>
          </w:p>
        </w:tc>
        <w:tc>
          <w:tcPr>
            <w:tcW w:w="2680" w:type="dxa"/>
            <w:vAlign w:val="bottom"/>
          </w:tcPr>
          <w:p>
            <w:pPr>
              <w:jc w:val="center"/>
              <w:spacing w:after="0"/>
              <w:rPr>
                <w:sz w:val="20"/>
                <w:szCs w:val="20"/>
                <w:color w:val="auto"/>
              </w:rPr>
            </w:pPr>
            <w:r>
              <w:rPr>
                <w:rFonts w:ascii="Arial" w:cs="Arial" w:eastAsia="Arial" w:hAnsi="Arial"/>
                <w:sz w:val="20"/>
                <w:szCs w:val="20"/>
                <w:color w:val="auto"/>
                <w:w w:val="88"/>
              </w:rPr>
              <w:t>Louisiana, western Nebraska,</w:t>
            </w:r>
          </w:p>
        </w:tc>
      </w:tr>
      <w:tr>
        <w:trPr>
          <w:trHeight w:val="230"/>
        </w:trPr>
        <w:tc>
          <w:tcPr>
            <w:tcW w:w="2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0" w:type="dxa"/>
            <w:vAlign w:val="bottom"/>
            <w:gridSpan w:val="2"/>
          </w:tcPr>
          <w:p>
            <w:pPr>
              <w:jc w:val="center"/>
              <w:ind w:right="140"/>
              <w:spacing w:after="0"/>
              <w:rPr>
                <w:sz w:val="20"/>
                <w:szCs w:val="20"/>
                <w:color w:val="auto"/>
              </w:rPr>
            </w:pPr>
            <w:r>
              <w:rPr>
                <w:rFonts w:ascii="Arial" w:cs="Arial" w:eastAsia="Arial" w:hAnsi="Arial"/>
                <w:sz w:val="20"/>
                <w:szCs w:val="20"/>
                <w:color w:val="auto"/>
                <w:w w:val="88"/>
              </w:rPr>
              <w:t>eastern Nebraska, North Carolina,</w:t>
            </w:r>
          </w:p>
        </w:tc>
        <w:tc>
          <w:tcPr>
            <w:tcW w:w="2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80" w:type="dxa"/>
            <w:vAlign w:val="bottom"/>
          </w:tcPr>
          <w:p>
            <w:pPr>
              <w:jc w:val="center"/>
              <w:spacing w:after="0"/>
              <w:rPr>
                <w:sz w:val="20"/>
                <w:szCs w:val="20"/>
                <w:color w:val="auto"/>
              </w:rPr>
            </w:pPr>
            <w:r>
              <w:rPr>
                <w:rFonts w:ascii="Arial" w:cs="Arial" w:eastAsia="Arial" w:hAnsi="Arial"/>
                <w:sz w:val="20"/>
                <w:szCs w:val="20"/>
                <w:color w:val="auto"/>
                <w:w w:val="88"/>
              </w:rPr>
              <w:t>Nevada, Oklahoma, Texas, Utah</w:t>
            </w:r>
          </w:p>
        </w:tc>
      </w:tr>
      <w:tr>
        <w:trPr>
          <w:trHeight w:val="230"/>
        </w:trPr>
        <w:tc>
          <w:tcPr>
            <w:tcW w:w="2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0" w:type="dxa"/>
            <w:vAlign w:val="bottom"/>
            <w:gridSpan w:val="2"/>
          </w:tcPr>
          <w:p>
            <w:pPr>
              <w:jc w:val="center"/>
              <w:ind w:right="120"/>
              <w:spacing w:after="0"/>
              <w:rPr>
                <w:sz w:val="20"/>
                <w:szCs w:val="20"/>
                <w:color w:val="auto"/>
              </w:rPr>
            </w:pPr>
            <w:r>
              <w:rPr>
                <w:rFonts w:ascii="Arial" w:cs="Arial" w:eastAsia="Arial" w:hAnsi="Arial"/>
                <w:sz w:val="20"/>
                <w:szCs w:val="20"/>
                <w:color w:val="auto"/>
                <w:w w:val="91"/>
              </w:rPr>
              <w:t>Ohio,</w:t>
            </w:r>
          </w:p>
        </w:tc>
        <w:tc>
          <w:tcPr>
            <w:tcW w:w="2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80" w:type="dxa"/>
            <w:vAlign w:val="bottom"/>
          </w:tcPr>
          <w:p>
            <w:pPr>
              <w:jc w:val="center"/>
              <w:spacing w:after="0"/>
              <w:rPr>
                <w:sz w:val="20"/>
                <w:szCs w:val="20"/>
                <w:color w:val="auto"/>
              </w:rPr>
            </w:pPr>
            <w:r>
              <w:rPr>
                <w:rFonts w:ascii="Arial" w:cs="Arial" w:eastAsia="Arial" w:hAnsi="Arial"/>
                <w:sz w:val="20"/>
                <w:szCs w:val="20"/>
                <w:color w:val="auto"/>
                <w:w w:val="91"/>
              </w:rPr>
              <w:t>and Wyoming</w:t>
            </w:r>
          </w:p>
        </w:tc>
      </w:tr>
      <w:tr>
        <w:trPr>
          <w:trHeight w:val="230"/>
        </w:trPr>
        <w:tc>
          <w:tcPr>
            <w:tcW w:w="2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0" w:type="dxa"/>
            <w:vAlign w:val="bottom"/>
            <w:gridSpan w:val="2"/>
          </w:tcPr>
          <w:p>
            <w:pPr>
              <w:jc w:val="center"/>
              <w:ind w:right="120"/>
              <w:spacing w:after="0"/>
              <w:rPr>
                <w:sz w:val="20"/>
                <w:szCs w:val="20"/>
                <w:color w:val="auto"/>
              </w:rPr>
            </w:pPr>
            <w:r>
              <w:rPr>
                <w:rFonts w:ascii="Arial" w:cs="Arial" w:eastAsia="Arial" w:hAnsi="Arial"/>
                <w:sz w:val="20"/>
                <w:szCs w:val="20"/>
                <w:color w:val="auto"/>
                <w:w w:val="89"/>
              </w:rPr>
              <w:t>South Carolina,</w:t>
            </w:r>
          </w:p>
        </w:tc>
        <w:tc>
          <w:tcPr>
            <w:tcW w:w="2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80" w:type="dxa"/>
            <w:vAlign w:val="bottom"/>
          </w:tcPr>
          <w:p>
            <w:pPr>
              <w:spacing w:after="0"/>
              <w:rPr>
                <w:sz w:val="19"/>
                <w:szCs w:val="19"/>
                <w:color w:val="auto"/>
              </w:rPr>
            </w:pPr>
          </w:p>
        </w:tc>
      </w:tr>
      <w:tr>
        <w:trPr>
          <w:trHeight w:val="230"/>
        </w:trPr>
        <w:tc>
          <w:tcPr>
            <w:tcW w:w="2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0" w:type="dxa"/>
            <w:vAlign w:val="bottom"/>
            <w:gridSpan w:val="2"/>
          </w:tcPr>
          <w:p>
            <w:pPr>
              <w:jc w:val="center"/>
              <w:ind w:right="140"/>
              <w:spacing w:after="0"/>
              <w:rPr>
                <w:sz w:val="20"/>
                <w:szCs w:val="20"/>
                <w:color w:val="auto"/>
              </w:rPr>
            </w:pPr>
            <w:r>
              <w:rPr>
                <w:rFonts w:ascii="Arial" w:cs="Arial" w:eastAsia="Arial" w:hAnsi="Arial"/>
                <w:sz w:val="20"/>
                <w:szCs w:val="20"/>
                <w:color w:val="auto"/>
                <w:w w:val="90"/>
              </w:rPr>
              <w:t>Virginia, Washington and</w:t>
            </w:r>
          </w:p>
        </w:tc>
        <w:tc>
          <w:tcPr>
            <w:tcW w:w="2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80" w:type="dxa"/>
            <w:vAlign w:val="bottom"/>
          </w:tcPr>
          <w:p>
            <w:pPr>
              <w:spacing w:after="0"/>
              <w:rPr>
                <w:sz w:val="19"/>
                <w:szCs w:val="19"/>
                <w:color w:val="auto"/>
              </w:rPr>
            </w:pPr>
          </w:p>
        </w:tc>
      </w:tr>
      <w:tr>
        <w:trPr>
          <w:trHeight w:val="250"/>
        </w:trPr>
        <w:tc>
          <w:tcPr>
            <w:tcW w:w="20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0" w:type="dxa"/>
            <w:vAlign w:val="bottom"/>
            <w:gridSpan w:val="2"/>
          </w:tcPr>
          <w:p>
            <w:pPr>
              <w:jc w:val="center"/>
              <w:ind w:right="120"/>
              <w:spacing w:after="0"/>
              <w:rPr>
                <w:sz w:val="20"/>
                <w:szCs w:val="20"/>
                <w:color w:val="auto"/>
              </w:rPr>
            </w:pPr>
            <w:r>
              <w:rPr>
                <w:rFonts w:ascii="Arial" w:cs="Arial" w:eastAsia="Arial" w:hAnsi="Arial"/>
                <w:sz w:val="20"/>
                <w:szCs w:val="20"/>
                <w:color w:val="auto"/>
                <w:w w:val="91"/>
              </w:rPr>
              <w:t>West Virginia</w:t>
            </w:r>
          </w:p>
        </w:tc>
        <w:tc>
          <w:tcPr>
            <w:tcW w:w="2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80" w:type="dxa"/>
            <w:vAlign w:val="bottom"/>
          </w:tcPr>
          <w:p>
            <w:pPr>
              <w:spacing w:after="0"/>
              <w:rPr>
                <w:sz w:val="21"/>
                <w:szCs w:val="21"/>
                <w:color w:val="auto"/>
              </w:rPr>
            </w:pPr>
          </w:p>
        </w:tc>
      </w:tr>
    </w:tbl>
    <w:p>
      <w:pPr>
        <w:spacing w:after="0" w:line="195" w:lineRule="exact"/>
        <w:rPr>
          <w:sz w:val="20"/>
          <w:szCs w:val="20"/>
          <w:color w:val="auto"/>
        </w:rPr>
      </w:pPr>
    </w:p>
    <w:p>
      <w:pPr>
        <w:jc w:val="both"/>
        <w:ind w:left="380"/>
        <w:spacing w:after="0" w:line="243" w:lineRule="auto"/>
        <w:rPr>
          <w:sz w:val="20"/>
          <w:szCs w:val="20"/>
          <w:color w:val="auto"/>
        </w:rPr>
      </w:pPr>
      <w:r>
        <w:rPr>
          <w:rFonts w:ascii="Arial" w:cs="Arial" w:eastAsia="Arial" w:hAnsi="Arial"/>
          <w:sz w:val="20"/>
          <w:szCs w:val="20"/>
          <w:color w:val="auto"/>
        </w:rPr>
        <w:t>The Corporation has a Cement segment, which was acquired July 1, 2014 and accounted for 8% of 2014 consolidated net sales. The Cement segment has production facilities located in Midlothian, Texas, south of Dallas/Fort Worth and Hunter, Texas, south of San Antonio. The cement business produces Portland and specialty cements, such as masonry and oil well cements. Similar to the Aggregates business, cement is used in infrastructure projects, nonresidential and residential construction, and the railroad, agricultural, utility and environmental industries. The high calcium limestone reserves used as a raw material are a part of owned property adjacent to each of the plants.</w:t>
      </w:r>
    </w:p>
    <w:p>
      <w:pPr>
        <w:spacing w:after="0" w:line="197" w:lineRule="exact"/>
        <w:rPr>
          <w:sz w:val="20"/>
          <w:szCs w:val="20"/>
          <w:color w:val="auto"/>
        </w:rPr>
      </w:pPr>
    </w:p>
    <w:p>
      <w:pPr>
        <w:jc w:val="both"/>
        <w:ind w:left="380"/>
        <w:spacing w:after="0" w:line="291" w:lineRule="auto"/>
        <w:rPr>
          <w:sz w:val="20"/>
          <w:szCs w:val="20"/>
          <w:color w:val="auto"/>
        </w:rPr>
      </w:pPr>
      <w:r>
        <w:rPr>
          <w:rFonts w:ascii="Arial" w:cs="Arial" w:eastAsia="Arial" w:hAnsi="Arial"/>
          <w:sz w:val="18"/>
          <w:szCs w:val="18"/>
          <w:color w:val="auto"/>
        </w:rPr>
        <w:t>The Corporation has a Magnesia Specialties segment with manufacturing facilities in Manistee, Michigan and Woodville, Ohio. The Magnesia Specialties segment, which accounted for 9% of 2014 consolidated net sales, produces magnesia-based chemicals products used in industrial, agricultural and environmental applications and dolomitic lime sold primarily to customers in the steel industry.</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7 of 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September 30, 2015</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NOTES TO CONSOLIDATED FINANCIAL STATEMENTS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207" w:lineRule="exact"/>
        <w:rPr>
          <w:sz w:val="20"/>
          <w:szCs w:val="20"/>
          <w:color w:val="auto"/>
        </w:rPr>
      </w:pPr>
    </w:p>
    <w:p>
      <w:pPr>
        <w:ind w:left="380" w:right="7400" w:hanging="372"/>
        <w:spacing w:after="0" w:line="355" w:lineRule="auto"/>
        <w:tabs>
          <w:tab w:leader="none" w:pos="378" w:val="left"/>
        </w:tabs>
        <w:numPr>
          <w:ilvl w:val="0"/>
          <w:numId w:val="4"/>
        </w:numPr>
        <w:rPr>
          <w:rFonts w:ascii="Arial" w:cs="Arial" w:eastAsia="Arial" w:hAnsi="Arial"/>
          <w:sz w:val="20"/>
          <w:szCs w:val="20"/>
          <w:b w:val="1"/>
          <w:bCs w:val="1"/>
          <w:color w:val="auto"/>
        </w:rPr>
      </w:pPr>
      <w:r>
        <w:rPr>
          <w:rFonts w:ascii="Arial" w:cs="Arial" w:eastAsia="Arial" w:hAnsi="Arial"/>
          <w:sz w:val="20"/>
          <w:szCs w:val="20"/>
          <w:b w:val="1"/>
          <w:bCs w:val="1"/>
          <w:color w:val="auto"/>
        </w:rPr>
        <w:t>Significant Accounting Policies (continued) Basis of Presentation</w:t>
      </w:r>
    </w:p>
    <w:p>
      <w:pPr>
        <w:jc w:val="both"/>
        <w:ind w:left="380"/>
        <w:spacing w:after="0" w:line="255" w:lineRule="auto"/>
        <w:rPr>
          <w:rFonts w:ascii="Arial" w:cs="Arial" w:eastAsia="Arial" w:hAnsi="Arial"/>
          <w:sz w:val="20"/>
          <w:szCs w:val="20"/>
          <w:b w:val="1"/>
          <w:bCs w:val="1"/>
          <w:color w:val="auto"/>
        </w:rPr>
      </w:pPr>
      <w:r>
        <w:rPr>
          <w:rFonts w:ascii="Arial" w:cs="Arial" w:eastAsia="Arial" w:hAnsi="Arial"/>
          <w:sz w:val="19"/>
          <w:szCs w:val="19"/>
          <w:color w:val="auto"/>
        </w:rPr>
        <w:t>The accompanying unaudited consolidated financial statements of the Corporation have been prepared in accordance with generally accepted accounting principles for interim financial information and with the instructions to the Quarterly Report on Form 10-Q and in Article 10 of Regulation S-X. The Corporation has continued to follow the accounting policies set forth in the audited consolidated financial statements and related notes thereto included in the Corporation’s Annual Report on Form 10-K for the year ended December 31, 2014. In the opinion of management, the interim consolidated financial information provided herein reflects all adjustments, consisting of normal recurring accruals, necessary for a fair presentation of the results of operations, financial position and cash flows for the interim periods. The consolidated results of operations for the three and nine months ended September 30, 2015 are not indicative of the results expected for other interim periods or the full year. The consolidated balance sheet at December 31, 2014 has been derived from the audited consolidated financial statements at that date but does not include all of the information and notes required by generally accepted accounting principles for complete financial statements. These consolidated financial statements should be read in conjunction with the audited consolidated financial statements and notes thereto included in the Corporation’s Annual Report on Form 10-K for the year ended December 31, 2014.</w:t>
      </w:r>
    </w:p>
    <w:p>
      <w:pPr>
        <w:spacing w:after="0" w:line="179" w:lineRule="exact"/>
        <w:rPr>
          <w:rFonts w:ascii="Arial" w:cs="Arial" w:eastAsia="Arial" w:hAnsi="Arial"/>
          <w:sz w:val="20"/>
          <w:szCs w:val="20"/>
          <w:b w:val="1"/>
          <w:bCs w:val="1"/>
          <w:color w:val="auto"/>
        </w:rPr>
      </w:pPr>
    </w:p>
    <w:p>
      <w:pPr>
        <w:ind w:left="380"/>
        <w:spacing w:after="0"/>
        <w:rPr>
          <w:rFonts w:ascii="Arial" w:cs="Arial" w:eastAsia="Arial" w:hAnsi="Arial"/>
          <w:sz w:val="20"/>
          <w:szCs w:val="20"/>
          <w:b w:val="1"/>
          <w:bCs w:val="1"/>
          <w:color w:val="auto"/>
        </w:rPr>
      </w:pPr>
      <w:r>
        <w:rPr>
          <w:rFonts w:ascii="Arial" w:cs="Arial" w:eastAsia="Arial" w:hAnsi="Arial"/>
          <w:sz w:val="20"/>
          <w:szCs w:val="20"/>
          <w:b w:val="1"/>
          <w:bCs w:val="1"/>
          <w:color w:val="auto"/>
        </w:rPr>
        <w:t>Revenue Recognition Standard</w:t>
      </w:r>
    </w:p>
    <w:p>
      <w:pPr>
        <w:spacing w:after="0" w:line="113" w:lineRule="exact"/>
        <w:rPr>
          <w:rFonts w:ascii="Arial" w:cs="Arial" w:eastAsia="Arial" w:hAnsi="Arial"/>
          <w:sz w:val="20"/>
          <w:szCs w:val="20"/>
          <w:b w:val="1"/>
          <w:bCs w:val="1"/>
          <w:color w:val="auto"/>
        </w:rPr>
      </w:pPr>
    </w:p>
    <w:p>
      <w:pPr>
        <w:jc w:val="both"/>
        <w:ind w:left="380"/>
        <w:spacing w:after="0" w:line="260" w:lineRule="auto"/>
        <w:rPr>
          <w:rFonts w:ascii="Arial" w:cs="Arial" w:eastAsia="Arial" w:hAnsi="Arial"/>
          <w:sz w:val="20"/>
          <w:szCs w:val="20"/>
          <w:b w:val="1"/>
          <w:bCs w:val="1"/>
          <w:color w:val="auto"/>
        </w:rPr>
      </w:pPr>
      <w:r>
        <w:rPr>
          <w:rFonts w:ascii="Arial" w:cs="Arial" w:eastAsia="Arial" w:hAnsi="Arial"/>
          <w:sz w:val="19"/>
          <w:szCs w:val="19"/>
          <w:color w:val="auto"/>
        </w:rPr>
        <w:t>The FASB issued an accounting standard update that amends the accounting guidance on revenue recognition. The new standard intends to provide a more robust framework for addressing revenue issues, improve comparability of revenue recognition practices and improve disclosure requirements. The new standard is effective January 1, 2018 and can be applied on a full retrospective or modified retrospective approach. The Corporation is currently evaluating the impact of the provisions of the new standard, and at this time does not expect the impact to be material to its consolidated results of operations.</w:t>
      </w:r>
    </w:p>
    <w:p>
      <w:pPr>
        <w:spacing w:after="0" w:line="174" w:lineRule="exact"/>
        <w:rPr>
          <w:rFonts w:ascii="Arial" w:cs="Arial" w:eastAsia="Arial" w:hAnsi="Arial"/>
          <w:sz w:val="20"/>
          <w:szCs w:val="20"/>
          <w:b w:val="1"/>
          <w:bCs w:val="1"/>
          <w:color w:val="auto"/>
        </w:rPr>
      </w:pPr>
    </w:p>
    <w:p>
      <w:pPr>
        <w:ind w:left="380"/>
        <w:spacing w:after="0"/>
        <w:rPr>
          <w:rFonts w:ascii="Arial" w:cs="Arial" w:eastAsia="Arial" w:hAnsi="Arial"/>
          <w:sz w:val="20"/>
          <w:szCs w:val="20"/>
          <w:b w:val="1"/>
          <w:bCs w:val="1"/>
          <w:color w:val="auto"/>
        </w:rPr>
      </w:pPr>
      <w:r>
        <w:rPr>
          <w:rFonts w:ascii="Arial" w:cs="Arial" w:eastAsia="Arial" w:hAnsi="Arial"/>
          <w:sz w:val="20"/>
          <w:szCs w:val="20"/>
          <w:b w:val="1"/>
          <w:bCs w:val="1"/>
          <w:color w:val="auto"/>
        </w:rPr>
        <w:t>Consolidated Comprehensive Earnings/Loss and Accumulated Other Comprehensive Loss</w:t>
      </w:r>
    </w:p>
    <w:p>
      <w:pPr>
        <w:spacing w:after="0" w:line="113" w:lineRule="exact"/>
        <w:rPr>
          <w:rFonts w:ascii="Arial" w:cs="Arial" w:eastAsia="Arial" w:hAnsi="Arial"/>
          <w:sz w:val="20"/>
          <w:szCs w:val="20"/>
          <w:b w:val="1"/>
          <w:bCs w:val="1"/>
          <w:color w:val="auto"/>
        </w:rPr>
      </w:pPr>
    </w:p>
    <w:p>
      <w:pPr>
        <w:jc w:val="both"/>
        <w:ind w:left="380"/>
        <w:spacing w:after="0" w:line="246" w:lineRule="auto"/>
        <w:rPr>
          <w:rFonts w:ascii="Arial" w:cs="Arial" w:eastAsia="Arial" w:hAnsi="Arial"/>
          <w:sz w:val="20"/>
          <w:szCs w:val="20"/>
          <w:b w:val="1"/>
          <w:bCs w:val="1"/>
          <w:color w:val="auto"/>
        </w:rPr>
      </w:pPr>
      <w:r>
        <w:rPr>
          <w:rFonts w:ascii="Arial" w:cs="Arial" w:eastAsia="Arial" w:hAnsi="Arial"/>
          <w:sz w:val="20"/>
          <w:szCs w:val="20"/>
          <w:color w:val="auto"/>
        </w:rPr>
        <w:t>Consolidated comprehensive earnings/loss for the Corporation consist of consolidated net earnings or loss; adjustments for the funded status of pension and postretirement benefit plans; foreign currency translation adjustments; and the amortization of the value of terminated forward starting interest rate swap agreements into interest expense, and are presented in the Corporation’s consolidated statements of earnings and comprehensive earnings.</w:t>
      </w:r>
    </w:p>
    <w:p>
      <w:pPr>
        <w:spacing w:after="0" w:line="83" w:lineRule="exact"/>
        <w:rPr>
          <w:rFonts w:ascii="Arial" w:cs="Arial" w:eastAsia="Arial" w:hAnsi="Arial"/>
          <w:sz w:val="20"/>
          <w:szCs w:val="20"/>
          <w:b w:val="1"/>
          <w:bCs w:val="1"/>
          <w:color w:val="auto"/>
        </w:rPr>
      </w:pPr>
    </w:p>
    <w:p>
      <w:pPr>
        <w:ind w:left="380"/>
        <w:spacing w:after="0"/>
        <w:rPr>
          <w:rFonts w:ascii="Arial" w:cs="Arial" w:eastAsia="Arial" w:hAnsi="Arial"/>
          <w:sz w:val="20"/>
          <w:szCs w:val="20"/>
          <w:b w:val="1"/>
          <w:bCs w:val="1"/>
          <w:color w:val="auto"/>
        </w:rPr>
      </w:pPr>
      <w:r>
        <w:rPr>
          <w:rFonts w:ascii="Arial" w:cs="Arial" w:eastAsia="Arial" w:hAnsi="Arial"/>
          <w:sz w:val="20"/>
          <w:szCs w:val="20"/>
          <w:color w:val="auto"/>
        </w:rPr>
        <w:t>Comprehensive earnings attributable to Martin Marietta is as follows: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8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60" w:type="dxa"/>
            <w:vAlign w:val="bottom"/>
            <w:gridSpan w:val="5"/>
          </w:tcPr>
          <w:p>
            <w:pPr>
              <w:jc w:val="right"/>
              <w:ind w:right="580"/>
              <w:spacing w:after="0"/>
              <w:rPr>
                <w:sz w:val="20"/>
                <w:szCs w:val="20"/>
                <w:color w:val="auto"/>
              </w:rPr>
            </w:pPr>
            <w:r>
              <w:rPr>
                <w:rFonts w:ascii="Arial" w:cs="Arial" w:eastAsia="Arial" w:hAnsi="Arial"/>
                <w:sz w:val="20"/>
                <w:szCs w:val="20"/>
                <w:color w:val="auto"/>
                <w:w w:val="99"/>
              </w:rPr>
              <w:t>Three Months Ended</w:t>
            </w:r>
          </w:p>
        </w:tc>
        <w:tc>
          <w:tcPr>
            <w:tcW w:w="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300" w:type="dxa"/>
            <w:vAlign w:val="bottom"/>
            <w:gridSpan w:val="5"/>
          </w:tcPr>
          <w:p>
            <w:pPr>
              <w:jc w:val="center"/>
              <w:ind w:right="360"/>
              <w:spacing w:after="0"/>
              <w:rPr>
                <w:sz w:val="20"/>
                <w:szCs w:val="20"/>
                <w:color w:val="auto"/>
              </w:rPr>
            </w:pPr>
            <w:r>
              <w:rPr>
                <w:rFonts w:ascii="Arial" w:cs="Arial" w:eastAsia="Arial" w:hAnsi="Arial"/>
                <w:sz w:val="20"/>
                <w:szCs w:val="20"/>
                <w:color w:val="auto"/>
                <w:w w:val="89"/>
              </w:rPr>
              <w:t>Nine Months Ended</w:t>
            </w:r>
          </w:p>
        </w:tc>
        <w:tc>
          <w:tcPr>
            <w:tcW w:w="0" w:type="dxa"/>
            <w:vAlign w:val="bottom"/>
          </w:tcPr>
          <w:p>
            <w:pPr>
              <w:spacing w:after="0"/>
              <w:rPr>
                <w:sz w:val="1"/>
                <w:szCs w:val="1"/>
                <w:color w:val="auto"/>
              </w:rPr>
            </w:pPr>
          </w:p>
        </w:tc>
      </w:tr>
      <w:tr>
        <w:trPr>
          <w:trHeight w:val="246"/>
        </w:trPr>
        <w:tc>
          <w:tcPr>
            <w:tcW w:w="58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60" w:type="dxa"/>
            <w:vAlign w:val="bottom"/>
            <w:gridSpan w:val="5"/>
          </w:tcPr>
          <w:p>
            <w:pPr>
              <w:jc w:val="right"/>
              <w:ind w:right="840"/>
              <w:spacing w:after="0"/>
              <w:rPr>
                <w:sz w:val="20"/>
                <w:szCs w:val="20"/>
                <w:color w:val="auto"/>
              </w:rPr>
            </w:pPr>
            <w:r>
              <w:rPr>
                <w:rFonts w:ascii="Arial" w:cs="Arial" w:eastAsia="Arial" w:hAnsi="Arial"/>
                <w:sz w:val="20"/>
                <w:szCs w:val="20"/>
                <w:color w:val="auto"/>
              </w:rPr>
              <w:t>September 30,</w:t>
            </w:r>
          </w:p>
        </w:tc>
        <w:tc>
          <w:tcPr>
            <w:tcW w:w="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300" w:type="dxa"/>
            <w:vAlign w:val="bottom"/>
            <w:gridSpan w:val="5"/>
          </w:tcPr>
          <w:p>
            <w:pPr>
              <w:jc w:val="center"/>
              <w:ind w:right="360"/>
              <w:spacing w:after="0"/>
              <w:rPr>
                <w:sz w:val="20"/>
                <w:szCs w:val="20"/>
                <w:color w:val="auto"/>
              </w:rPr>
            </w:pPr>
            <w:r>
              <w:rPr>
                <w:rFonts w:ascii="Arial" w:cs="Arial" w:eastAsia="Arial" w:hAnsi="Arial"/>
                <w:sz w:val="20"/>
                <w:szCs w:val="20"/>
                <w:color w:val="auto"/>
                <w:w w:val="86"/>
              </w:rPr>
              <w:t>September 30,</w:t>
            </w:r>
          </w:p>
        </w:tc>
        <w:tc>
          <w:tcPr>
            <w:tcW w:w="0" w:type="dxa"/>
            <w:vAlign w:val="bottom"/>
          </w:tcPr>
          <w:p>
            <w:pPr>
              <w:spacing w:after="0"/>
              <w:rPr>
                <w:sz w:val="1"/>
                <w:szCs w:val="1"/>
                <w:color w:val="auto"/>
              </w:rPr>
            </w:pPr>
          </w:p>
        </w:tc>
      </w:tr>
      <w:tr>
        <w:trPr>
          <w:trHeight w:val="237"/>
        </w:trPr>
        <w:tc>
          <w:tcPr>
            <w:tcW w:w="582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301"/>
              <w:spacing w:after="0"/>
              <w:rPr>
                <w:sz w:val="20"/>
                <w:szCs w:val="20"/>
                <w:color w:val="auto"/>
              </w:rPr>
            </w:pPr>
            <w:r>
              <w:rPr>
                <w:rFonts w:ascii="Arial" w:cs="Arial" w:eastAsia="Arial" w:hAnsi="Arial"/>
                <w:sz w:val="20"/>
                <w:szCs w:val="20"/>
                <w:color w:val="auto"/>
              </w:rPr>
              <w:t>2015</w:t>
            </w:r>
          </w:p>
        </w:tc>
        <w:tc>
          <w:tcPr>
            <w:tcW w:w="220" w:type="dxa"/>
            <w:vAlign w:val="bottom"/>
            <w:tcBorders>
              <w:top w:val="single" w:sz="8" w:color="auto"/>
              <w:bottom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20"/>
                <w:szCs w:val="20"/>
                <w:color w:val="auto"/>
              </w:rPr>
              <w:t>2014</w:t>
            </w:r>
          </w:p>
        </w:tc>
        <w:tc>
          <w:tcPr>
            <w:tcW w:w="1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261"/>
              <w:spacing w:after="0"/>
              <w:rPr>
                <w:sz w:val="20"/>
                <w:szCs w:val="20"/>
                <w:color w:val="auto"/>
              </w:rPr>
            </w:pPr>
            <w:r>
              <w:rPr>
                <w:rFonts w:ascii="Arial" w:cs="Arial" w:eastAsia="Arial" w:hAnsi="Arial"/>
                <w:sz w:val="20"/>
                <w:szCs w:val="20"/>
                <w:color w:val="auto"/>
              </w:rPr>
              <w:t>2015</w:t>
            </w:r>
          </w:p>
        </w:tc>
        <w:tc>
          <w:tcPr>
            <w:tcW w:w="220" w:type="dxa"/>
            <w:vAlign w:val="bottom"/>
            <w:tcBorders>
              <w:top w:val="single" w:sz="8" w:color="auto"/>
              <w:bottom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61"/>
              <w:spacing w:after="0"/>
              <w:rPr>
                <w:sz w:val="20"/>
                <w:szCs w:val="20"/>
                <w:color w:val="auto"/>
              </w:rPr>
            </w:pPr>
            <w:r>
              <w:rPr>
                <w:rFonts w:ascii="Arial" w:cs="Arial" w:eastAsia="Arial" w:hAnsi="Arial"/>
                <w:sz w:val="20"/>
                <w:szCs w:val="20"/>
                <w:color w:val="auto"/>
              </w:rPr>
              <w:t>2014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5820" w:type="dxa"/>
            <w:vAlign w:val="bottom"/>
            <w:vMerge w:val="restart"/>
          </w:tcPr>
          <w:p>
            <w:pPr>
              <w:spacing w:after="0"/>
              <w:rPr>
                <w:sz w:val="20"/>
                <w:szCs w:val="20"/>
                <w:color w:val="auto"/>
              </w:rPr>
            </w:pPr>
            <w:r>
              <w:rPr>
                <w:rFonts w:ascii="Arial" w:cs="Arial" w:eastAsia="Arial" w:hAnsi="Arial"/>
                <w:sz w:val="20"/>
                <w:szCs w:val="20"/>
                <w:color w:val="auto"/>
              </w:rPr>
              <w:t>Net earnings attributable to Martin Marietta</w:t>
            </w: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720" w:type="dxa"/>
            <w:vAlign w:val="bottom"/>
            <w:gridSpan w:val="6"/>
          </w:tcPr>
          <w:p>
            <w:pPr>
              <w:ind w:left="160"/>
              <w:spacing w:after="0"/>
              <w:rPr>
                <w:sz w:val="20"/>
                <w:szCs w:val="20"/>
                <w:color w:val="auto"/>
              </w:rPr>
            </w:pPr>
            <w:r>
              <w:rPr>
                <w:rFonts w:ascii="Arial" w:cs="Arial" w:eastAsia="Arial" w:hAnsi="Arial"/>
                <w:sz w:val="20"/>
                <w:szCs w:val="20"/>
                <w:i w:val="1"/>
                <w:iCs w:val="1"/>
                <w:color w:val="auto"/>
              </w:rPr>
              <w:t>(Dollars in Thousands)</w:t>
            </w: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582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5820" w:type="dxa"/>
            <w:vAlign w:val="bottom"/>
          </w:tcPr>
          <w:p>
            <w:pPr>
              <w:ind w:left="260"/>
              <w:spacing w:after="0"/>
              <w:rPr>
                <w:sz w:val="20"/>
                <w:szCs w:val="20"/>
                <w:color w:val="auto"/>
              </w:rPr>
            </w:pPr>
            <w:r>
              <w:rPr>
                <w:rFonts w:ascii="Arial" w:cs="Arial" w:eastAsia="Arial" w:hAnsi="Arial"/>
                <w:sz w:val="20"/>
                <w:szCs w:val="20"/>
                <w:color w:val="auto"/>
              </w:rPr>
              <w:t>Materials, Inc.</w:t>
            </w:r>
          </w:p>
        </w:tc>
        <w:tc>
          <w:tcPr>
            <w:tcW w:w="260" w:type="dxa"/>
            <w:vAlign w:val="bottom"/>
          </w:tcPr>
          <w:p>
            <w:pPr>
              <w:jc w:val="right"/>
              <w:ind w:right="61"/>
              <w:spacing w:after="0"/>
              <w:rPr>
                <w:sz w:val="20"/>
                <w:szCs w:val="20"/>
                <w:color w:val="auto"/>
              </w:rPr>
            </w:pPr>
            <w:r>
              <w:rPr>
                <w:rFonts w:ascii="Arial" w:cs="Arial" w:eastAsia="Arial" w:hAnsi="Arial"/>
                <w:sz w:val="20"/>
                <w:szCs w:val="20"/>
                <w:color w:val="auto"/>
                <w:w w:val="71"/>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117,544</w:t>
            </w:r>
          </w:p>
        </w:tc>
        <w:tc>
          <w:tcPr>
            <w:tcW w:w="220" w:type="dxa"/>
            <w:vAlign w:val="bottom"/>
          </w:tcPr>
          <w:p>
            <w:pPr>
              <w:spacing w:after="0"/>
              <w:rPr>
                <w:sz w:val="21"/>
                <w:szCs w:val="21"/>
                <w:color w:val="auto"/>
              </w:rPr>
            </w:pPr>
          </w:p>
        </w:tc>
        <w:tc>
          <w:tcPr>
            <w:tcW w:w="240" w:type="dxa"/>
            <w:vAlign w:val="bottom"/>
          </w:tcPr>
          <w:p>
            <w:pPr>
              <w:jc w:val="right"/>
              <w:ind w:right="41"/>
              <w:spacing w:after="0"/>
              <w:rPr>
                <w:sz w:val="20"/>
                <w:szCs w:val="20"/>
                <w:color w:val="auto"/>
              </w:rPr>
            </w:pPr>
            <w:r>
              <w:rPr>
                <w:rFonts w:ascii="Arial" w:cs="Arial" w:eastAsia="Arial" w:hAnsi="Arial"/>
                <w:sz w:val="20"/>
                <w:szCs w:val="20"/>
                <w:color w:val="auto"/>
                <w:w w:val="71"/>
              </w:rPr>
              <w:t>$</w:t>
            </w:r>
          </w:p>
        </w:tc>
        <w:tc>
          <w:tcPr>
            <w:tcW w:w="960" w:type="dxa"/>
            <w:vAlign w:val="bottom"/>
          </w:tcPr>
          <w:p>
            <w:pPr>
              <w:jc w:val="right"/>
              <w:spacing w:after="0"/>
              <w:rPr>
                <w:sz w:val="20"/>
                <w:szCs w:val="20"/>
                <w:color w:val="auto"/>
              </w:rPr>
            </w:pPr>
            <w:r>
              <w:rPr>
                <w:rFonts w:ascii="Arial" w:cs="Arial" w:eastAsia="Arial" w:hAnsi="Arial"/>
                <w:sz w:val="20"/>
                <w:szCs w:val="20"/>
                <w:color w:val="auto"/>
              </w:rPr>
              <w:t>53,743</w:t>
            </w:r>
          </w:p>
        </w:tc>
        <w:tc>
          <w:tcPr>
            <w:tcW w:w="100" w:type="dxa"/>
            <w:vAlign w:val="bottom"/>
          </w:tcPr>
          <w:p>
            <w:pPr>
              <w:spacing w:after="0"/>
              <w:rPr>
                <w:sz w:val="21"/>
                <w:szCs w:val="21"/>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c>
          <w:tcPr>
            <w:tcW w:w="860" w:type="dxa"/>
            <w:vAlign w:val="bottom"/>
          </w:tcPr>
          <w:p>
            <w:pPr>
              <w:jc w:val="right"/>
              <w:spacing w:after="0"/>
              <w:rPr>
                <w:sz w:val="20"/>
                <w:szCs w:val="20"/>
                <w:color w:val="auto"/>
              </w:rPr>
            </w:pPr>
            <w:r>
              <w:rPr>
                <w:rFonts w:ascii="Arial" w:cs="Arial" w:eastAsia="Arial" w:hAnsi="Arial"/>
                <w:sz w:val="20"/>
                <w:szCs w:val="20"/>
                <w:color w:val="auto"/>
              </w:rPr>
              <w:t>205,607</w:t>
            </w:r>
          </w:p>
        </w:tc>
        <w:tc>
          <w:tcPr>
            <w:tcW w:w="220" w:type="dxa"/>
            <w:vAlign w:val="bottom"/>
          </w:tcPr>
          <w:p>
            <w:pPr>
              <w:spacing w:after="0"/>
              <w:rPr>
                <w:sz w:val="21"/>
                <w:szCs w:val="21"/>
                <w:color w:val="auto"/>
              </w:rPr>
            </w:pPr>
          </w:p>
        </w:tc>
        <w:tc>
          <w:tcPr>
            <w:tcW w:w="220" w:type="dxa"/>
            <w:vAlign w:val="bottom"/>
          </w:tcPr>
          <w:p>
            <w:pPr>
              <w:jc w:val="right"/>
              <w:ind w:right="21"/>
              <w:spacing w:after="0"/>
              <w:rPr>
                <w:sz w:val="20"/>
                <w:szCs w:val="20"/>
                <w:color w:val="auto"/>
              </w:rPr>
            </w:pPr>
            <w:r>
              <w:rPr>
                <w:rFonts w:ascii="Arial" w:cs="Arial" w:eastAsia="Arial" w:hAnsi="Arial"/>
                <w:sz w:val="20"/>
                <w:szCs w:val="20"/>
                <w:color w:val="auto"/>
                <w:w w:val="71"/>
              </w:rPr>
              <w:t>$</w:t>
            </w:r>
          </w:p>
        </w:tc>
        <w:tc>
          <w:tcPr>
            <w:tcW w:w="880" w:type="dxa"/>
            <w:vAlign w:val="bottom"/>
          </w:tcPr>
          <w:p>
            <w:pPr>
              <w:jc w:val="right"/>
              <w:spacing w:after="0"/>
              <w:rPr>
                <w:sz w:val="20"/>
                <w:szCs w:val="20"/>
                <w:color w:val="auto"/>
              </w:rPr>
            </w:pPr>
            <w:r>
              <w:rPr>
                <w:rFonts w:ascii="Arial" w:cs="Arial" w:eastAsia="Arial" w:hAnsi="Arial"/>
                <w:sz w:val="20"/>
                <w:szCs w:val="20"/>
                <w:color w:val="auto"/>
              </w:rPr>
              <w:t>91,646</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20" w:type="dxa"/>
            <w:vAlign w:val="bottom"/>
            <w:shd w:val="clear" w:color="auto" w:fill="CFF0FC"/>
          </w:tcPr>
          <w:p>
            <w:pPr>
              <w:spacing w:after="0"/>
              <w:rPr>
                <w:sz w:val="20"/>
                <w:szCs w:val="20"/>
                <w:color w:val="auto"/>
              </w:rPr>
            </w:pPr>
            <w:r>
              <w:rPr>
                <w:rFonts w:ascii="Arial" w:cs="Arial" w:eastAsia="Arial" w:hAnsi="Arial"/>
                <w:sz w:val="20"/>
                <w:szCs w:val="20"/>
                <w:color w:val="auto"/>
              </w:rPr>
              <w:t>Other comprehensive earnings (loss), net of tax</w:t>
            </w:r>
          </w:p>
        </w:tc>
        <w:tc>
          <w:tcPr>
            <w:tcW w:w="26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72</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20"/>
                <w:szCs w:val="20"/>
                <w:color w:val="auto"/>
              </w:rPr>
              <w:t>(1,140)</w:t>
            </w:r>
          </w:p>
        </w:tc>
        <w:tc>
          <w:tcPr>
            <w:tcW w:w="360" w:type="dxa"/>
            <w:vAlign w:val="bottom"/>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20"/>
                <w:szCs w:val="20"/>
                <w:color w:val="auto"/>
              </w:rPr>
              <w:t>(6,583)</w:t>
            </w:r>
          </w:p>
        </w:tc>
        <w:tc>
          <w:tcPr>
            <w:tcW w:w="22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833</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5820" w:type="dxa"/>
            <w:vAlign w:val="bottom"/>
          </w:tcPr>
          <w:p>
            <w:pPr>
              <w:spacing w:after="0" w:line="220" w:lineRule="exact"/>
              <w:rPr>
                <w:sz w:val="20"/>
                <w:szCs w:val="20"/>
                <w:color w:val="auto"/>
              </w:rPr>
            </w:pPr>
            <w:r>
              <w:rPr>
                <w:rFonts w:ascii="Arial" w:cs="Arial" w:eastAsia="Arial" w:hAnsi="Arial"/>
                <w:sz w:val="20"/>
                <w:szCs w:val="20"/>
                <w:color w:val="auto"/>
              </w:rPr>
              <w:t>Comprehensive earnings attributable to</w:t>
            </w:r>
          </w:p>
        </w:tc>
        <w:tc>
          <w:tcPr>
            <w:tcW w:w="2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5820" w:type="dxa"/>
            <w:vAlign w:val="bottom"/>
          </w:tcPr>
          <w:p>
            <w:pPr>
              <w:ind w:left="260"/>
              <w:spacing w:after="0"/>
              <w:rPr>
                <w:sz w:val="20"/>
                <w:szCs w:val="20"/>
                <w:color w:val="auto"/>
              </w:rPr>
            </w:pPr>
            <w:r>
              <w:rPr>
                <w:rFonts w:ascii="Arial" w:cs="Arial" w:eastAsia="Arial" w:hAnsi="Arial"/>
                <w:sz w:val="20"/>
                <w:szCs w:val="20"/>
                <w:color w:val="auto"/>
              </w:rPr>
              <w:t>Martin Marietta Materials, Inc.</w:t>
            </w:r>
          </w:p>
        </w:tc>
        <w:tc>
          <w:tcPr>
            <w:tcW w:w="260" w:type="dxa"/>
            <w:vAlign w:val="bottom"/>
          </w:tcPr>
          <w:p>
            <w:pPr>
              <w:jc w:val="right"/>
              <w:ind w:right="61"/>
              <w:spacing w:after="0"/>
              <w:rPr>
                <w:sz w:val="20"/>
                <w:szCs w:val="20"/>
                <w:color w:val="auto"/>
              </w:rPr>
            </w:pPr>
            <w:r>
              <w:rPr>
                <w:rFonts w:ascii="Arial" w:cs="Arial" w:eastAsia="Arial" w:hAnsi="Arial"/>
                <w:sz w:val="20"/>
                <w:szCs w:val="20"/>
                <w:color w:val="auto"/>
                <w:w w:val="71"/>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117,616</w:t>
            </w:r>
          </w:p>
        </w:tc>
        <w:tc>
          <w:tcPr>
            <w:tcW w:w="220" w:type="dxa"/>
            <w:vAlign w:val="bottom"/>
          </w:tcPr>
          <w:p>
            <w:pPr>
              <w:spacing w:after="0"/>
              <w:rPr>
                <w:sz w:val="21"/>
                <w:szCs w:val="21"/>
                <w:color w:val="auto"/>
              </w:rPr>
            </w:pPr>
          </w:p>
        </w:tc>
        <w:tc>
          <w:tcPr>
            <w:tcW w:w="240" w:type="dxa"/>
            <w:vAlign w:val="bottom"/>
          </w:tcPr>
          <w:p>
            <w:pPr>
              <w:jc w:val="right"/>
              <w:ind w:right="41"/>
              <w:spacing w:after="0"/>
              <w:rPr>
                <w:sz w:val="20"/>
                <w:szCs w:val="20"/>
                <w:color w:val="auto"/>
              </w:rPr>
            </w:pPr>
            <w:r>
              <w:rPr>
                <w:rFonts w:ascii="Arial" w:cs="Arial" w:eastAsia="Arial" w:hAnsi="Arial"/>
                <w:sz w:val="20"/>
                <w:szCs w:val="20"/>
                <w:color w:val="auto"/>
                <w:w w:val="71"/>
              </w:rPr>
              <w:t>$</w:t>
            </w:r>
          </w:p>
        </w:tc>
        <w:tc>
          <w:tcPr>
            <w:tcW w:w="960" w:type="dxa"/>
            <w:vAlign w:val="bottom"/>
          </w:tcPr>
          <w:p>
            <w:pPr>
              <w:jc w:val="right"/>
              <w:spacing w:after="0"/>
              <w:rPr>
                <w:sz w:val="20"/>
                <w:szCs w:val="20"/>
                <w:color w:val="auto"/>
              </w:rPr>
            </w:pPr>
            <w:r>
              <w:rPr>
                <w:rFonts w:ascii="Arial" w:cs="Arial" w:eastAsia="Arial" w:hAnsi="Arial"/>
                <w:sz w:val="20"/>
                <w:szCs w:val="20"/>
                <w:color w:val="auto"/>
              </w:rPr>
              <w:t>52,603</w:t>
            </w:r>
          </w:p>
        </w:tc>
        <w:tc>
          <w:tcPr>
            <w:tcW w:w="100" w:type="dxa"/>
            <w:vAlign w:val="bottom"/>
          </w:tcPr>
          <w:p>
            <w:pPr>
              <w:spacing w:after="0"/>
              <w:rPr>
                <w:sz w:val="21"/>
                <w:szCs w:val="21"/>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c>
          <w:tcPr>
            <w:tcW w:w="860" w:type="dxa"/>
            <w:vAlign w:val="bottom"/>
          </w:tcPr>
          <w:p>
            <w:pPr>
              <w:jc w:val="right"/>
              <w:spacing w:after="0"/>
              <w:rPr>
                <w:sz w:val="20"/>
                <w:szCs w:val="20"/>
                <w:color w:val="auto"/>
              </w:rPr>
            </w:pPr>
            <w:r>
              <w:rPr>
                <w:rFonts w:ascii="Arial" w:cs="Arial" w:eastAsia="Arial" w:hAnsi="Arial"/>
                <w:sz w:val="20"/>
                <w:szCs w:val="20"/>
                <w:color w:val="auto"/>
              </w:rPr>
              <w:t>199,024</w:t>
            </w:r>
          </w:p>
        </w:tc>
        <w:tc>
          <w:tcPr>
            <w:tcW w:w="220" w:type="dxa"/>
            <w:vAlign w:val="bottom"/>
          </w:tcPr>
          <w:p>
            <w:pPr>
              <w:spacing w:after="0"/>
              <w:rPr>
                <w:sz w:val="21"/>
                <w:szCs w:val="21"/>
                <w:color w:val="auto"/>
              </w:rPr>
            </w:pPr>
          </w:p>
        </w:tc>
        <w:tc>
          <w:tcPr>
            <w:tcW w:w="220" w:type="dxa"/>
            <w:vAlign w:val="bottom"/>
          </w:tcPr>
          <w:p>
            <w:pPr>
              <w:jc w:val="right"/>
              <w:ind w:right="21"/>
              <w:spacing w:after="0"/>
              <w:rPr>
                <w:sz w:val="20"/>
                <w:szCs w:val="20"/>
                <w:color w:val="auto"/>
              </w:rPr>
            </w:pPr>
            <w:r>
              <w:rPr>
                <w:rFonts w:ascii="Arial" w:cs="Arial" w:eastAsia="Arial" w:hAnsi="Arial"/>
                <w:sz w:val="20"/>
                <w:szCs w:val="20"/>
                <w:color w:val="auto"/>
                <w:w w:val="71"/>
              </w:rPr>
              <w:t>$</w:t>
            </w:r>
          </w:p>
        </w:tc>
        <w:tc>
          <w:tcPr>
            <w:tcW w:w="880" w:type="dxa"/>
            <w:vAlign w:val="bottom"/>
          </w:tcPr>
          <w:p>
            <w:pPr>
              <w:jc w:val="right"/>
              <w:spacing w:after="0"/>
              <w:rPr>
                <w:sz w:val="20"/>
                <w:szCs w:val="20"/>
                <w:color w:val="auto"/>
              </w:rPr>
            </w:pPr>
            <w:r>
              <w:rPr>
                <w:rFonts w:ascii="Arial" w:cs="Arial" w:eastAsia="Arial" w:hAnsi="Arial"/>
                <w:sz w:val="20"/>
                <w:szCs w:val="20"/>
                <w:color w:val="auto"/>
              </w:rPr>
              <w:t>92,479</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8 of 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September 30, 2015</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NOTES TO CONSOLIDATED FINANCIAL STATEMENTS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207" w:lineRule="exact"/>
        <w:rPr>
          <w:sz w:val="20"/>
          <w:szCs w:val="20"/>
          <w:color w:val="auto"/>
        </w:rPr>
      </w:pPr>
    </w:p>
    <w:p>
      <w:pPr>
        <w:ind w:left="380" w:hanging="372"/>
        <w:spacing w:after="0"/>
        <w:tabs>
          <w:tab w:leader="none" w:pos="380" w:val="left"/>
        </w:tabs>
        <w:numPr>
          <w:ilvl w:val="0"/>
          <w:numId w:val="5"/>
        </w:numPr>
        <w:rPr>
          <w:rFonts w:ascii="Arial" w:cs="Arial" w:eastAsia="Arial" w:hAnsi="Arial"/>
          <w:sz w:val="20"/>
          <w:szCs w:val="20"/>
          <w:b w:val="1"/>
          <w:bCs w:val="1"/>
          <w:color w:val="auto"/>
        </w:rPr>
      </w:pPr>
      <w:r>
        <w:rPr>
          <w:rFonts w:ascii="Arial" w:cs="Arial" w:eastAsia="Arial" w:hAnsi="Arial"/>
          <w:sz w:val="20"/>
          <w:szCs w:val="20"/>
          <w:b w:val="1"/>
          <w:bCs w:val="1"/>
          <w:color w:val="auto"/>
        </w:rPr>
        <w:t>Significant Accounting Policies (continued)</w:t>
      </w:r>
    </w:p>
    <w:p>
      <w:pPr>
        <w:spacing w:after="0" w:line="107" w:lineRule="exact"/>
        <w:rPr>
          <w:rFonts w:ascii="Arial" w:cs="Arial" w:eastAsia="Arial" w:hAnsi="Arial"/>
          <w:sz w:val="20"/>
          <w:szCs w:val="20"/>
          <w:b w:val="1"/>
          <w:bCs w:val="1"/>
          <w:color w:val="auto"/>
        </w:rPr>
      </w:pPr>
    </w:p>
    <w:p>
      <w:pPr>
        <w:ind w:left="380"/>
        <w:spacing w:after="0"/>
        <w:rPr>
          <w:rFonts w:ascii="Arial" w:cs="Arial" w:eastAsia="Arial" w:hAnsi="Arial"/>
          <w:sz w:val="20"/>
          <w:szCs w:val="20"/>
          <w:b w:val="1"/>
          <w:bCs w:val="1"/>
          <w:color w:val="auto"/>
        </w:rPr>
      </w:pPr>
      <w:r>
        <w:rPr>
          <w:rFonts w:ascii="Arial" w:cs="Arial" w:eastAsia="Arial" w:hAnsi="Arial"/>
          <w:sz w:val="20"/>
          <w:szCs w:val="20"/>
          <w:b w:val="1"/>
          <w:bCs w:val="1"/>
          <w:color w:val="auto"/>
        </w:rPr>
        <w:t>Consolidated Comprehensive Earnings/Loss and Accumulated Other Comprehensive Loss (continued)</w:t>
      </w:r>
    </w:p>
    <w:p>
      <w:pPr>
        <w:spacing w:after="0" w:line="113" w:lineRule="exact"/>
        <w:rPr>
          <w:rFonts w:ascii="Arial" w:cs="Arial" w:eastAsia="Arial" w:hAnsi="Arial"/>
          <w:sz w:val="20"/>
          <w:szCs w:val="20"/>
          <w:b w:val="1"/>
          <w:bCs w:val="1"/>
          <w:color w:val="auto"/>
        </w:rPr>
      </w:pPr>
    </w:p>
    <w:p>
      <w:pPr>
        <w:ind w:left="380"/>
        <w:spacing w:after="0" w:line="260" w:lineRule="auto"/>
        <w:rPr>
          <w:rFonts w:ascii="Arial" w:cs="Arial" w:eastAsia="Arial" w:hAnsi="Arial"/>
          <w:sz w:val="20"/>
          <w:szCs w:val="20"/>
          <w:b w:val="1"/>
          <w:bCs w:val="1"/>
          <w:color w:val="auto"/>
        </w:rPr>
      </w:pPr>
      <w:r>
        <w:rPr>
          <w:rFonts w:ascii="Arial" w:cs="Arial" w:eastAsia="Arial" w:hAnsi="Arial"/>
          <w:sz w:val="20"/>
          <w:szCs w:val="20"/>
          <w:color w:val="auto"/>
        </w:rPr>
        <w:t>Comprehensive earnings (loss) attributable to noncontrolling interests, consisting of net earnings or loss and adjustments for the funded status of pension and postretirement benefit plans, is as follows: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0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300" w:type="dxa"/>
            <w:vAlign w:val="bottom"/>
            <w:gridSpan w:val="4"/>
          </w:tcPr>
          <w:p>
            <w:pPr>
              <w:jc w:val="right"/>
              <w:ind w:right="61"/>
              <w:spacing w:after="0"/>
              <w:rPr>
                <w:sz w:val="20"/>
                <w:szCs w:val="20"/>
                <w:color w:val="auto"/>
              </w:rPr>
            </w:pPr>
            <w:r>
              <w:rPr>
                <w:rFonts w:ascii="Arial" w:cs="Arial" w:eastAsia="Arial" w:hAnsi="Arial"/>
                <w:sz w:val="20"/>
                <w:szCs w:val="20"/>
                <w:color w:val="auto"/>
              </w:rPr>
              <w:t>Three Months Ended</w:t>
            </w: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740" w:type="dxa"/>
            <w:vAlign w:val="bottom"/>
            <w:gridSpan w:val="5"/>
          </w:tcPr>
          <w:p>
            <w:pPr>
              <w:jc w:val="right"/>
              <w:ind w:right="780"/>
              <w:spacing w:after="0"/>
              <w:rPr>
                <w:sz w:val="20"/>
                <w:szCs w:val="20"/>
                <w:color w:val="auto"/>
              </w:rPr>
            </w:pPr>
            <w:r>
              <w:rPr>
                <w:rFonts w:ascii="Arial" w:cs="Arial" w:eastAsia="Arial" w:hAnsi="Arial"/>
                <w:sz w:val="20"/>
                <w:szCs w:val="20"/>
                <w:color w:val="auto"/>
              </w:rPr>
              <w:t>Nine Months Ended</w:t>
            </w:r>
          </w:p>
        </w:tc>
      </w:tr>
      <w:tr>
        <w:trPr>
          <w:trHeight w:val="246"/>
        </w:trPr>
        <w:tc>
          <w:tcPr>
            <w:tcW w:w="50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300" w:type="dxa"/>
            <w:vAlign w:val="bottom"/>
            <w:tcBorders>
              <w:bottom w:val="single" w:sz="8" w:color="auto"/>
            </w:tcBorders>
            <w:gridSpan w:val="4"/>
          </w:tcPr>
          <w:p>
            <w:pPr>
              <w:jc w:val="right"/>
              <w:ind w:right="321"/>
              <w:spacing w:after="0"/>
              <w:rPr>
                <w:sz w:val="20"/>
                <w:szCs w:val="20"/>
                <w:color w:val="auto"/>
              </w:rPr>
            </w:pPr>
            <w:r>
              <w:rPr>
                <w:rFonts w:ascii="Arial" w:cs="Arial" w:eastAsia="Arial" w:hAnsi="Arial"/>
                <w:sz w:val="20"/>
                <w:szCs w:val="20"/>
                <w:color w:val="auto"/>
              </w:rPr>
              <w:t>September 30,</w:t>
            </w:r>
          </w:p>
        </w:tc>
        <w:tc>
          <w:tcPr>
            <w:tcW w:w="3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20"/>
                <w:szCs w:val="20"/>
                <w:color w:val="auto"/>
              </w:rPr>
              <w:t>September 30,</w:t>
            </w:r>
          </w:p>
        </w:tc>
        <w:tc>
          <w:tcPr>
            <w:tcW w:w="88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r>
      <w:tr>
        <w:trPr>
          <w:trHeight w:val="237"/>
        </w:trPr>
        <w:tc>
          <w:tcPr>
            <w:tcW w:w="50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2015</w:t>
            </w: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2"/>
          </w:tcPr>
          <w:p>
            <w:pPr>
              <w:jc w:val="right"/>
              <w:ind w:right="1"/>
              <w:spacing w:after="0"/>
              <w:rPr>
                <w:sz w:val="20"/>
                <w:szCs w:val="20"/>
                <w:color w:val="auto"/>
              </w:rPr>
            </w:pPr>
            <w:r>
              <w:rPr>
                <w:rFonts w:ascii="Arial" w:cs="Arial" w:eastAsia="Arial" w:hAnsi="Arial"/>
                <w:sz w:val="20"/>
                <w:szCs w:val="20"/>
                <w:color w:val="auto"/>
              </w:rPr>
              <w:t>2014</w:t>
            </w:r>
          </w:p>
        </w:tc>
        <w:tc>
          <w:tcPr>
            <w:tcW w:w="3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81"/>
              <w:spacing w:after="0"/>
              <w:rPr>
                <w:sz w:val="20"/>
                <w:szCs w:val="20"/>
                <w:color w:val="auto"/>
              </w:rPr>
            </w:pPr>
            <w:r>
              <w:rPr>
                <w:rFonts w:ascii="Arial" w:cs="Arial" w:eastAsia="Arial" w:hAnsi="Arial"/>
                <w:sz w:val="20"/>
                <w:szCs w:val="20"/>
                <w:color w:val="auto"/>
              </w:rPr>
              <w:t>2015</w:t>
            </w:r>
          </w:p>
        </w:tc>
        <w:tc>
          <w:tcPr>
            <w:tcW w:w="2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81"/>
              <w:spacing w:after="0"/>
              <w:rPr>
                <w:sz w:val="20"/>
                <w:szCs w:val="20"/>
                <w:color w:val="auto"/>
              </w:rPr>
            </w:pPr>
            <w:r>
              <w:rPr>
                <w:rFonts w:ascii="Arial" w:cs="Arial" w:eastAsia="Arial" w:hAnsi="Arial"/>
                <w:sz w:val="20"/>
                <w:szCs w:val="20"/>
                <w:color w:val="auto"/>
                <w:w w:val="85"/>
              </w:rPr>
              <w:t>2014</w:t>
            </w:r>
          </w:p>
        </w:tc>
        <w:tc>
          <w:tcPr>
            <w:tcW w:w="120" w:type="dxa"/>
            <w:vAlign w:val="bottom"/>
          </w:tcPr>
          <w:p>
            <w:pPr>
              <w:spacing w:after="0"/>
              <w:rPr>
                <w:sz w:val="20"/>
                <w:szCs w:val="20"/>
                <w:color w:val="auto"/>
              </w:rPr>
            </w:pPr>
          </w:p>
        </w:tc>
      </w:tr>
      <w:tr>
        <w:trPr>
          <w:trHeight w:val="233"/>
        </w:trPr>
        <w:tc>
          <w:tcPr>
            <w:tcW w:w="50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40" w:type="dxa"/>
            <w:vAlign w:val="bottom"/>
            <w:gridSpan w:val="7"/>
          </w:tcPr>
          <w:p>
            <w:pPr>
              <w:jc w:val="center"/>
              <w:ind w:right="60"/>
              <w:spacing w:after="0"/>
              <w:rPr>
                <w:sz w:val="20"/>
                <w:szCs w:val="20"/>
                <w:color w:val="auto"/>
              </w:rPr>
            </w:pPr>
            <w:r>
              <w:rPr>
                <w:rFonts w:ascii="Arial" w:cs="Arial" w:eastAsia="Arial" w:hAnsi="Arial"/>
                <w:sz w:val="20"/>
                <w:szCs w:val="20"/>
                <w:i w:val="1"/>
                <w:iCs w:val="1"/>
                <w:color w:val="auto"/>
                <w:w w:val="91"/>
              </w:rPr>
              <w:t>(Dollars in Thousands)</w:t>
            </w: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46"/>
        </w:trPr>
        <w:tc>
          <w:tcPr>
            <w:tcW w:w="5080" w:type="dxa"/>
            <w:vAlign w:val="bottom"/>
          </w:tcPr>
          <w:p>
            <w:pPr>
              <w:spacing w:after="0"/>
              <w:rPr>
                <w:sz w:val="20"/>
                <w:szCs w:val="20"/>
                <w:color w:val="auto"/>
              </w:rPr>
            </w:pPr>
            <w:r>
              <w:rPr>
                <w:rFonts w:ascii="Arial" w:cs="Arial" w:eastAsia="Arial" w:hAnsi="Arial"/>
                <w:sz w:val="20"/>
                <w:szCs w:val="20"/>
                <w:color w:val="auto"/>
              </w:rPr>
              <w:t>Net earnings (loss) attributable to noncontrolling interests</w:t>
            </w:r>
          </w:p>
        </w:tc>
        <w:tc>
          <w:tcPr>
            <w:tcW w:w="1380" w:type="dxa"/>
            <w:vAlign w:val="bottom"/>
            <w:gridSpan w:val="2"/>
          </w:tcPr>
          <w:p>
            <w:pPr>
              <w:jc w:val="right"/>
              <w:ind w:right="681"/>
              <w:spacing w:after="0"/>
              <w:rPr>
                <w:sz w:val="20"/>
                <w:szCs w:val="20"/>
                <w:color w:val="auto"/>
              </w:rPr>
            </w:pPr>
            <w:r>
              <w:rPr>
                <w:rFonts w:ascii="Arial" w:cs="Arial" w:eastAsia="Arial" w:hAnsi="Arial"/>
                <w:sz w:val="20"/>
                <w:szCs w:val="20"/>
                <w:color w:val="auto"/>
              </w:rPr>
              <w:t>$</w:t>
            </w:r>
          </w:p>
        </w:tc>
        <w:tc>
          <w:tcPr>
            <w:tcW w:w="320" w:type="dxa"/>
            <w:vAlign w:val="bottom"/>
          </w:tcPr>
          <w:p>
            <w:pPr>
              <w:jc w:val="right"/>
              <w:spacing w:after="0"/>
              <w:rPr>
                <w:sz w:val="20"/>
                <w:szCs w:val="20"/>
                <w:color w:val="auto"/>
              </w:rPr>
            </w:pPr>
            <w:r>
              <w:rPr>
                <w:rFonts w:ascii="Arial" w:cs="Arial" w:eastAsia="Arial" w:hAnsi="Arial"/>
                <w:sz w:val="20"/>
                <w:szCs w:val="20"/>
                <w:color w:val="auto"/>
              </w:rPr>
              <w:t>34</w:t>
            </w:r>
          </w:p>
        </w:tc>
        <w:tc>
          <w:tcPr>
            <w:tcW w:w="1100" w:type="dxa"/>
            <w:vAlign w:val="bottom"/>
            <w:gridSpan w:val="2"/>
          </w:tcPr>
          <w:p>
            <w:pPr>
              <w:jc w:val="right"/>
              <w:ind w:right="701"/>
              <w:spacing w:after="0"/>
              <w:rPr>
                <w:sz w:val="20"/>
                <w:szCs w:val="20"/>
                <w:color w:val="auto"/>
              </w:rPr>
            </w:pPr>
            <w:r>
              <w:rPr>
                <w:rFonts w:ascii="Arial" w:cs="Arial" w:eastAsia="Arial" w:hAnsi="Arial"/>
                <w:sz w:val="20"/>
                <w:szCs w:val="20"/>
                <w:color w:val="auto"/>
              </w:rPr>
              <w:t>$</w:t>
            </w:r>
          </w:p>
        </w:tc>
        <w:tc>
          <w:tcPr>
            <w:tcW w:w="320" w:type="dxa"/>
            <w:vAlign w:val="bottom"/>
          </w:tcPr>
          <w:p>
            <w:pPr>
              <w:jc w:val="right"/>
              <w:spacing w:after="0"/>
              <w:rPr>
                <w:sz w:val="20"/>
                <w:szCs w:val="20"/>
                <w:color w:val="auto"/>
              </w:rPr>
            </w:pPr>
            <w:r>
              <w:rPr>
                <w:rFonts w:ascii="Arial" w:cs="Arial" w:eastAsia="Arial" w:hAnsi="Arial"/>
                <w:sz w:val="20"/>
                <w:szCs w:val="20"/>
                <w:color w:val="auto"/>
              </w:rPr>
              <w:t>91</w:t>
            </w:r>
          </w:p>
        </w:tc>
        <w:tc>
          <w:tcPr>
            <w:tcW w:w="100" w:type="dxa"/>
            <w:vAlign w:val="bottom"/>
          </w:tcPr>
          <w:p>
            <w:pPr>
              <w:spacing w:after="0"/>
              <w:rPr>
                <w:sz w:val="21"/>
                <w:szCs w:val="21"/>
                <w:color w:val="auto"/>
              </w:rPr>
            </w:pPr>
          </w:p>
        </w:tc>
        <w:tc>
          <w:tcPr>
            <w:tcW w:w="380" w:type="dxa"/>
            <w:vAlign w:val="bottom"/>
            <w:gridSpan w:val="2"/>
          </w:tcPr>
          <w:p>
            <w:pPr>
              <w:jc w:val="center"/>
              <w:ind w:right="80"/>
              <w:spacing w:after="0"/>
              <w:rPr>
                <w:sz w:val="20"/>
                <w:szCs w:val="20"/>
                <w:color w:val="auto"/>
              </w:rPr>
            </w:pPr>
            <w:r>
              <w:rPr>
                <w:rFonts w:ascii="Arial" w:cs="Arial" w:eastAsia="Arial" w:hAnsi="Arial"/>
                <w:sz w:val="20"/>
                <w:szCs w:val="20"/>
                <w:color w:val="auto"/>
                <w:w w:val="89"/>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108</w:t>
            </w:r>
          </w:p>
        </w:tc>
        <w:tc>
          <w:tcPr>
            <w:tcW w:w="200" w:type="dxa"/>
            <w:vAlign w:val="bottom"/>
          </w:tcPr>
          <w:p>
            <w:pPr>
              <w:spacing w:after="0"/>
              <w:rPr>
                <w:sz w:val="21"/>
                <w:szCs w:val="21"/>
                <w:color w:val="auto"/>
              </w:rPr>
            </w:pPr>
          </w:p>
        </w:tc>
        <w:tc>
          <w:tcPr>
            <w:tcW w:w="480" w:type="dxa"/>
            <w:vAlign w:val="bottom"/>
          </w:tcPr>
          <w:p>
            <w:pPr>
              <w:jc w:val="right"/>
              <w:ind w:right="281"/>
              <w:spacing w:after="0"/>
              <w:rPr>
                <w:sz w:val="20"/>
                <w:szCs w:val="20"/>
                <w:color w:val="auto"/>
              </w:rPr>
            </w:pPr>
            <w:r>
              <w:rPr>
                <w:rFonts w:ascii="Arial" w:cs="Arial" w:eastAsia="Arial" w:hAnsi="Arial"/>
                <w:sz w:val="20"/>
                <w:szCs w:val="20"/>
                <w:color w:val="auto"/>
                <w:w w:val="71"/>
              </w:rPr>
              <w:t>$</w:t>
            </w:r>
          </w:p>
        </w:tc>
        <w:tc>
          <w:tcPr>
            <w:tcW w:w="1000" w:type="dxa"/>
            <w:vAlign w:val="bottom"/>
            <w:gridSpan w:val="2"/>
          </w:tcPr>
          <w:p>
            <w:pPr>
              <w:jc w:val="right"/>
              <w:ind w:right="60"/>
              <w:spacing w:after="0"/>
              <w:rPr>
                <w:sz w:val="20"/>
                <w:szCs w:val="20"/>
                <w:color w:val="auto"/>
              </w:rPr>
            </w:pPr>
            <w:r>
              <w:rPr>
                <w:rFonts w:ascii="Arial" w:cs="Arial" w:eastAsia="Arial" w:hAnsi="Arial"/>
                <w:sz w:val="20"/>
                <w:szCs w:val="20"/>
                <w:color w:val="auto"/>
              </w:rPr>
              <w:t>(1,341)</w:t>
            </w:r>
          </w:p>
        </w:tc>
      </w:tr>
      <w:tr>
        <w:trPr>
          <w:trHeight w:val="243"/>
        </w:trPr>
        <w:tc>
          <w:tcPr>
            <w:tcW w:w="5080" w:type="dxa"/>
            <w:vAlign w:val="bottom"/>
            <w:shd w:val="clear" w:color="auto" w:fill="CFF0FC"/>
          </w:tcPr>
          <w:p>
            <w:pPr>
              <w:spacing w:after="0"/>
              <w:rPr>
                <w:sz w:val="20"/>
                <w:szCs w:val="20"/>
                <w:color w:val="auto"/>
              </w:rPr>
            </w:pPr>
            <w:r>
              <w:rPr>
                <w:rFonts w:ascii="Arial" w:cs="Arial" w:eastAsia="Arial" w:hAnsi="Arial"/>
                <w:sz w:val="20"/>
                <w:szCs w:val="20"/>
                <w:color w:val="auto"/>
              </w:rPr>
              <w:t>Other comprehensive earnings, net of tax</w:t>
            </w:r>
          </w:p>
        </w:tc>
        <w:tc>
          <w:tcPr>
            <w:tcW w:w="500" w:type="dxa"/>
            <w:vAlign w:val="bottom"/>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3</w:t>
            </w:r>
          </w:p>
        </w:tc>
        <w:tc>
          <w:tcPr>
            <w:tcW w:w="220" w:type="dxa"/>
            <w:vAlign w:val="bottom"/>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w:t>
            </w:r>
          </w:p>
        </w:tc>
        <w:tc>
          <w:tcPr>
            <w:tcW w:w="100" w:type="dxa"/>
            <w:vAlign w:val="bottom"/>
            <w:shd w:val="clear" w:color="auto" w:fill="CFF0FC"/>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8</w:t>
            </w:r>
          </w:p>
        </w:tc>
        <w:tc>
          <w:tcPr>
            <w:tcW w:w="200" w:type="dxa"/>
            <w:vAlign w:val="bottom"/>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4</w:t>
            </w:r>
          </w:p>
        </w:tc>
        <w:tc>
          <w:tcPr>
            <w:tcW w:w="120" w:type="dxa"/>
            <w:vAlign w:val="bottom"/>
            <w:shd w:val="clear" w:color="auto" w:fill="CFF0FC"/>
          </w:tcPr>
          <w:p>
            <w:pPr>
              <w:spacing w:after="0"/>
              <w:rPr>
                <w:sz w:val="21"/>
                <w:szCs w:val="21"/>
                <w:color w:val="auto"/>
              </w:rPr>
            </w:pPr>
          </w:p>
        </w:tc>
      </w:tr>
      <w:tr>
        <w:trPr>
          <w:trHeight w:val="220"/>
        </w:trPr>
        <w:tc>
          <w:tcPr>
            <w:tcW w:w="5080" w:type="dxa"/>
            <w:vAlign w:val="bottom"/>
          </w:tcPr>
          <w:p>
            <w:pPr>
              <w:spacing w:after="0" w:line="220" w:lineRule="exact"/>
              <w:rPr>
                <w:sz w:val="20"/>
                <w:szCs w:val="20"/>
                <w:color w:val="auto"/>
              </w:rPr>
            </w:pPr>
            <w:r>
              <w:rPr>
                <w:rFonts w:ascii="Arial" w:cs="Arial" w:eastAsia="Arial" w:hAnsi="Arial"/>
                <w:sz w:val="20"/>
                <w:szCs w:val="20"/>
                <w:color w:val="auto"/>
              </w:rPr>
              <w:t>Comprehensive earnings (loss) attributable to</w:t>
            </w:r>
          </w:p>
        </w:tc>
        <w:tc>
          <w:tcPr>
            <w:tcW w:w="5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46"/>
        </w:trPr>
        <w:tc>
          <w:tcPr>
            <w:tcW w:w="5080" w:type="dxa"/>
            <w:vAlign w:val="bottom"/>
          </w:tcPr>
          <w:p>
            <w:pPr>
              <w:ind w:left="260"/>
              <w:spacing w:after="0"/>
              <w:rPr>
                <w:sz w:val="20"/>
                <w:szCs w:val="20"/>
                <w:color w:val="auto"/>
              </w:rPr>
            </w:pPr>
            <w:r>
              <w:rPr>
                <w:rFonts w:ascii="Arial" w:cs="Arial" w:eastAsia="Arial" w:hAnsi="Arial"/>
                <w:sz w:val="20"/>
                <w:szCs w:val="20"/>
                <w:color w:val="auto"/>
              </w:rPr>
              <w:t>noncontrolling interests</w:t>
            </w:r>
          </w:p>
        </w:tc>
        <w:tc>
          <w:tcPr>
            <w:tcW w:w="1380" w:type="dxa"/>
            <w:vAlign w:val="bottom"/>
            <w:gridSpan w:val="2"/>
          </w:tcPr>
          <w:p>
            <w:pPr>
              <w:jc w:val="right"/>
              <w:ind w:right="681"/>
              <w:spacing w:after="0"/>
              <w:rPr>
                <w:sz w:val="20"/>
                <w:szCs w:val="20"/>
                <w:color w:val="auto"/>
              </w:rPr>
            </w:pPr>
            <w:r>
              <w:rPr>
                <w:rFonts w:ascii="Arial" w:cs="Arial" w:eastAsia="Arial" w:hAnsi="Arial"/>
                <w:sz w:val="20"/>
                <w:szCs w:val="20"/>
                <w:color w:val="auto"/>
              </w:rPr>
              <w:t>$</w:t>
            </w:r>
          </w:p>
        </w:tc>
        <w:tc>
          <w:tcPr>
            <w:tcW w:w="320" w:type="dxa"/>
            <w:vAlign w:val="bottom"/>
          </w:tcPr>
          <w:p>
            <w:pPr>
              <w:jc w:val="right"/>
              <w:spacing w:after="0"/>
              <w:rPr>
                <w:sz w:val="20"/>
                <w:szCs w:val="20"/>
                <w:color w:val="auto"/>
              </w:rPr>
            </w:pPr>
            <w:r>
              <w:rPr>
                <w:rFonts w:ascii="Arial" w:cs="Arial" w:eastAsia="Arial" w:hAnsi="Arial"/>
                <w:sz w:val="20"/>
                <w:szCs w:val="20"/>
                <w:color w:val="auto"/>
              </w:rPr>
              <w:t>37</w:t>
            </w:r>
          </w:p>
        </w:tc>
        <w:tc>
          <w:tcPr>
            <w:tcW w:w="1100" w:type="dxa"/>
            <w:vAlign w:val="bottom"/>
            <w:gridSpan w:val="2"/>
          </w:tcPr>
          <w:p>
            <w:pPr>
              <w:jc w:val="right"/>
              <w:ind w:right="701"/>
              <w:spacing w:after="0"/>
              <w:rPr>
                <w:sz w:val="20"/>
                <w:szCs w:val="20"/>
                <w:color w:val="auto"/>
              </w:rPr>
            </w:pPr>
            <w:r>
              <w:rPr>
                <w:rFonts w:ascii="Arial" w:cs="Arial" w:eastAsia="Arial" w:hAnsi="Arial"/>
                <w:sz w:val="20"/>
                <w:szCs w:val="20"/>
                <w:color w:val="auto"/>
              </w:rPr>
              <w:t>$</w:t>
            </w:r>
          </w:p>
        </w:tc>
        <w:tc>
          <w:tcPr>
            <w:tcW w:w="320" w:type="dxa"/>
            <w:vAlign w:val="bottom"/>
          </w:tcPr>
          <w:p>
            <w:pPr>
              <w:jc w:val="right"/>
              <w:spacing w:after="0"/>
              <w:rPr>
                <w:sz w:val="20"/>
                <w:szCs w:val="20"/>
                <w:color w:val="auto"/>
              </w:rPr>
            </w:pPr>
            <w:r>
              <w:rPr>
                <w:rFonts w:ascii="Arial" w:cs="Arial" w:eastAsia="Arial" w:hAnsi="Arial"/>
                <w:sz w:val="20"/>
                <w:szCs w:val="20"/>
                <w:color w:val="auto"/>
              </w:rPr>
              <w:t>93</w:t>
            </w:r>
          </w:p>
        </w:tc>
        <w:tc>
          <w:tcPr>
            <w:tcW w:w="100" w:type="dxa"/>
            <w:vAlign w:val="bottom"/>
          </w:tcPr>
          <w:p>
            <w:pPr>
              <w:spacing w:after="0"/>
              <w:rPr>
                <w:sz w:val="21"/>
                <w:szCs w:val="21"/>
                <w:color w:val="auto"/>
              </w:rPr>
            </w:pPr>
          </w:p>
        </w:tc>
        <w:tc>
          <w:tcPr>
            <w:tcW w:w="380" w:type="dxa"/>
            <w:vAlign w:val="bottom"/>
            <w:gridSpan w:val="2"/>
          </w:tcPr>
          <w:p>
            <w:pPr>
              <w:jc w:val="center"/>
              <w:ind w:right="80"/>
              <w:spacing w:after="0"/>
              <w:rPr>
                <w:sz w:val="20"/>
                <w:szCs w:val="20"/>
                <w:color w:val="auto"/>
              </w:rPr>
            </w:pPr>
            <w:r>
              <w:rPr>
                <w:rFonts w:ascii="Arial" w:cs="Arial" w:eastAsia="Arial" w:hAnsi="Arial"/>
                <w:sz w:val="20"/>
                <w:szCs w:val="20"/>
                <w:color w:val="auto"/>
                <w:w w:val="89"/>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116</w:t>
            </w:r>
          </w:p>
        </w:tc>
        <w:tc>
          <w:tcPr>
            <w:tcW w:w="200" w:type="dxa"/>
            <w:vAlign w:val="bottom"/>
          </w:tcPr>
          <w:p>
            <w:pPr>
              <w:spacing w:after="0"/>
              <w:rPr>
                <w:sz w:val="21"/>
                <w:szCs w:val="21"/>
                <w:color w:val="auto"/>
              </w:rPr>
            </w:pPr>
          </w:p>
        </w:tc>
        <w:tc>
          <w:tcPr>
            <w:tcW w:w="480" w:type="dxa"/>
            <w:vAlign w:val="bottom"/>
          </w:tcPr>
          <w:p>
            <w:pPr>
              <w:jc w:val="right"/>
              <w:ind w:right="281"/>
              <w:spacing w:after="0"/>
              <w:rPr>
                <w:sz w:val="20"/>
                <w:szCs w:val="20"/>
                <w:color w:val="auto"/>
              </w:rPr>
            </w:pPr>
            <w:r>
              <w:rPr>
                <w:rFonts w:ascii="Arial" w:cs="Arial" w:eastAsia="Arial" w:hAnsi="Arial"/>
                <w:sz w:val="20"/>
                <w:szCs w:val="20"/>
                <w:color w:val="auto"/>
                <w:w w:val="71"/>
              </w:rPr>
              <w:t>$</w:t>
            </w:r>
          </w:p>
        </w:tc>
        <w:tc>
          <w:tcPr>
            <w:tcW w:w="1000" w:type="dxa"/>
            <w:vAlign w:val="bottom"/>
            <w:gridSpan w:val="2"/>
          </w:tcPr>
          <w:p>
            <w:pPr>
              <w:jc w:val="right"/>
              <w:ind w:right="60"/>
              <w:spacing w:after="0"/>
              <w:rPr>
                <w:sz w:val="20"/>
                <w:szCs w:val="20"/>
                <w:color w:val="auto"/>
              </w:rPr>
            </w:pPr>
            <w:r>
              <w:rPr>
                <w:rFonts w:ascii="Arial" w:cs="Arial" w:eastAsia="Arial" w:hAnsi="Arial"/>
                <w:sz w:val="20"/>
                <w:szCs w:val="20"/>
                <w:color w:val="auto"/>
              </w:rPr>
              <w:t>(1,337)</w:t>
            </w:r>
          </w:p>
        </w:tc>
      </w:tr>
      <w:tr>
        <w:trPr>
          <w:trHeight w:val="20"/>
        </w:trPr>
        <w:tc>
          <w:tcPr>
            <w:tcW w:w="50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9" w:lineRule="exact"/>
        <w:rPr>
          <w:sz w:val="20"/>
          <w:szCs w:val="20"/>
          <w:color w:val="auto"/>
        </w:rPr>
      </w:pPr>
    </w:p>
    <w:p>
      <w:pPr>
        <w:jc w:val="both"/>
        <w:ind w:left="380"/>
        <w:spacing w:after="0" w:line="250" w:lineRule="auto"/>
        <w:rPr>
          <w:sz w:val="20"/>
          <w:szCs w:val="20"/>
          <w:color w:val="auto"/>
        </w:rPr>
      </w:pPr>
      <w:r>
        <w:rPr>
          <w:rFonts w:ascii="Arial" w:cs="Arial" w:eastAsia="Arial" w:hAnsi="Arial"/>
          <w:sz w:val="20"/>
          <w:szCs w:val="20"/>
          <w:color w:val="auto"/>
        </w:rPr>
        <w:t>Accumulated other comprehensive loss consists of unrealized gains and losses related to the funded status of pension and postretirement benefit plans; foreign currency translation; and the unamortized value of terminated forward starting interest rate swap agreements, and is presented on the Corporation’s consolidated balance sheets.</w:t>
      </w:r>
    </w:p>
    <w:p>
      <w:pPr>
        <w:spacing w:after="0" w:line="78" w:lineRule="exact"/>
        <w:rPr>
          <w:sz w:val="20"/>
          <w:szCs w:val="20"/>
          <w:color w:val="auto"/>
        </w:rPr>
      </w:pPr>
    </w:p>
    <w:p>
      <w:pPr>
        <w:ind w:left="380"/>
        <w:spacing w:after="0"/>
        <w:rPr>
          <w:sz w:val="20"/>
          <w:szCs w:val="20"/>
          <w:color w:val="auto"/>
        </w:rPr>
      </w:pPr>
      <w:r>
        <w:rPr>
          <w:rFonts w:ascii="Arial" w:cs="Arial" w:eastAsia="Arial" w:hAnsi="Arial"/>
          <w:sz w:val="20"/>
          <w:szCs w:val="20"/>
          <w:color w:val="auto"/>
        </w:rPr>
        <w:t>Changes in accumulated other comprehensive loss, net of tax, are as follows: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5"/>
          </w:tcPr>
          <w:p>
            <w:pPr>
              <w:jc w:val="center"/>
              <w:ind w:right="360"/>
              <w:spacing w:after="0"/>
              <w:rPr>
                <w:sz w:val="20"/>
                <w:szCs w:val="20"/>
                <w:color w:val="auto"/>
              </w:rPr>
            </w:pPr>
            <w:r>
              <w:rPr>
                <w:rFonts w:ascii="Arial" w:cs="Arial" w:eastAsia="Arial" w:hAnsi="Arial"/>
                <w:sz w:val="18"/>
                <w:szCs w:val="18"/>
                <w:i w:val="1"/>
                <w:iCs w:val="1"/>
                <w:color w:val="auto"/>
                <w:w w:val="92"/>
              </w:rPr>
              <w:t>(Dollars in Thousands)</w:t>
            </w: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2"/>
        </w:trPr>
        <w:tc>
          <w:tcPr>
            <w:tcW w:w="5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8"/>
                <w:szCs w:val="18"/>
                <w:color w:val="auto"/>
                <w:w w:val="92"/>
              </w:rPr>
              <w:t>Unamortized</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5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Value of</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5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8"/>
                <w:szCs w:val="18"/>
                <w:color w:val="auto"/>
                <w:w w:val="90"/>
              </w:rPr>
              <w:t>Terminated</w:t>
            </w:r>
          </w:p>
        </w:tc>
        <w:tc>
          <w:tcPr>
            <w:tcW w:w="100" w:type="dxa"/>
            <w:vAlign w:val="bottom"/>
          </w:tcPr>
          <w:p>
            <w:pPr>
              <w:spacing w:after="0"/>
              <w:rPr>
                <w:sz w:val="19"/>
                <w:szCs w:val="19"/>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Accumulated</w:t>
            </w:r>
          </w:p>
        </w:tc>
      </w:tr>
      <w:tr>
        <w:trPr>
          <w:trHeight w:val="230"/>
        </w:trPr>
        <w:tc>
          <w:tcPr>
            <w:tcW w:w="5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center"/>
              <w:ind w:right="250"/>
              <w:spacing w:after="0"/>
              <w:rPr>
                <w:sz w:val="20"/>
                <w:szCs w:val="20"/>
                <w:color w:val="auto"/>
              </w:rPr>
            </w:pPr>
            <w:r>
              <w:rPr>
                <w:rFonts w:ascii="Arial" w:cs="Arial" w:eastAsia="Arial" w:hAnsi="Arial"/>
                <w:sz w:val="18"/>
                <w:szCs w:val="18"/>
                <w:color w:val="auto"/>
                <w:w w:val="85"/>
              </w:rPr>
              <w:t>Pension and</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gridSpan w:val="3"/>
          </w:tcPr>
          <w:p>
            <w:pPr>
              <w:spacing w:after="0"/>
              <w:rPr>
                <w:sz w:val="20"/>
                <w:szCs w:val="20"/>
                <w:color w:val="auto"/>
              </w:rPr>
            </w:pPr>
            <w:r>
              <w:rPr>
                <w:rFonts w:ascii="Arial" w:cs="Arial" w:eastAsia="Arial" w:hAnsi="Arial"/>
                <w:sz w:val="18"/>
                <w:szCs w:val="18"/>
                <w:color w:val="auto"/>
              </w:rPr>
              <w:t>Forward Starting</w:t>
            </w:r>
          </w:p>
        </w:tc>
        <w:tc>
          <w:tcPr>
            <w:tcW w:w="100" w:type="dxa"/>
            <w:vAlign w:val="bottom"/>
          </w:tcPr>
          <w:p>
            <w:pPr>
              <w:spacing w:after="0"/>
              <w:rPr>
                <w:sz w:val="19"/>
                <w:szCs w:val="19"/>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Other</w:t>
            </w:r>
          </w:p>
        </w:tc>
      </w:tr>
      <w:tr>
        <w:trPr>
          <w:trHeight w:val="230"/>
        </w:trPr>
        <w:tc>
          <w:tcPr>
            <w:tcW w:w="5920" w:type="dxa"/>
            <w:vAlign w:val="bottom"/>
          </w:tcPr>
          <w:p>
            <w:pPr>
              <w:spacing w:after="0"/>
              <w:rPr>
                <w:sz w:val="19"/>
                <w:szCs w:val="19"/>
                <w:color w:val="auto"/>
              </w:rPr>
            </w:pPr>
          </w:p>
        </w:tc>
        <w:tc>
          <w:tcPr>
            <w:tcW w:w="1360" w:type="dxa"/>
            <w:vAlign w:val="bottom"/>
            <w:gridSpan w:val="3"/>
          </w:tcPr>
          <w:p>
            <w:pPr>
              <w:jc w:val="center"/>
              <w:ind w:right="130"/>
              <w:spacing w:after="0"/>
              <w:rPr>
                <w:sz w:val="20"/>
                <w:szCs w:val="20"/>
                <w:color w:val="auto"/>
              </w:rPr>
            </w:pPr>
            <w:r>
              <w:rPr>
                <w:rFonts w:ascii="Arial" w:cs="Arial" w:eastAsia="Arial" w:hAnsi="Arial"/>
                <w:sz w:val="18"/>
                <w:szCs w:val="18"/>
                <w:color w:val="auto"/>
                <w:w w:val="90"/>
              </w:rPr>
              <w:t>Postretirement</w:t>
            </w:r>
          </w:p>
        </w:tc>
        <w:tc>
          <w:tcPr>
            <w:tcW w:w="160" w:type="dxa"/>
            <w:vAlign w:val="bottom"/>
          </w:tcPr>
          <w:p>
            <w:pPr>
              <w:spacing w:after="0"/>
              <w:rPr>
                <w:sz w:val="19"/>
                <w:szCs w:val="19"/>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rPr>
              <w:t>Foreign</w:t>
            </w:r>
          </w:p>
        </w:tc>
        <w:tc>
          <w:tcPr>
            <w:tcW w:w="120" w:type="dxa"/>
            <w:vAlign w:val="bottom"/>
          </w:tcPr>
          <w:p>
            <w:pPr>
              <w:spacing w:after="0"/>
              <w:rPr>
                <w:sz w:val="19"/>
                <w:szCs w:val="19"/>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Interest Rate</w:t>
            </w:r>
          </w:p>
        </w:tc>
        <w:tc>
          <w:tcPr>
            <w:tcW w:w="1300" w:type="dxa"/>
            <w:vAlign w:val="bottom"/>
            <w:gridSpan w:val="3"/>
          </w:tcPr>
          <w:p>
            <w:pPr>
              <w:ind w:left="20"/>
              <w:spacing w:after="0"/>
              <w:rPr>
                <w:sz w:val="20"/>
                <w:szCs w:val="20"/>
                <w:color w:val="auto"/>
              </w:rPr>
            </w:pPr>
            <w:r>
              <w:rPr>
                <w:rFonts w:ascii="Arial" w:cs="Arial" w:eastAsia="Arial" w:hAnsi="Arial"/>
                <w:sz w:val="18"/>
                <w:szCs w:val="18"/>
                <w:color w:val="auto"/>
                <w:w w:val="99"/>
              </w:rPr>
              <w:t>Comprehensive</w:t>
            </w:r>
          </w:p>
        </w:tc>
      </w:tr>
      <w:tr>
        <w:trPr>
          <w:trHeight w:val="230"/>
        </w:trPr>
        <w:tc>
          <w:tcPr>
            <w:tcW w:w="5920" w:type="dxa"/>
            <w:vAlign w:val="bottom"/>
          </w:tcPr>
          <w:p>
            <w:pPr>
              <w:spacing w:after="0"/>
              <w:rPr>
                <w:sz w:val="20"/>
                <w:szCs w:val="20"/>
                <w:color w:val="auto"/>
              </w:rPr>
            </w:pPr>
          </w:p>
        </w:tc>
        <w:tc>
          <w:tcPr>
            <w:tcW w:w="1360" w:type="dxa"/>
            <w:vAlign w:val="bottom"/>
            <w:gridSpan w:val="3"/>
          </w:tcPr>
          <w:p>
            <w:pPr>
              <w:jc w:val="center"/>
              <w:ind w:right="130"/>
              <w:spacing w:after="0"/>
              <w:rPr>
                <w:sz w:val="20"/>
                <w:szCs w:val="20"/>
                <w:color w:val="auto"/>
              </w:rPr>
            </w:pPr>
            <w:r>
              <w:rPr>
                <w:rFonts w:ascii="Arial" w:cs="Arial" w:eastAsia="Arial" w:hAnsi="Arial"/>
                <w:sz w:val="18"/>
                <w:szCs w:val="18"/>
                <w:color w:val="auto"/>
                <w:w w:val="92"/>
              </w:rPr>
              <w:t>Benefit Plans</w:t>
            </w:r>
          </w:p>
        </w:tc>
        <w:tc>
          <w:tcPr>
            <w:tcW w:w="160" w:type="dxa"/>
            <w:vAlign w:val="bottom"/>
          </w:tcPr>
          <w:p>
            <w:pPr>
              <w:spacing w:after="0"/>
              <w:rPr>
                <w:sz w:val="20"/>
                <w:szCs w:val="20"/>
                <w:color w:val="auto"/>
              </w:rPr>
            </w:pPr>
          </w:p>
        </w:tc>
        <w:tc>
          <w:tcPr>
            <w:tcW w:w="1220" w:type="dxa"/>
            <w:vAlign w:val="bottom"/>
            <w:gridSpan w:val="2"/>
          </w:tcPr>
          <w:p>
            <w:pPr>
              <w:jc w:val="right"/>
              <w:ind w:right="480"/>
              <w:spacing w:after="0"/>
              <w:rPr>
                <w:sz w:val="20"/>
                <w:szCs w:val="20"/>
                <w:color w:val="auto"/>
              </w:rPr>
            </w:pPr>
            <w:r>
              <w:rPr>
                <w:rFonts w:ascii="Arial" w:cs="Arial" w:eastAsia="Arial" w:hAnsi="Arial"/>
                <w:sz w:val="18"/>
                <w:szCs w:val="18"/>
                <w:color w:val="auto"/>
                <w:w w:val="98"/>
              </w:rPr>
              <w:t>Currency</w:t>
            </w:r>
          </w:p>
        </w:tc>
        <w:tc>
          <w:tcPr>
            <w:tcW w:w="120" w:type="dxa"/>
            <w:vAlign w:val="bottom"/>
          </w:tcPr>
          <w:p>
            <w:pPr>
              <w:spacing w:after="0"/>
              <w:rPr>
                <w:sz w:val="20"/>
                <w:szCs w:val="20"/>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color w:val="auto"/>
                <w:w w:val="88"/>
              </w:rPr>
              <w:t>Swap</w:t>
            </w:r>
          </w:p>
        </w:tc>
        <w:tc>
          <w:tcPr>
            <w:tcW w:w="100" w:type="dxa"/>
            <w:vAlign w:val="bottom"/>
          </w:tcPr>
          <w:p>
            <w:pPr>
              <w:spacing w:after="0"/>
              <w:rPr>
                <w:sz w:val="20"/>
                <w:szCs w:val="20"/>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Loss</w:t>
            </w:r>
          </w:p>
        </w:tc>
      </w:tr>
      <w:tr>
        <w:trPr>
          <w:trHeight w:val="223"/>
        </w:trPr>
        <w:tc>
          <w:tcPr>
            <w:tcW w:w="59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spacing w:after="0"/>
              <w:rPr>
                <w:sz w:val="19"/>
                <w:szCs w:val="19"/>
                <w:color w:val="auto"/>
              </w:rPr>
            </w:pPr>
          </w:p>
        </w:tc>
        <w:tc>
          <w:tcPr>
            <w:tcW w:w="3040" w:type="dxa"/>
            <w:vAlign w:val="bottom"/>
            <w:tcBorders>
              <w:top w:val="single" w:sz="8" w:color="auto"/>
              <w:bottom w:val="single" w:sz="8" w:color="auto"/>
            </w:tcBorders>
            <w:gridSpan w:val="7"/>
          </w:tcPr>
          <w:p>
            <w:pPr>
              <w:jc w:val="center"/>
              <w:spacing w:after="0"/>
              <w:rPr>
                <w:sz w:val="20"/>
                <w:szCs w:val="20"/>
                <w:color w:val="auto"/>
              </w:rPr>
            </w:pPr>
            <w:r>
              <w:rPr>
                <w:rFonts w:ascii="Arial" w:cs="Arial" w:eastAsia="Arial" w:hAnsi="Arial"/>
                <w:sz w:val="18"/>
                <w:szCs w:val="18"/>
                <w:color w:val="auto"/>
                <w:w w:val="89"/>
              </w:rPr>
              <w:t>Three Months Ended September 30, 2015</w:t>
            </w:r>
          </w:p>
        </w:tc>
        <w:tc>
          <w:tcPr>
            <w:tcW w:w="1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23"/>
        </w:trPr>
        <w:tc>
          <w:tcPr>
            <w:tcW w:w="5920" w:type="dxa"/>
            <w:vAlign w:val="bottom"/>
          </w:tcPr>
          <w:p>
            <w:pPr>
              <w:spacing w:after="0"/>
              <w:rPr>
                <w:sz w:val="20"/>
                <w:szCs w:val="20"/>
                <w:color w:val="auto"/>
              </w:rPr>
            </w:pPr>
            <w:r>
              <w:rPr>
                <w:rFonts w:ascii="Arial" w:cs="Arial" w:eastAsia="Arial" w:hAnsi="Arial"/>
                <w:sz w:val="18"/>
                <w:szCs w:val="18"/>
                <w:color w:val="auto"/>
              </w:rPr>
              <w:t>Balance at beginning of period</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50"/>
              <w:spacing w:after="0"/>
              <w:rPr>
                <w:sz w:val="20"/>
                <w:szCs w:val="20"/>
                <w:color w:val="auto"/>
              </w:rPr>
            </w:pPr>
            <w:r>
              <w:rPr>
                <w:rFonts w:ascii="Arial" w:cs="Arial" w:eastAsia="Arial" w:hAnsi="Arial"/>
                <w:sz w:val="18"/>
                <w:szCs w:val="18"/>
                <w:color w:val="auto"/>
              </w:rPr>
              <w:t>(111,663)</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1,219</w:t>
            </w:r>
          </w:p>
        </w:tc>
        <w:tc>
          <w:tcPr>
            <w:tcW w:w="22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(2,370)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(112,814)</w:t>
            </w:r>
          </w:p>
        </w:tc>
        <w:tc>
          <w:tcPr>
            <w:tcW w:w="120" w:type="dxa"/>
            <w:vAlign w:val="bottom"/>
          </w:tcPr>
          <w:p>
            <w:pPr>
              <w:spacing w:after="0"/>
              <w:rPr>
                <w:sz w:val="19"/>
                <w:szCs w:val="19"/>
                <w:color w:val="auto"/>
              </w:rPr>
            </w:pPr>
          </w:p>
        </w:tc>
      </w:tr>
      <w:tr>
        <w:trPr>
          <w:trHeight w:val="209"/>
        </w:trPr>
        <w:tc>
          <w:tcPr>
            <w:tcW w:w="5920" w:type="dxa"/>
            <w:vAlign w:val="bottom"/>
            <w:tcBorders>
              <w:top w:val="single" w:sz="8" w:color="CFF2FA"/>
            </w:tcBorders>
            <w:shd w:val="clear" w:color="auto" w:fill="CFF2FA"/>
          </w:tcPr>
          <w:p>
            <w:pPr>
              <w:spacing w:after="0"/>
              <w:rPr>
                <w:sz w:val="20"/>
                <w:szCs w:val="20"/>
                <w:color w:val="auto"/>
              </w:rPr>
            </w:pPr>
            <w:r>
              <w:rPr>
                <w:rFonts w:ascii="Arial" w:cs="Arial" w:eastAsia="Arial" w:hAnsi="Arial"/>
                <w:sz w:val="18"/>
                <w:szCs w:val="18"/>
                <w:color w:val="auto"/>
              </w:rPr>
              <w:t>Other comprehensive loss before reclassifications,</w:t>
            </w:r>
          </w:p>
        </w:tc>
        <w:tc>
          <w:tcPr>
            <w:tcW w:w="120" w:type="dxa"/>
            <w:vAlign w:val="bottom"/>
            <w:tcBorders>
              <w:top w:val="single" w:sz="8" w:color="auto"/>
            </w:tcBorders>
            <w:shd w:val="clear" w:color="auto" w:fill="CFF2FA"/>
          </w:tcPr>
          <w:p>
            <w:pPr>
              <w:spacing w:after="0"/>
              <w:rPr>
                <w:sz w:val="18"/>
                <w:szCs w:val="18"/>
                <w:color w:val="auto"/>
              </w:rPr>
            </w:pPr>
          </w:p>
        </w:tc>
        <w:tc>
          <w:tcPr>
            <w:tcW w:w="1040" w:type="dxa"/>
            <w:vAlign w:val="bottom"/>
            <w:tcBorders>
              <w:top w:val="single" w:sz="8" w:color="auto"/>
            </w:tcBorders>
            <w:shd w:val="clear" w:color="auto" w:fill="CFF2FA"/>
          </w:tcPr>
          <w:p>
            <w:pPr>
              <w:spacing w:after="0"/>
              <w:rPr>
                <w:sz w:val="18"/>
                <w:szCs w:val="18"/>
                <w:color w:val="auto"/>
              </w:rPr>
            </w:pPr>
          </w:p>
        </w:tc>
        <w:tc>
          <w:tcPr>
            <w:tcW w:w="200" w:type="dxa"/>
            <w:vAlign w:val="bottom"/>
            <w:tcBorders>
              <w:top w:val="single" w:sz="8" w:color="CFF2FA"/>
            </w:tcBorders>
            <w:shd w:val="clear" w:color="auto" w:fill="CFF2FA"/>
          </w:tcPr>
          <w:p>
            <w:pPr>
              <w:spacing w:after="0"/>
              <w:rPr>
                <w:sz w:val="18"/>
                <w:szCs w:val="18"/>
                <w:color w:val="auto"/>
              </w:rPr>
            </w:pPr>
          </w:p>
        </w:tc>
        <w:tc>
          <w:tcPr>
            <w:tcW w:w="160" w:type="dxa"/>
            <w:vAlign w:val="bottom"/>
            <w:tcBorders>
              <w:top w:val="single" w:sz="8" w:color="auto"/>
            </w:tcBorders>
            <w:shd w:val="clear" w:color="auto" w:fill="CFF2FA"/>
          </w:tcPr>
          <w:p>
            <w:pPr>
              <w:spacing w:after="0"/>
              <w:rPr>
                <w:sz w:val="18"/>
                <w:szCs w:val="18"/>
                <w:color w:val="auto"/>
              </w:rPr>
            </w:pPr>
          </w:p>
        </w:tc>
        <w:tc>
          <w:tcPr>
            <w:tcW w:w="1000" w:type="dxa"/>
            <w:vAlign w:val="bottom"/>
            <w:tcBorders>
              <w:top w:val="single" w:sz="8" w:color="auto"/>
            </w:tcBorders>
            <w:shd w:val="clear" w:color="auto" w:fill="CFF2FA"/>
          </w:tcPr>
          <w:p>
            <w:pPr>
              <w:spacing w:after="0"/>
              <w:rPr>
                <w:sz w:val="18"/>
                <w:szCs w:val="18"/>
                <w:color w:val="auto"/>
              </w:rPr>
            </w:pPr>
          </w:p>
        </w:tc>
        <w:tc>
          <w:tcPr>
            <w:tcW w:w="220" w:type="dxa"/>
            <w:vAlign w:val="bottom"/>
            <w:tcBorders>
              <w:top w:val="single" w:sz="8" w:color="CFF2FA"/>
            </w:tcBorders>
            <w:shd w:val="clear" w:color="auto" w:fill="CFF2FA"/>
          </w:tcPr>
          <w:p>
            <w:pPr>
              <w:spacing w:after="0"/>
              <w:rPr>
                <w:sz w:val="18"/>
                <w:szCs w:val="18"/>
                <w:color w:val="auto"/>
              </w:rPr>
            </w:pPr>
          </w:p>
        </w:tc>
        <w:tc>
          <w:tcPr>
            <w:tcW w:w="120" w:type="dxa"/>
            <w:vAlign w:val="bottom"/>
            <w:tcBorders>
              <w:top w:val="single" w:sz="8" w:color="auto"/>
            </w:tcBorders>
            <w:shd w:val="clear" w:color="auto" w:fill="CFF2FA"/>
          </w:tcPr>
          <w:p>
            <w:pPr>
              <w:spacing w:after="0"/>
              <w:rPr>
                <w:sz w:val="18"/>
                <w:szCs w:val="18"/>
                <w:color w:val="auto"/>
              </w:rPr>
            </w:pPr>
          </w:p>
        </w:tc>
        <w:tc>
          <w:tcPr>
            <w:tcW w:w="1120" w:type="dxa"/>
            <w:vAlign w:val="bottom"/>
            <w:tcBorders>
              <w:top w:val="single" w:sz="8" w:color="auto"/>
            </w:tcBorders>
            <w:shd w:val="clear" w:color="auto" w:fill="CFF2FA"/>
          </w:tcPr>
          <w:p>
            <w:pPr>
              <w:spacing w:after="0"/>
              <w:rPr>
                <w:sz w:val="18"/>
                <w:szCs w:val="18"/>
                <w:color w:val="auto"/>
              </w:rPr>
            </w:pPr>
          </w:p>
        </w:tc>
        <w:tc>
          <w:tcPr>
            <w:tcW w:w="220" w:type="dxa"/>
            <w:vAlign w:val="bottom"/>
            <w:tcBorders>
              <w:top w:val="single" w:sz="8" w:color="CFF2FA"/>
            </w:tcBorders>
            <w:shd w:val="clear" w:color="auto" w:fill="CFF2FA"/>
          </w:tcPr>
          <w:p>
            <w:pPr>
              <w:spacing w:after="0"/>
              <w:rPr>
                <w:sz w:val="18"/>
                <w:szCs w:val="18"/>
                <w:color w:val="auto"/>
              </w:rPr>
            </w:pPr>
          </w:p>
        </w:tc>
        <w:tc>
          <w:tcPr>
            <w:tcW w:w="100" w:type="dxa"/>
            <w:vAlign w:val="bottom"/>
            <w:tcBorders>
              <w:top w:val="single" w:sz="8" w:color="auto"/>
            </w:tcBorders>
            <w:shd w:val="clear" w:color="auto" w:fill="CFF2FA"/>
          </w:tcPr>
          <w:p>
            <w:pPr>
              <w:spacing w:after="0"/>
              <w:rPr>
                <w:sz w:val="18"/>
                <w:szCs w:val="18"/>
                <w:color w:val="auto"/>
              </w:rPr>
            </w:pPr>
          </w:p>
        </w:tc>
        <w:tc>
          <w:tcPr>
            <w:tcW w:w="1080" w:type="dxa"/>
            <w:vAlign w:val="bottom"/>
            <w:tcBorders>
              <w:top w:val="single" w:sz="8" w:color="auto"/>
            </w:tcBorders>
            <w:shd w:val="clear" w:color="auto" w:fill="CFF2FA"/>
          </w:tcPr>
          <w:p>
            <w:pPr>
              <w:spacing w:after="0"/>
              <w:rPr>
                <w:sz w:val="18"/>
                <w:szCs w:val="18"/>
                <w:color w:val="auto"/>
              </w:rPr>
            </w:pPr>
          </w:p>
        </w:tc>
        <w:tc>
          <w:tcPr>
            <w:tcW w:w="120" w:type="dxa"/>
            <w:vAlign w:val="bottom"/>
            <w:tcBorders>
              <w:top w:val="single" w:sz="8" w:color="CFF2FA"/>
            </w:tcBorders>
            <w:shd w:val="clear" w:color="auto" w:fill="CFF2FA"/>
          </w:tcPr>
          <w:p>
            <w:pPr>
              <w:spacing w:after="0"/>
              <w:rPr>
                <w:sz w:val="18"/>
                <w:szCs w:val="18"/>
                <w:color w:val="auto"/>
              </w:rPr>
            </w:pPr>
          </w:p>
        </w:tc>
      </w:tr>
      <w:tr>
        <w:trPr>
          <w:trHeight w:val="230"/>
        </w:trPr>
        <w:tc>
          <w:tcPr>
            <w:tcW w:w="5920" w:type="dxa"/>
            <w:vAlign w:val="bottom"/>
            <w:shd w:val="clear" w:color="auto" w:fill="CFF2FA"/>
          </w:tcPr>
          <w:p>
            <w:pPr>
              <w:ind w:left="240"/>
              <w:spacing w:after="0"/>
              <w:rPr>
                <w:sz w:val="20"/>
                <w:szCs w:val="20"/>
                <w:color w:val="auto"/>
              </w:rPr>
            </w:pPr>
            <w:r>
              <w:rPr>
                <w:rFonts w:ascii="Arial" w:cs="Arial" w:eastAsia="Arial" w:hAnsi="Arial"/>
                <w:sz w:val="18"/>
                <w:szCs w:val="18"/>
                <w:color w:val="auto"/>
              </w:rPr>
              <w:t>net of tax</w:t>
            </w:r>
          </w:p>
        </w:tc>
        <w:tc>
          <w:tcPr>
            <w:tcW w:w="120" w:type="dxa"/>
            <w:vAlign w:val="bottom"/>
            <w:shd w:val="clear" w:color="auto" w:fill="CFF2FA"/>
          </w:tcPr>
          <w:p>
            <w:pPr>
              <w:spacing w:after="0"/>
              <w:rPr>
                <w:sz w:val="20"/>
                <w:szCs w:val="20"/>
                <w:color w:val="auto"/>
              </w:rPr>
            </w:pPr>
          </w:p>
        </w:tc>
        <w:tc>
          <w:tcPr>
            <w:tcW w:w="1240" w:type="dxa"/>
            <w:vAlign w:val="bottom"/>
            <w:gridSpan w:val="2"/>
            <w:shd w:val="clear" w:color="auto" w:fill="CFF2FA"/>
          </w:tcPr>
          <w:p>
            <w:pPr>
              <w:jc w:val="right"/>
              <w:ind w:right="13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2FA"/>
          </w:tcPr>
          <w:p>
            <w:pPr>
              <w:spacing w:after="0"/>
              <w:rPr>
                <w:sz w:val="20"/>
                <w:szCs w:val="20"/>
                <w:color w:val="auto"/>
              </w:rPr>
            </w:pPr>
          </w:p>
        </w:tc>
        <w:tc>
          <w:tcPr>
            <w:tcW w:w="1220" w:type="dxa"/>
            <w:vAlign w:val="bottom"/>
            <w:gridSpan w:val="2"/>
            <w:shd w:val="clear" w:color="auto" w:fill="CFF2FA"/>
          </w:tcPr>
          <w:p>
            <w:pPr>
              <w:jc w:val="right"/>
              <w:ind w:right="160"/>
              <w:spacing w:after="0"/>
              <w:rPr>
                <w:sz w:val="20"/>
                <w:szCs w:val="20"/>
                <w:color w:val="auto"/>
              </w:rPr>
            </w:pPr>
            <w:r>
              <w:rPr>
                <w:rFonts w:ascii="Arial" w:cs="Arial" w:eastAsia="Arial" w:hAnsi="Arial"/>
                <w:sz w:val="18"/>
                <w:szCs w:val="18"/>
                <w:color w:val="auto"/>
              </w:rPr>
              <w:t>(1,757)</w:t>
            </w:r>
          </w:p>
        </w:tc>
        <w:tc>
          <w:tcPr>
            <w:tcW w:w="120" w:type="dxa"/>
            <w:vAlign w:val="bottom"/>
            <w:shd w:val="clear" w:color="auto" w:fill="CFF2FA"/>
          </w:tcPr>
          <w:p>
            <w:pPr>
              <w:spacing w:after="0"/>
              <w:rPr>
                <w:sz w:val="20"/>
                <w:szCs w:val="20"/>
                <w:color w:val="auto"/>
              </w:rPr>
            </w:pPr>
          </w:p>
        </w:tc>
        <w:tc>
          <w:tcPr>
            <w:tcW w:w="1340" w:type="dxa"/>
            <w:vAlign w:val="bottom"/>
            <w:gridSpan w:val="2"/>
            <w:shd w:val="clear" w:color="auto" w:fill="CFF2FA"/>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2FA"/>
          </w:tcPr>
          <w:p>
            <w:pPr>
              <w:spacing w:after="0"/>
              <w:rPr>
                <w:sz w:val="20"/>
                <w:szCs w:val="20"/>
                <w:color w:val="auto"/>
              </w:rPr>
            </w:pPr>
          </w:p>
        </w:tc>
        <w:tc>
          <w:tcPr>
            <w:tcW w:w="1200" w:type="dxa"/>
            <w:vAlign w:val="bottom"/>
            <w:gridSpan w:val="2"/>
            <w:shd w:val="clear" w:color="auto" w:fill="CFF2FA"/>
          </w:tcPr>
          <w:p>
            <w:pPr>
              <w:jc w:val="right"/>
              <w:ind w:right="60"/>
              <w:spacing w:after="0"/>
              <w:rPr>
                <w:sz w:val="20"/>
                <w:szCs w:val="20"/>
                <w:color w:val="auto"/>
              </w:rPr>
            </w:pPr>
            <w:r>
              <w:rPr>
                <w:rFonts w:ascii="Arial" w:cs="Arial" w:eastAsia="Arial" w:hAnsi="Arial"/>
                <w:sz w:val="18"/>
                <w:szCs w:val="18"/>
                <w:color w:val="auto"/>
              </w:rPr>
              <w:t>(1,757)</w:t>
            </w:r>
          </w:p>
        </w:tc>
      </w:tr>
      <w:tr>
        <w:trPr>
          <w:trHeight w:val="215"/>
        </w:trPr>
        <w:tc>
          <w:tcPr>
            <w:tcW w:w="5920" w:type="dxa"/>
            <w:vAlign w:val="bottom"/>
          </w:tcPr>
          <w:p>
            <w:pPr>
              <w:spacing w:after="0"/>
              <w:rPr>
                <w:sz w:val="20"/>
                <w:szCs w:val="20"/>
                <w:color w:val="auto"/>
              </w:rPr>
            </w:pPr>
            <w:r>
              <w:rPr>
                <w:rFonts w:ascii="Arial" w:cs="Arial" w:eastAsia="Arial" w:hAnsi="Arial"/>
                <w:sz w:val="18"/>
                <w:szCs w:val="18"/>
                <w:color w:val="auto"/>
              </w:rPr>
              <w:t>Amounts reclassified from accumulated other</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5920" w:type="dxa"/>
            <w:vAlign w:val="bottom"/>
          </w:tcPr>
          <w:p>
            <w:pPr>
              <w:ind w:left="240"/>
              <w:spacing w:after="0"/>
              <w:rPr>
                <w:sz w:val="20"/>
                <w:szCs w:val="20"/>
                <w:color w:val="auto"/>
              </w:rPr>
            </w:pPr>
            <w:r>
              <w:rPr>
                <w:rFonts w:ascii="Arial" w:cs="Arial" w:eastAsia="Arial" w:hAnsi="Arial"/>
                <w:sz w:val="18"/>
                <w:szCs w:val="18"/>
                <w:color w:val="auto"/>
              </w:rPr>
              <w:t>comprehensive loss, net of tax</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1,636</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193</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1,829</w:t>
            </w:r>
          </w:p>
        </w:tc>
        <w:tc>
          <w:tcPr>
            <w:tcW w:w="120" w:type="dxa"/>
            <w:vAlign w:val="bottom"/>
          </w:tcPr>
          <w:p>
            <w:pPr>
              <w:spacing w:after="0"/>
              <w:rPr>
                <w:sz w:val="20"/>
                <w:szCs w:val="20"/>
                <w:color w:val="auto"/>
              </w:rPr>
            </w:pPr>
          </w:p>
        </w:tc>
      </w:tr>
      <w:tr>
        <w:trPr>
          <w:trHeight w:val="223"/>
        </w:trPr>
        <w:tc>
          <w:tcPr>
            <w:tcW w:w="5920" w:type="dxa"/>
            <w:vAlign w:val="bottom"/>
            <w:tcBorders>
              <w:top w:val="single" w:sz="8" w:color="CFF2FA"/>
            </w:tcBorders>
            <w:shd w:val="clear" w:color="auto" w:fill="CFF2FA"/>
          </w:tcPr>
          <w:p>
            <w:pPr>
              <w:spacing w:after="0"/>
              <w:rPr>
                <w:sz w:val="20"/>
                <w:szCs w:val="20"/>
                <w:color w:val="auto"/>
              </w:rPr>
            </w:pPr>
            <w:r>
              <w:rPr>
                <w:rFonts w:ascii="Arial" w:cs="Arial" w:eastAsia="Arial" w:hAnsi="Arial"/>
                <w:sz w:val="18"/>
                <w:szCs w:val="18"/>
                <w:color w:val="auto"/>
              </w:rPr>
              <w:t>Other comprehensive earnings (loss), net of tax</w:t>
            </w:r>
          </w:p>
        </w:tc>
        <w:tc>
          <w:tcPr>
            <w:tcW w:w="120" w:type="dxa"/>
            <w:vAlign w:val="bottom"/>
            <w:tcBorders>
              <w:top w:val="single" w:sz="8" w:color="auto"/>
              <w:bottom w:val="single" w:sz="8" w:color="auto"/>
            </w:tcBorders>
            <w:shd w:val="clear" w:color="auto" w:fill="CFF2FA"/>
          </w:tcPr>
          <w:p>
            <w:pPr>
              <w:spacing w:after="0"/>
              <w:rPr>
                <w:sz w:val="19"/>
                <w:szCs w:val="19"/>
                <w:color w:val="auto"/>
              </w:rPr>
            </w:pPr>
          </w:p>
        </w:tc>
        <w:tc>
          <w:tcPr>
            <w:tcW w:w="1040" w:type="dxa"/>
            <w:vAlign w:val="bottom"/>
            <w:tcBorders>
              <w:top w:val="single" w:sz="8" w:color="auto"/>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1,636</w:t>
            </w:r>
          </w:p>
        </w:tc>
        <w:tc>
          <w:tcPr>
            <w:tcW w:w="200" w:type="dxa"/>
            <w:vAlign w:val="bottom"/>
            <w:tcBorders>
              <w:top w:val="single" w:sz="8" w:color="CFF2FA"/>
            </w:tcBorders>
            <w:shd w:val="clear" w:color="auto" w:fill="CFF2FA"/>
          </w:tcPr>
          <w:p>
            <w:pPr>
              <w:spacing w:after="0"/>
              <w:rPr>
                <w:sz w:val="19"/>
                <w:szCs w:val="19"/>
                <w:color w:val="auto"/>
              </w:rPr>
            </w:pPr>
          </w:p>
        </w:tc>
        <w:tc>
          <w:tcPr>
            <w:tcW w:w="160" w:type="dxa"/>
            <w:vAlign w:val="bottom"/>
            <w:tcBorders>
              <w:top w:val="single" w:sz="8" w:color="auto"/>
              <w:bottom w:val="single" w:sz="8" w:color="auto"/>
            </w:tcBorders>
            <w:shd w:val="clear" w:color="auto" w:fill="CFF2FA"/>
          </w:tcPr>
          <w:p>
            <w:pPr>
              <w:spacing w:after="0"/>
              <w:rPr>
                <w:sz w:val="19"/>
                <w:szCs w:val="19"/>
                <w:color w:val="auto"/>
              </w:rPr>
            </w:pPr>
          </w:p>
        </w:tc>
        <w:tc>
          <w:tcPr>
            <w:tcW w:w="1000" w:type="dxa"/>
            <w:vAlign w:val="bottom"/>
            <w:tcBorders>
              <w:top w:val="single" w:sz="8" w:color="auto"/>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(1,757)</w:t>
            </w:r>
          </w:p>
        </w:tc>
        <w:tc>
          <w:tcPr>
            <w:tcW w:w="220" w:type="dxa"/>
            <w:vAlign w:val="bottom"/>
            <w:tcBorders>
              <w:top w:val="single" w:sz="8" w:color="CFF2FA"/>
            </w:tcBorders>
            <w:shd w:val="clear" w:color="auto" w:fill="CFF2FA"/>
          </w:tcPr>
          <w:p>
            <w:pPr>
              <w:spacing w:after="0"/>
              <w:rPr>
                <w:sz w:val="19"/>
                <w:szCs w:val="19"/>
                <w:color w:val="auto"/>
              </w:rPr>
            </w:pPr>
          </w:p>
        </w:tc>
        <w:tc>
          <w:tcPr>
            <w:tcW w:w="120" w:type="dxa"/>
            <w:vAlign w:val="bottom"/>
            <w:tcBorders>
              <w:top w:val="single" w:sz="8" w:color="auto"/>
              <w:bottom w:val="single" w:sz="8" w:color="auto"/>
            </w:tcBorders>
            <w:shd w:val="clear" w:color="auto" w:fill="CFF2FA"/>
          </w:tcPr>
          <w:p>
            <w:pPr>
              <w:spacing w:after="0"/>
              <w:rPr>
                <w:sz w:val="19"/>
                <w:szCs w:val="19"/>
                <w:color w:val="auto"/>
              </w:rPr>
            </w:pPr>
          </w:p>
        </w:tc>
        <w:tc>
          <w:tcPr>
            <w:tcW w:w="1120" w:type="dxa"/>
            <w:vAlign w:val="bottom"/>
            <w:tcBorders>
              <w:top w:val="single" w:sz="8" w:color="auto"/>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193</w:t>
            </w:r>
          </w:p>
        </w:tc>
        <w:tc>
          <w:tcPr>
            <w:tcW w:w="220" w:type="dxa"/>
            <w:vAlign w:val="bottom"/>
            <w:tcBorders>
              <w:top w:val="single" w:sz="8" w:color="CFF2FA"/>
            </w:tcBorders>
            <w:shd w:val="clear" w:color="auto" w:fill="CFF2FA"/>
          </w:tcPr>
          <w:p>
            <w:pPr>
              <w:spacing w:after="0"/>
              <w:rPr>
                <w:sz w:val="19"/>
                <w:szCs w:val="19"/>
                <w:color w:val="auto"/>
              </w:rPr>
            </w:pPr>
          </w:p>
        </w:tc>
        <w:tc>
          <w:tcPr>
            <w:tcW w:w="100" w:type="dxa"/>
            <w:vAlign w:val="bottom"/>
            <w:tcBorders>
              <w:top w:val="single" w:sz="8" w:color="auto"/>
              <w:bottom w:val="single" w:sz="8" w:color="auto"/>
            </w:tcBorders>
            <w:shd w:val="clear" w:color="auto" w:fill="CFF2FA"/>
          </w:tcPr>
          <w:p>
            <w:pPr>
              <w:spacing w:after="0"/>
              <w:rPr>
                <w:sz w:val="19"/>
                <w:szCs w:val="19"/>
                <w:color w:val="auto"/>
              </w:rPr>
            </w:pPr>
          </w:p>
        </w:tc>
        <w:tc>
          <w:tcPr>
            <w:tcW w:w="1080" w:type="dxa"/>
            <w:vAlign w:val="bottom"/>
            <w:tcBorders>
              <w:top w:val="single" w:sz="8" w:color="auto"/>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72</w:t>
            </w:r>
          </w:p>
        </w:tc>
        <w:tc>
          <w:tcPr>
            <w:tcW w:w="120" w:type="dxa"/>
            <w:vAlign w:val="bottom"/>
            <w:tcBorders>
              <w:top w:val="single" w:sz="8" w:color="CFF2FA"/>
            </w:tcBorders>
            <w:shd w:val="clear" w:color="auto" w:fill="CFF2FA"/>
          </w:tcPr>
          <w:p>
            <w:pPr>
              <w:spacing w:after="0"/>
              <w:rPr>
                <w:sz w:val="19"/>
                <w:szCs w:val="19"/>
                <w:color w:val="auto"/>
              </w:rPr>
            </w:pPr>
          </w:p>
        </w:tc>
      </w:tr>
      <w:tr>
        <w:trPr>
          <w:trHeight w:val="223"/>
        </w:trPr>
        <w:tc>
          <w:tcPr>
            <w:tcW w:w="5920" w:type="dxa"/>
            <w:vAlign w:val="bottom"/>
          </w:tcPr>
          <w:p>
            <w:pPr>
              <w:spacing w:after="0"/>
              <w:rPr>
                <w:sz w:val="20"/>
                <w:szCs w:val="20"/>
                <w:color w:val="auto"/>
              </w:rPr>
            </w:pPr>
            <w:r>
              <w:rPr>
                <w:rFonts w:ascii="Arial" w:cs="Arial" w:eastAsia="Arial" w:hAnsi="Arial"/>
                <w:sz w:val="18"/>
                <w:szCs w:val="18"/>
                <w:color w:val="auto"/>
              </w:rPr>
              <w:t>Balance at end of period</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(110,027)</w:t>
            </w:r>
          </w:p>
        </w:tc>
        <w:tc>
          <w:tcPr>
            <w:tcW w:w="2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(538)</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(2,177)</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(112,742)</w:t>
            </w:r>
          </w:p>
        </w:tc>
        <w:tc>
          <w:tcPr>
            <w:tcW w:w="120" w:type="dxa"/>
            <w:vAlign w:val="bottom"/>
          </w:tcPr>
          <w:p>
            <w:pPr>
              <w:spacing w:after="0"/>
              <w:rPr>
                <w:sz w:val="19"/>
                <w:szCs w:val="19"/>
                <w:color w:val="auto"/>
              </w:rPr>
            </w:pPr>
          </w:p>
        </w:tc>
      </w:tr>
      <w:tr>
        <w:trPr>
          <w:trHeight w:val="20"/>
        </w:trPr>
        <w:tc>
          <w:tcPr>
            <w:tcW w:w="59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40"/>
        </w:trPr>
        <w:tc>
          <w:tcPr>
            <w:tcW w:w="5920" w:type="dxa"/>
            <w:vAlign w:val="bottom"/>
            <w:tcBorders>
              <w:bottom w:val="single" w:sz="8" w:color="CFF0FC"/>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7"/>
          </w:tcPr>
          <w:p>
            <w:pPr>
              <w:jc w:val="center"/>
              <w:spacing w:after="0"/>
              <w:rPr>
                <w:sz w:val="20"/>
                <w:szCs w:val="20"/>
                <w:color w:val="auto"/>
              </w:rPr>
            </w:pPr>
            <w:r>
              <w:rPr>
                <w:rFonts w:ascii="Arial" w:cs="Arial" w:eastAsia="Arial" w:hAnsi="Arial"/>
                <w:sz w:val="18"/>
                <w:szCs w:val="18"/>
                <w:color w:val="auto"/>
                <w:w w:val="89"/>
              </w:rPr>
              <w:t>Three Months Ended September 30, 2014</w:t>
            </w:r>
          </w:p>
        </w:tc>
        <w:tc>
          <w:tcPr>
            <w:tcW w:w="1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0" w:type="dxa"/>
            <w:vAlign w:val="bottom"/>
            <w:tcBorders>
              <w:bottom w:val="single" w:sz="8" w:color="CFF2FA"/>
            </w:tcBorders>
          </w:tcPr>
          <w:p>
            <w:pPr>
              <w:spacing w:after="0"/>
              <w:rPr>
                <w:sz w:val="24"/>
                <w:szCs w:val="24"/>
                <w:color w:val="auto"/>
              </w:rPr>
            </w:pPr>
          </w:p>
        </w:tc>
      </w:tr>
      <w:tr>
        <w:trPr>
          <w:trHeight w:val="223"/>
        </w:trPr>
        <w:tc>
          <w:tcPr>
            <w:tcW w:w="5920" w:type="dxa"/>
            <w:vAlign w:val="bottom"/>
            <w:shd w:val="clear" w:color="auto" w:fill="CFF0FC"/>
          </w:tcPr>
          <w:p>
            <w:pPr>
              <w:spacing w:after="0"/>
              <w:rPr>
                <w:sz w:val="20"/>
                <w:szCs w:val="20"/>
                <w:color w:val="auto"/>
              </w:rPr>
            </w:pPr>
            <w:r>
              <w:rPr>
                <w:rFonts w:ascii="Arial" w:cs="Arial" w:eastAsia="Arial" w:hAnsi="Arial"/>
                <w:sz w:val="18"/>
                <w:szCs w:val="18"/>
                <w:color w:val="auto"/>
              </w:rPr>
              <w:t>Balance at beginning of period</w:t>
            </w:r>
          </w:p>
        </w:tc>
        <w:tc>
          <w:tcPr>
            <w:tcW w:w="120" w:type="dxa"/>
            <w:vAlign w:val="bottom"/>
            <w:shd w:val="clear" w:color="auto" w:fill="CFF2FA"/>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FF2FA"/>
          </w:tcPr>
          <w:p>
            <w:pPr>
              <w:jc w:val="right"/>
              <w:ind w:right="50"/>
              <w:spacing w:after="0"/>
              <w:rPr>
                <w:sz w:val="20"/>
                <w:szCs w:val="20"/>
                <w:color w:val="auto"/>
              </w:rPr>
            </w:pPr>
            <w:r>
              <w:rPr>
                <w:rFonts w:ascii="Arial" w:cs="Arial" w:eastAsia="Arial" w:hAnsi="Arial"/>
                <w:sz w:val="18"/>
                <w:szCs w:val="18"/>
                <w:color w:val="auto"/>
              </w:rPr>
              <w:t>(44,685)</w:t>
            </w:r>
          </w:p>
        </w:tc>
        <w:tc>
          <w:tcPr>
            <w:tcW w:w="160" w:type="dxa"/>
            <w:vAlign w:val="bottom"/>
            <w:shd w:val="clear" w:color="auto" w:fill="CFF2FA"/>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2FA"/>
          </w:tcPr>
          <w:p>
            <w:pPr>
              <w:jc w:val="right"/>
              <w:spacing w:after="0"/>
              <w:rPr>
                <w:sz w:val="20"/>
                <w:szCs w:val="20"/>
                <w:color w:val="auto"/>
              </w:rPr>
            </w:pPr>
            <w:r>
              <w:rPr>
                <w:rFonts w:ascii="Arial" w:cs="Arial" w:eastAsia="Arial" w:hAnsi="Arial"/>
                <w:sz w:val="18"/>
                <w:szCs w:val="18"/>
                <w:color w:val="auto"/>
              </w:rPr>
              <w:t>5,658</w:t>
            </w:r>
          </w:p>
        </w:tc>
        <w:tc>
          <w:tcPr>
            <w:tcW w:w="220" w:type="dxa"/>
            <w:vAlign w:val="bottom"/>
            <w:shd w:val="clear" w:color="auto" w:fill="CFF2FA"/>
          </w:tcPr>
          <w:p>
            <w:pPr>
              <w:spacing w:after="0"/>
              <w:rPr>
                <w:sz w:val="19"/>
                <w:szCs w:val="19"/>
                <w:color w:val="auto"/>
              </w:rPr>
            </w:pPr>
          </w:p>
        </w:tc>
        <w:tc>
          <w:tcPr>
            <w:tcW w:w="120" w:type="dxa"/>
            <w:vAlign w:val="bottom"/>
            <w:shd w:val="clear" w:color="auto" w:fill="CFF2FA"/>
          </w:tcPr>
          <w:p>
            <w:pPr>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FF2FA"/>
          </w:tcPr>
          <w:p>
            <w:pPr>
              <w:jc w:val="right"/>
              <w:ind w:right="160"/>
              <w:spacing w:after="0"/>
              <w:rPr>
                <w:sz w:val="20"/>
                <w:szCs w:val="20"/>
                <w:color w:val="auto"/>
              </w:rPr>
            </w:pPr>
            <w:r>
              <w:rPr>
                <w:rFonts w:ascii="Arial" w:cs="Arial" w:eastAsia="Arial" w:hAnsi="Arial"/>
                <w:sz w:val="18"/>
                <w:szCs w:val="18"/>
                <w:color w:val="auto"/>
              </w:rPr>
              <w:t>(3,114)</w:t>
            </w:r>
          </w:p>
        </w:tc>
        <w:tc>
          <w:tcPr>
            <w:tcW w:w="100" w:type="dxa"/>
            <w:vAlign w:val="bottom"/>
            <w:shd w:val="clear" w:color="auto" w:fill="CFF2FA"/>
          </w:tcPr>
          <w:p>
            <w:pPr>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2FA"/>
          </w:tcPr>
          <w:p>
            <w:pPr>
              <w:jc w:val="right"/>
              <w:spacing w:after="0"/>
              <w:rPr>
                <w:sz w:val="20"/>
                <w:szCs w:val="20"/>
                <w:color w:val="auto"/>
              </w:rPr>
            </w:pPr>
            <w:r>
              <w:rPr>
                <w:rFonts w:ascii="Arial" w:cs="Arial" w:eastAsia="Arial" w:hAnsi="Arial"/>
                <w:sz w:val="18"/>
                <w:szCs w:val="18"/>
                <w:color w:val="auto"/>
              </w:rPr>
              <w:t>(42,141)</w:t>
            </w:r>
          </w:p>
        </w:tc>
        <w:tc>
          <w:tcPr>
            <w:tcW w:w="120" w:type="dxa"/>
            <w:vAlign w:val="bottom"/>
            <w:shd w:val="clear" w:color="auto" w:fill="CFF2FA"/>
          </w:tcPr>
          <w:p>
            <w:pPr>
              <w:spacing w:after="0"/>
              <w:rPr>
                <w:sz w:val="19"/>
                <w:szCs w:val="19"/>
                <w:color w:val="auto"/>
              </w:rPr>
            </w:pPr>
          </w:p>
        </w:tc>
      </w:tr>
      <w:tr>
        <w:trPr>
          <w:trHeight w:val="209"/>
        </w:trPr>
        <w:tc>
          <w:tcPr>
            <w:tcW w:w="5920" w:type="dxa"/>
            <w:vAlign w:val="bottom"/>
          </w:tcPr>
          <w:p>
            <w:pPr>
              <w:spacing w:after="0"/>
              <w:rPr>
                <w:sz w:val="20"/>
                <w:szCs w:val="20"/>
                <w:color w:val="auto"/>
              </w:rPr>
            </w:pPr>
            <w:r>
              <w:rPr>
                <w:rFonts w:ascii="Arial" w:cs="Arial" w:eastAsia="Arial" w:hAnsi="Arial"/>
                <w:sz w:val="18"/>
                <w:szCs w:val="18"/>
                <w:color w:val="auto"/>
              </w:rPr>
              <w:t>Other comprehensive loss before reclassifications,</w:t>
            </w: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5920" w:type="dxa"/>
            <w:vAlign w:val="bottom"/>
          </w:tcPr>
          <w:p>
            <w:pPr>
              <w:ind w:left="240"/>
              <w:spacing w:after="0"/>
              <w:rPr>
                <w:sz w:val="20"/>
                <w:szCs w:val="20"/>
                <w:color w:val="auto"/>
              </w:rPr>
            </w:pPr>
            <w:r>
              <w:rPr>
                <w:rFonts w:ascii="Arial" w:cs="Arial" w:eastAsia="Arial" w:hAnsi="Arial"/>
                <w:sz w:val="18"/>
                <w:szCs w:val="18"/>
                <w:color w:val="auto"/>
              </w:rPr>
              <w:t>net of tax</w:t>
            </w:r>
          </w:p>
        </w:tc>
        <w:tc>
          <w:tcPr>
            <w:tcW w:w="120" w:type="dxa"/>
            <w:vAlign w:val="bottom"/>
          </w:tcPr>
          <w:p>
            <w:pPr>
              <w:spacing w:after="0"/>
              <w:rPr>
                <w:sz w:val="20"/>
                <w:szCs w:val="20"/>
                <w:color w:val="auto"/>
              </w:rPr>
            </w:pPr>
          </w:p>
        </w:tc>
        <w:tc>
          <w:tcPr>
            <w:tcW w:w="12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(1,466)</w:t>
            </w:r>
          </w:p>
        </w:tc>
        <w:tc>
          <w:tcPr>
            <w:tcW w:w="1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(1,466)</w:t>
            </w:r>
          </w:p>
        </w:tc>
      </w:tr>
      <w:tr>
        <w:trPr>
          <w:trHeight w:val="215"/>
        </w:trPr>
        <w:tc>
          <w:tcPr>
            <w:tcW w:w="5920" w:type="dxa"/>
            <w:vAlign w:val="bottom"/>
            <w:shd w:val="clear" w:color="auto" w:fill="CFF0FC"/>
          </w:tcPr>
          <w:p>
            <w:pPr>
              <w:spacing w:after="0"/>
              <w:rPr>
                <w:sz w:val="20"/>
                <w:szCs w:val="20"/>
                <w:color w:val="auto"/>
              </w:rPr>
            </w:pPr>
            <w:r>
              <w:rPr>
                <w:rFonts w:ascii="Arial" w:cs="Arial" w:eastAsia="Arial" w:hAnsi="Arial"/>
                <w:sz w:val="18"/>
                <w:szCs w:val="18"/>
                <w:color w:val="auto"/>
                <w:w w:val="95"/>
              </w:rPr>
              <w:t>Amounts reclassified from accumulated other comprehensive earnings, net of</w:t>
            </w:r>
          </w:p>
        </w:tc>
        <w:tc>
          <w:tcPr>
            <w:tcW w:w="120" w:type="dxa"/>
            <w:vAlign w:val="bottom"/>
            <w:shd w:val="clear" w:color="auto" w:fill="CFF2FA"/>
          </w:tcPr>
          <w:p>
            <w:pPr>
              <w:spacing w:after="0"/>
              <w:rPr>
                <w:sz w:val="18"/>
                <w:szCs w:val="18"/>
                <w:color w:val="auto"/>
              </w:rPr>
            </w:pPr>
          </w:p>
        </w:tc>
        <w:tc>
          <w:tcPr>
            <w:tcW w:w="1040" w:type="dxa"/>
            <w:vAlign w:val="bottom"/>
            <w:shd w:val="clear" w:color="auto" w:fill="CFF2FA"/>
          </w:tcPr>
          <w:p>
            <w:pPr>
              <w:spacing w:after="0"/>
              <w:rPr>
                <w:sz w:val="18"/>
                <w:szCs w:val="18"/>
                <w:color w:val="auto"/>
              </w:rPr>
            </w:pPr>
          </w:p>
        </w:tc>
        <w:tc>
          <w:tcPr>
            <w:tcW w:w="200" w:type="dxa"/>
            <w:vAlign w:val="bottom"/>
            <w:shd w:val="clear" w:color="auto" w:fill="CFF2FA"/>
          </w:tcPr>
          <w:p>
            <w:pPr>
              <w:spacing w:after="0"/>
              <w:rPr>
                <w:sz w:val="18"/>
                <w:szCs w:val="18"/>
                <w:color w:val="auto"/>
              </w:rPr>
            </w:pPr>
          </w:p>
        </w:tc>
        <w:tc>
          <w:tcPr>
            <w:tcW w:w="160" w:type="dxa"/>
            <w:vAlign w:val="bottom"/>
            <w:shd w:val="clear" w:color="auto" w:fill="CFF2FA"/>
          </w:tcPr>
          <w:p>
            <w:pPr>
              <w:spacing w:after="0"/>
              <w:rPr>
                <w:sz w:val="18"/>
                <w:szCs w:val="18"/>
                <w:color w:val="auto"/>
              </w:rPr>
            </w:pPr>
          </w:p>
        </w:tc>
        <w:tc>
          <w:tcPr>
            <w:tcW w:w="1000" w:type="dxa"/>
            <w:vAlign w:val="bottom"/>
            <w:shd w:val="clear" w:color="auto" w:fill="CFF2FA"/>
          </w:tcPr>
          <w:p>
            <w:pPr>
              <w:spacing w:after="0"/>
              <w:rPr>
                <w:sz w:val="18"/>
                <w:szCs w:val="18"/>
                <w:color w:val="auto"/>
              </w:rPr>
            </w:pPr>
          </w:p>
        </w:tc>
        <w:tc>
          <w:tcPr>
            <w:tcW w:w="220" w:type="dxa"/>
            <w:vAlign w:val="bottom"/>
            <w:shd w:val="clear" w:color="auto" w:fill="CFF2FA"/>
          </w:tcPr>
          <w:p>
            <w:pPr>
              <w:spacing w:after="0"/>
              <w:rPr>
                <w:sz w:val="18"/>
                <w:szCs w:val="18"/>
                <w:color w:val="auto"/>
              </w:rPr>
            </w:pPr>
          </w:p>
        </w:tc>
        <w:tc>
          <w:tcPr>
            <w:tcW w:w="120" w:type="dxa"/>
            <w:vAlign w:val="bottom"/>
            <w:shd w:val="clear" w:color="auto" w:fill="CFF2FA"/>
          </w:tcPr>
          <w:p>
            <w:pPr>
              <w:spacing w:after="0"/>
              <w:rPr>
                <w:sz w:val="18"/>
                <w:szCs w:val="18"/>
                <w:color w:val="auto"/>
              </w:rPr>
            </w:pPr>
          </w:p>
        </w:tc>
        <w:tc>
          <w:tcPr>
            <w:tcW w:w="1120" w:type="dxa"/>
            <w:vAlign w:val="bottom"/>
            <w:shd w:val="clear" w:color="auto" w:fill="CFF2FA"/>
          </w:tcPr>
          <w:p>
            <w:pPr>
              <w:spacing w:after="0"/>
              <w:rPr>
                <w:sz w:val="18"/>
                <w:szCs w:val="18"/>
                <w:color w:val="auto"/>
              </w:rPr>
            </w:pPr>
          </w:p>
        </w:tc>
        <w:tc>
          <w:tcPr>
            <w:tcW w:w="220" w:type="dxa"/>
            <w:vAlign w:val="bottom"/>
            <w:shd w:val="clear" w:color="auto" w:fill="CFF2FA"/>
          </w:tcPr>
          <w:p>
            <w:pPr>
              <w:spacing w:after="0"/>
              <w:rPr>
                <w:sz w:val="18"/>
                <w:szCs w:val="18"/>
                <w:color w:val="auto"/>
              </w:rPr>
            </w:pPr>
          </w:p>
        </w:tc>
        <w:tc>
          <w:tcPr>
            <w:tcW w:w="100" w:type="dxa"/>
            <w:vAlign w:val="bottom"/>
            <w:shd w:val="clear" w:color="auto" w:fill="CFF2FA"/>
          </w:tcPr>
          <w:p>
            <w:pPr>
              <w:spacing w:after="0"/>
              <w:rPr>
                <w:sz w:val="18"/>
                <w:szCs w:val="18"/>
                <w:color w:val="auto"/>
              </w:rPr>
            </w:pPr>
          </w:p>
        </w:tc>
        <w:tc>
          <w:tcPr>
            <w:tcW w:w="1080" w:type="dxa"/>
            <w:vAlign w:val="bottom"/>
            <w:shd w:val="clear" w:color="auto" w:fill="CFF2FA"/>
          </w:tcPr>
          <w:p>
            <w:pPr>
              <w:spacing w:after="0"/>
              <w:rPr>
                <w:sz w:val="18"/>
                <w:szCs w:val="18"/>
                <w:color w:val="auto"/>
              </w:rPr>
            </w:pPr>
          </w:p>
        </w:tc>
        <w:tc>
          <w:tcPr>
            <w:tcW w:w="120" w:type="dxa"/>
            <w:vAlign w:val="bottom"/>
            <w:shd w:val="clear" w:color="auto" w:fill="CFF2FA"/>
          </w:tcPr>
          <w:p>
            <w:pPr>
              <w:spacing w:after="0"/>
              <w:rPr>
                <w:sz w:val="18"/>
                <w:szCs w:val="18"/>
                <w:color w:val="auto"/>
              </w:rPr>
            </w:pPr>
          </w:p>
        </w:tc>
      </w:tr>
      <w:tr>
        <w:trPr>
          <w:trHeight w:val="230"/>
        </w:trPr>
        <w:tc>
          <w:tcPr>
            <w:tcW w:w="5920" w:type="dxa"/>
            <w:vAlign w:val="bottom"/>
            <w:shd w:val="clear" w:color="auto" w:fill="CFF0FC"/>
          </w:tcPr>
          <w:p>
            <w:pPr>
              <w:spacing w:after="0"/>
              <w:rPr>
                <w:sz w:val="20"/>
                <w:szCs w:val="20"/>
                <w:color w:val="auto"/>
              </w:rPr>
            </w:pPr>
            <w:r>
              <w:rPr>
                <w:rFonts w:ascii="Arial" w:cs="Arial" w:eastAsia="Arial" w:hAnsi="Arial"/>
                <w:sz w:val="18"/>
                <w:szCs w:val="18"/>
                <w:color w:val="auto"/>
              </w:rPr>
              <w:t>tax</w:t>
            </w:r>
          </w:p>
        </w:tc>
        <w:tc>
          <w:tcPr>
            <w:tcW w:w="120" w:type="dxa"/>
            <w:vAlign w:val="bottom"/>
            <w:shd w:val="clear" w:color="auto" w:fill="CFF2FA"/>
          </w:tcPr>
          <w:p>
            <w:pPr>
              <w:spacing w:after="0"/>
              <w:rPr>
                <w:sz w:val="20"/>
                <w:szCs w:val="20"/>
                <w:color w:val="auto"/>
              </w:rPr>
            </w:pPr>
          </w:p>
        </w:tc>
        <w:tc>
          <w:tcPr>
            <w:tcW w:w="1040" w:type="dxa"/>
            <w:vAlign w:val="bottom"/>
            <w:shd w:val="clear" w:color="auto" w:fill="CFF2FA"/>
          </w:tcPr>
          <w:p>
            <w:pPr>
              <w:jc w:val="right"/>
              <w:spacing w:after="0"/>
              <w:rPr>
                <w:sz w:val="20"/>
                <w:szCs w:val="20"/>
                <w:color w:val="auto"/>
              </w:rPr>
            </w:pPr>
            <w:r>
              <w:rPr>
                <w:rFonts w:ascii="Arial" w:cs="Arial" w:eastAsia="Arial" w:hAnsi="Arial"/>
                <w:sz w:val="18"/>
                <w:szCs w:val="18"/>
                <w:color w:val="auto"/>
              </w:rPr>
              <w:t>146</w:t>
            </w:r>
          </w:p>
        </w:tc>
        <w:tc>
          <w:tcPr>
            <w:tcW w:w="200" w:type="dxa"/>
            <w:vAlign w:val="bottom"/>
            <w:shd w:val="clear" w:color="auto" w:fill="CFF2FA"/>
          </w:tcPr>
          <w:p>
            <w:pPr>
              <w:spacing w:after="0"/>
              <w:rPr>
                <w:sz w:val="20"/>
                <w:szCs w:val="20"/>
                <w:color w:val="auto"/>
              </w:rPr>
            </w:pPr>
          </w:p>
        </w:tc>
        <w:tc>
          <w:tcPr>
            <w:tcW w:w="160" w:type="dxa"/>
            <w:vAlign w:val="bottom"/>
            <w:shd w:val="clear" w:color="auto" w:fill="CFF2FA"/>
          </w:tcPr>
          <w:p>
            <w:pPr>
              <w:spacing w:after="0"/>
              <w:rPr>
                <w:sz w:val="20"/>
                <w:szCs w:val="20"/>
                <w:color w:val="auto"/>
              </w:rPr>
            </w:pPr>
          </w:p>
        </w:tc>
        <w:tc>
          <w:tcPr>
            <w:tcW w:w="1220" w:type="dxa"/>
            <w:vAlign w:val="bottom"/>
            <w:gridSpan w:val="2"/>
            <w:shd w:val="clear" w:color="auto" w:fill="CFF2FA"/>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2FA"/>
          </w:tcPr>
          <w:p>
            <w:pPr>
              <w:spacing w:after="0"/>
              <w:rPr>
                <w:sz w:val="20"/>
                <w:szCs w:val="20"/>
                <w:color w:val="auto"/>
              </w:rPr>
            </w:pPr>
          </w:p>
        </w:tc>
        <w:tc>
          <w:tcPr>
            <w:tcW w:w="1120" w:type="dxa"/>
            <w:vAlign w:val="bottom"/>
            <w:shd w:val="clear" w:color="auto" w:fill="CFF2FA"/>
          </w:tcPr>
          <w:p>
            <w:pPr>
              <w:jc w:val="right"/>
              <w:spacing w:after="0"/>
              <w:rPr>
                <w:sz w:val="20"/>
                <w:szCs w:val="20"/>
                <w:color w:val="auto"/>
              </w:rPr>
            </w:pPr>
            <w:r>
              <w:rPr>
                <w:rFonts w:ascii="Arial" w:cs="Arial" w:eastAsia="Arial" w:hAnsi="Arial"/>
                <w:sz w:val="18"/>
                <w:szCs w:val="18"/>
                <w:color w:val="auto"/>
              </w:rPr>
              <w:t>180</w:t>
            </w:r>
          </w:p>
        </w:tc>
        <w:tc>
          <w:tcPr>
            <w:tcW w:w="220" w:type="dxa"/>
            <w:vAlign w:val="bottom"/>
            <w:shd w:val="clear" w:color="auto" w:fill="CFF2FA"/>
          </w:tcPr>
          <w:p>
            <w:pPr>
              <w:spacing w:after="0"/>
              <w:rPr>
                <w:sz w:val="20"/>
                <w:szCs w:val="20"/>
                <w:color w:val="auto"/>
              </w:rPr>
            </w:pPr>
          </w:p>
        </w:tc>
        <w:tc>
          <w:tcPr>
            <w:tcW w:w="100" w:type="dxa"/>
            <w:vAlign w:val="bottom"/>
            <w:shd w:val="clear" w:color="auto" w:fill="CFF2FA"/>
          </w:tcPr>
          <w:p>
            <w:pPr>
              <w:spacing w:after="0"/>
              <w:rPr>
                <w:sz w:val="20"/>
                <w:szCs w:val="20"/>
                <w:color w:val="auto"/>
              </w:rPr>
            </w:pPr>
          </w:p>
        </w:tc>
        <w:tc>
          <w:tcPr>
            <w:tcW w:w="1080" w:type="dxa"/>
            <w:vAlign w:val="bottom"/>
            <w:shd w:val="clear" w:color="auto" w:fill="CFF2FA"/>
          </w:tcPr>
          <w:p>
            <w:pPr>
              <w:jc w:val="right"/>
              <w:spacing w:after="0"/>
              <w:rPr>
                <w:sz w:val="20"/>
                <w:szCs w:val="20"/>
                <w:color w:val="auto"/>
              </w:rPr>
            </w:pPr>
            <w:r>
              <w:rPr>
                <w:rFonts w:ascii="Arial" w:cs="Arial" w:eastAsia="Arial" w:hAnsi="Arial"/>
                <w:sz w:val="18"/>
                <w:szCs w:val="18"/>
                <w:color w:val="auto"/>
              </w:rPr>
              <w:t>326</w:t>
            </w:r>
          </w:p>
        </w:tc>
        <w:tc>
          <w:tcPr>
            <w:tcW w:w="120" w:type="dxa"/>
            <w:vAlign w:val="bottom"/>
            <w:shd w:val="clear" w:color="auto" w:fill="CFF2FA"/>
          </w:tcPr>
          <w:p>
            <w:pPr>
              <w:spacing w:after="0"/>
              <w:rPr>
                <w:sz w:val="20"/>
                <w:szCs w:val="20"/>
                <w:color w:val="auto"/>
              </w:rPr>
            </w:pPr>
          </w:p>
        </w:tc>
      </w:tr>
      <w:tr>
        <w:trPr>
          <w:trHeight w:val="223"/>
        </w:trPr>
        <w:tc>
          <w:tcPr>
            <w:tcW w:w="59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comprehensive earnings (loss), net of tax</w:t>
            </w:r>
          </w:p>
        </w:tc>
        <w:tc>
          <w:tcPr>
            <w:tcW w:w="1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w:t>
            </w:r>
          </w:p>
        </w:tc>
        <w:tc>
          <w:tcPr>
            <w:tcW w:w="200" w:type="dxa"/>
            <w:vAlign w:val="bottom"/>
            <w:tcBorders>
              <w:bottom w:val="single" w:sz="8" w:color="CFF2FA"/>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(1,466)</w:t>
            </w:r>
          </w:p>
        </w:tc>
        <w:tc>
          <w:tcPr>
            <w:tcW w:w="220" w:type="dxa"/>
            <w:vAlign w:val="bottom"/>
            <w:tcBorders>
              <w:bottom w:val="single" w:sz="8" w:color="CFF2FA"/>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180</w:t>
            </w:r>
          </w:p>
        </w:tc>
        <w:tc>
          <w:tcPr>
            <w:tcW w:w="220" w:type="dxa"/>
            <w:vAlign w:val="bottom"/>
            <w:tcBorders>
              <w:bottom w:val="single" w:sz="8" w:color="CFF2FA"/>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(1,140)</w:t>
            </w:r>
          </w:p>
        </w:tc>
        <w:tc>
          <w:tcPr>
            <w:tcW w:w="120" w:type="dxa"/>
            <w:vAlign w:val="bottom"/>
            <w:tcBorders>
              <w:bottom w:val="single" w:sz="8" w:color="CFF2FA"/>
            </w:tcBorders>
          </w:tcPr>
          <w:p>
            <w:pPr>
              <w:spacing w:after="0"/>
              <w:rPr>
                <w:sz w:val="19"/>
                <w:szCs w:val="19"/>
                <w:color w:val="auto"/>
              </w:rPr>
            </w:pPr>
          </w:p>
        </w:tc>
      </w:tr>
      <w:tr>
        <w:trPr>
          <w:trHeight w:val="223"/>
        </w:trPr>
        <w:tc>
          <w:tcPr>
            <w:tcW w:w="59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end of period</w:t>
            </w:r>
          </w:p>
        </w:tc>
        <w:tc>
          <w:tcPr>
            <w:tcW w:w="12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(44,539)</w:t>
            </w:r>
          </w:p>
        </w:tc>
        <w:tc>
          <w:tcPr>
            <w:tcW w:w="200" w:type="dxa"/>
            <w:vAlign w:val="bottom"/>
            <w:tcBorders>
              <w:bottom w:val="single" w:sz="8" w:color="CFF2FA"/>
            </w:tcBorders>
            <w:shd w:val="clear" w:color="auto" w:fill="CFF2FA"/>
          </w:tcPr>
          <w:p>
            <w:pPr>
              <w:spacing w:after="0"/>
              <w:rPr>
                <w:sz w:val="19"/>
                <w:szCs w:val="19"/>
                <w:color w:val="auto"/>
              </w:rPr>
            </w:pPr>
          </w:p>
        </w:tc>
        <w:tc>
          <w:tcPr>
            <w:tcW w:w="16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4,192</w:t>
            </w:r>
          </w:p>
        </w:tc>
        <w:tc>
          <w:tcPr>
            <w:tcW w:w="220" w:type="dxa"/>
            <w:vAlign w:val="bottom"/>
            <w:tcBorders>
              <w:bottom w:val="single" w:sz="8" w:color="CFF2FA"/>
            </w:tcBorders>
            <w:shd w:val="clear" w:color="auto" w:fill="CFF2FA"/>
          </w:tcPr>
          <w:p>
            <w:pPr>
              <w:spacing w:after="0"/>
              <w:rPr>
                <w:sz w:val="19"/>
                <w:szCs w:val="19"/>
                <w:color w:val="auto"/>
              </w:rPr>
            </w:pPr>
          </w:p>
        </w:tc>
        <w:tc>
          <w:tcPr>
            <w:tcW w:w="120" w:type="dxa"/>
            <w:vAlign w:val="bottom"/>
            <w:tcBorders>
              <w:bottom w:val="single" w:sz="8" w:color="auto"/>
            </w:tcBorders>
            <w:shd w:val="clear" w:color="auto" w:fill="CFF2FA"/>
          </w:tcPr>
          <w:p>
            <w:pPr>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(2,934)</w:t>
            </w:r>
          </w:p>
        </w:tc>
        <w:tc>
          <w:tcPr>
            <w:tcW w:w="220" w:type="dxa"/>
            <w:vAlign w:val="bottom"/>
            <w:tcBorders>
              <w:bottom w:val="single" w:sz="8" w:color="CFF2FA"/>
            </w:tcBorders>
            <w:shd w:val="clear" w:color="auto" w:fill="CFF2FA"/>
          </w:tcPr>
          <w:p>
            <w:pPr>
              <w:spacing w:after="0"/>
              <w:rPr>
                <w:sz w:val="19"/>
                <w:szCs w:val="19"/>
                <w:color w:val="auto"/>
              </w:rPr>
            </w:pPr>
          </w:p>
        </w:tc>
        <w:tc>
          <w:tcPr>
            <w:tcW w:w="100" w:type="dxa"/>
            <w:vAlign w:val="bottom"/>
            <w:tcBorders>
              <w:bottom w:val="single" w:sz="8" w:color="auto"/>
            </w:tcBorders>
            <w:shd w:val="clear" w:color="auto" w:fill="CFF2FA"/>
          </w:tcPr>
          <w:p>
            <w:pPr>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(43,281)</w:t>
            </w:r>
          </w:p>
        </w:tc>
        <w:tc>
          <w:tcPr>
            <w:tcW w:w="120" w:type="dxa"/>
            <w:vAlign w:val="bottom"/>
            <w:tcBorders>
              <w:bottom w:val="single" w:sz="8" w:color="CFF2FA"/>
            </w:tcBorders>
            <w:shd w:val="clear" w:color="auto" w:fill="CFF2FA"/>
          </w:tcPr>
          <w:p>
            <w:pPr>
              <w:spacing w:after="0"/>
              <w:rPr>
                <w:sz w:val="19"/>
                <w:szCs w:val="19"/>
                <w:color w:val="auto"/>
              </w:rPr>
            </w:pPr>
          </w:p>
        </w:tc>
      </w:tr>
      <w:tr>
        <w:trPr>
          <w:trHeight w:val="20"/>
        </w:trPr>
        <w:tc>
          <w:tcPr>
            <w:tcW w:w="59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9 of 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September 30, 2015</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NOTES TO CONSOLIDATED FINANCIAL STATEMENTS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207" w:lineRule="exact"/>
        <w:rPr>
          <w:sz w:val="20"/>
          <w:szCs w:val="20"/>
          <w:color w:val="auto"/>
        </w:rPr>
      </w:pPr>
    </w:p>
    <w:p>
      <w:pPr>
        <w:ind w:left="380" w:hanging="372"/>
        <w:spacing w:after="0"/>
        <w:tabs>
          <w:tab w:leader="none" w:pos="380" w:val="left"/>
        </w:tabs>
        <w:numPr>
          <w:ilvl w:val="0"/>
          <w:numId w:val="6"/>
        </w:numPr>
        <w:rPr>
          <w:rFonts w:ascii="Arial" w:cs="Arial" w:eastAsia="Arial" w:hAnsi="Arial"/>
          <w:sz w:val="20"/>
          <w:szCs w:val="20"/>
          <w:b w:val="1"/>
          <w:bCs w:val="1"/>
          <w:color w:val="auto"/>
        </w:rPr>
      </w:pPr>
      <w:r>
        <w:rPr>
          <w:rFonts w:ascii="Arial" w:cs="Arial" w:eastAsia="Arial" w:hAnsi="Arial"/>
          <w:sz w:val="20"/>
          <w:szCs w:val="20"/>
          <w:b w:val="1"/>
          <w:bCs w:val="1"/>
          <w:color w:val="auto"/>
        </w:rPr>
        <w:t>Significant Accounting Policies (continued)</w:t>
      </w:r>
    </w:p>
    <w:p>
      <w:pPr>
        <w:spacing w:after="0" w:line="107" w:lineRule="exact"/>
        <w:rPr>
          <w:rFonts w:ascii="Arial" w:cs="Arial" w:eastAsia="Arial" w:hAnsi="Arial"/>
          <w:sz w:val="20"/>
          <w:szCs w:val="20"/>
          <w:b w:val="1"/>
          <w:bCs w:val="1"/>
          <w:color w:val="auto"/>
        </w:rPr>
      </w:pPr>
    </w:p>
    <w:p>
      <w:pPr>
        <w:ind w:left="380"/>
        <w:spacing w:after="0"/>
        <w:rPr>
          <w:rFonts w:ascii="Arial" w:cs="Arial" w:eastAsia="Arial" w:hAnsi="Arial"/>
          <w:sz w:val="20"/>
          <w:szCs w:val="20"/>
          <w:b w:val="1"/>
          <w:bCs w:val="1"/>
          <w:color w:val="auto"/>
        </w:rPr>
      </w:pPr>
      <w:r>
        <w:rPr>
          <w:rFonts w:ascii="Arial" w:cs="Arial" w:eastAsia="Arial" w:hAnsi="Arial"/>
          <w:sz w:val="20"/>
          <w:szCs w:val="20"/>
          <w:b w:val="1"/>
          <w:bCs w:val="1"/>
          <w:color w:val="auto"/>
        </w:rPr>
        <w:t>Consolidated Comprehensive Earnings/Loss and Accumulated Other Comprehensive Loss (continued)</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57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780" w:type="dxa"/>
            <w:vAlign w:val="bottom"/>
            <w:tcBorders>
              <w:bottom w:val="single" w:sz="8" w:color="auto"/>
            </w:tcBorders>
            <w:gridSpan w:val="6"/>
          </w:tcPr>
          <w:p>
            <w:pPr>
              <w:jc w:val="center"/>
              <w:ind w:right="300"/>
              <w:spacing w:after="0"/>
              <w:rPr>
                <w:sz w:val="20"/>
                <w:szCs w:val="20"/>
                <w:color w:val="auto"/>
              </w:rPr>
            </w:pPr>
            <w:r>
              <w:rPr>
                <w:rFonts w:ascii="Arial" w:cs="Arial" w:eastAsia="Arial" w:hAnsi="Arial"/>
                <w:sz w:val="20"/>
                <w:szCs w:val="20"/>
                <w:i w:val="1"/>
                <w:iCs w:val="1"/>
                <w:color w:val="auto"/>
                <w:w w:val="91"/>
              </w:rPr>
              <w:t>(Dollars in Thousands)</w:t>
            </w:r>
          </w:p>
        </w:tc>
        <w:tc>
          <w:tcPr>
            <w:tcW w:w="2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3"/>
        </w:trPr>
        <w:tc>
          <w:tcPr>
            <w:tcW w:w="5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20"/>
                <w:szCs w:val="20"/>
                <w:color w:val="auto"/>
                <w:w w:val="89"/>
              </w:rPr>
              <w:t>Unamortized</w:t>
            </w: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5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20"/>
                <w:szCs w:val="20"/>
                <w:color w:val="auto"/>
                <w:w w:val="89"/>
              </w:rPr>
              <w:t>Value of</w:t>
            </w: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5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20"/>
                <w:szCs w:val="20"/>
                <w:color w:val="auto"/>
                <w:w w:val="88"/>
              </w:rPr>
              <w:t>Terminated</w:t>
            </w:r>
          </w:p>
        </w:tc>
        <w:tc>
          <w:tcPr>
            <w:tcW w:w="1360" w:type="dxa"/>
            <w:vAlign w:val="bottom"/>
            <w:gridSpan w:val="3"/>
          </w:tcPr>
          <w:p>
            <w:pPr>
              <w:jc w:val="center"/>
              <w:ind w:right="100"/>
              <w:spacing w:after="0"/>
              <w:rPr>
                <w:sz w:val="20"/>
                <w:szCs w:val="20"/>
                <w:color w:val="auto"/>
              </w:rPr>
            </w:pPr>
            <w:r>
              <w:rPr>
                <w:rFonts w:ascii="Arial" w:cs="Arial" w:eastAsia="Arial" w:hAnsi="Arial"/>
                <w:sz w:val="20"/>
                <w:szCs w:val="20"/>
                <w:color w:val="auto"/>
                <w:w w:val="91"/>
              </w:rPr>
              <w:t>Accumulated</w:t>
            </w:r>
          </w:p>
        </w:tc>
      </w:tr>
      <w:tr>
        <w:trPr>
          <w:trHeight w:val="243"/>
        </w:trPr>
        <w:tc>
          <w:tcPr>
            <w:tcW w:w="5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20"/>
                <w:szCs w:val="20"/>
                <w:color w:val="auto"/>
                <w:w w:val="84"/>
              </w:rPr>
              <w:t>Pension and</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40" w:type="dxa"/>
            <w:vAlign w:val="bottom"/>
            <w:gridSpan w:val="4"/>
          </w:tcPr>
          <w:p>
            <w:pPr>
              <w:ind w:left="80"/>
              <w:spacing w:after="0"/>
              <w:rPr>
                <w:sz w:val="20"/>
                <w:szCs w:val="20"/>
                <w:color w:val="auto"/>
              </w:rPr>
            </w:pPr>
            <w:r>
              <w:rPr>
                <w:rFonts w:ascii="Arial" w:cs="Arial" w:eastAsia="Arial" w:hAnsi="Arial"/>
                <w:sz w:val="20"/>
                <w:szCs w:val="20"/>
                <w:color w:val="auto"/>
              </w:rPr>
              <w:t>Forward Starting</w:t>
            </w:r>
          </w:p>
        </w:tc>
        <w:tc>
          <w:tcPr>
            <w:tcW w:w="260" w:type="dxa"/>
            <w:vAlign w:val="bottom"/>
          </w:tcPr>
          <w:p>
            <w:pPr>
              <w:spacing w:after="0"/>
              <w:rPr>
                <w:sz w:val="21"/>
                <w:szCs w:val="21"/>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20"/>
                <w:szCs w:val="20"/>
                <w:color w:val="auto"/>
                <w:w w:val="87"/>
              </w:rPr>
              <w:t>Other</w:t>
            </w:r>
          </w:p>
        </w:tc>
      </w:tr>
      <w:tr>
        <w:trPr>
          <w:trHeight w:val="243"/>
        </w:trPr>
        <w:tc>
          <w:tcPr>
            <w:tcW w:w="5740" w:type="dxa"/>
            <w:vAlign w:val="bottom"/>
          </w:tcPr>
          <w:p>
            <w:pPr>
              <w:spacing w:after="0"/>
              <w:rPr>
                <w:sz w:val="21"/>
                <w:szCs w:val="21"/>
                <w:color w:val="auto"/>
              </w:rPr>
            </w:pPr>
          </w:p>
        </w:tc>
        <w:tc>
          <w:tcPr>
            <w:tcW w:w="1320" w:type="dxa"/>
            <w:vAlign w:val="bottom"/>
            <w:gridSpan w:val="3"/>
          </w:tcPr>
          <w:p>
            <w:pPr>
              <w:ind w:left="20"/>
              <w:spacing w:after="0"/>
              <w:rPr>
                <w:sz w:val="20"/>
                <w:szCs w:val="20"/>
                <w:color w:val="auto"/>
              </w:rPr>
            </w:pPr>
            <w:r>
              <w:rPr>
                <w:rFonts w:ascii="Arial" w:cs="Arial" w:eastAsia="Arial" w:hAnsi="Arial"/>
                <w:sz w:val="20"/>
                <w:szCs w:val="20"/>
                <w:color w:val="auto"/>
                <w:w w:val="98"/>
              </w:rPr>
              <w:t>Postretirement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20"/>
                <w:szCs w:val="20"/>
                <w:color w:val="auto"/>
              </w:rPr>
              <w:t>Foreign</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20"/>
                <w:szCs w:val="20"/>
                <w:color w:val="auto"/>
                <w:w w:val="89"/>
              </w:rPr>
              <w:t>Interest Rate</w:t>
            </w:r>
          </w:p>
        </w:tc>
        <w:tc>
          <w:tcPr>
            <w:tcW w:w="1360" w:type="dxa"/>
            <w:vAlign w:val="bottom"/>
            <w:gridSpan w:val="3"/>
          </w:tcPr>
          <w:p>
            <w:pPr>
              <w:spacing w:after="0"/>
              <w:rPr>
                <w:sz w:val="20"/>
                <w:szCs w:val="20"/>
                <w:color w:val="auto"/>
              </w:rPr>
            </w:pPr>
            <w:r>
              <w:rPr>
                <w:rFonts w:ascii="Arial" w:cs="Arial" w:eastAsia="Arial" w:hAnsi="Arial"/>
                <w:sz w:val="20"/>
                <w:szCs w:val="20"/>
                <w:color w:val="auto"/>
                <w:w w:val="95"/>
              </w:rPr>
              <w:t>Comprehensive</w:t>
            </w:r>
          </w:p>
        </w:tc>
      </w:tr>
      <w:tr>
        <w:trPr>
          <w:trHeight w:val="246"/>
        </w:trPr>
        <w:tc>
          <w:tcPr>
            <w:tcW w:w="5740" w:type="dxa"/>
            <w:vAlign w:val="bottom"/>
          </w:tcPr>
          <w:p>
            <w:pPr>
              <w:spacing w:after="0"/>
              <w:rPr>
                <w:sz w:val="21"/>
                <w:szCs w:val="21"/>
                <w:color w:val="auto"/>
              </w:rPr>
            </w:pPr>
          </w:p>
        </w:tc>
        <w:tc>
          <w:tcPr>
            <w:tcW w:w="1320" w:type="dxa"/>
            <w:vAlign w:val="bottom"/>
            <w:gridSpan w:val="3"/>
          </w:tcPr>
          <w:p>
            <w:pPr>
              <w:ind w:left="60"/>
              <w:spacing w:after="0"/>
              <w:rPr>
                <w:sz w:val="20"/>
                <w:szCs w:val="20"/>
                <w:color w:val="auto"/>
              </w:rPr>
            </w:pPr>
            <w:r>
              <w:rPr>
                <w:rFonts w:ascii="Arial" w:cs="Arial" w:eastAsia="Arial" w:hAnsi="Arial"/>
                <w:sz w:val="20"/>
                <w:szCs w:val="20"/>
                <w:color w:val="auto"/>
              </w:rPr>
              <w:t>Benefit Plans</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20"/>
                <w:szCs w:val="20"/>
                <w:color w:val="auto"/>
                <w:w w:val="96"/>
              </w:rPr>
              <w:t>Currency</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gridSpan w:val="2"/>
          </w:tcPr>
          <w:p>
            <w:pPr>
              <w:jc w:val="center"/>
              <w:ind w:right="320"/>
              <w:spacing w:after="0"/>
              <w:rPr>
                <w:sz w:val="20"/>
                <w:szCs w:val="20"/>
                <w:color w:val="auto"/>
              </w:rPr>
            </w:pPr>
            <w:r>
              <w:rPr>
                <w:rFonts w:ascii="Arial" w:cs="Arial" w:eastAsia="Arial" w:hAnsi="Arial"/>
                <w:sz w:val="20"/>
                <w:szCs w:val="20"/>
                <w:color w:val="auto"/>
                <w:w w:val="87"/>
              </w:rPr>
              <w:t>Swap</w:t>
            </w:r>
          </w:p>
        </w:tc>
        <w:tc>
          <w:tcPr>
            <w:tcW w:w="260" w:type="dxa"/>
            <w:vAlign w:val="bottom"/>
          </w:tcPr>
          <w:p>
            <w:pPr>
              <w:spacing w:after="0"/>
              <w:rPr>
                <w:sz w:val="21"/>
                <w:szCs w:val="21"/>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20"/>
                <w:szCs w:val="20"/>
                <w:color w:val="auto"/>
                <w:w w:val="89"/>
              </w:rPr>
              <w:t>Loss</w:t>
            </w:r>
          </w:p>
        </w:tc>
      </w:tr>
      <w:tr>
        <w:trPr>
          <w:trHeight w:val="237"/>
        </w:trPr>
        <w:tc>
          <w:tcPr>
            <w:tcW w:w="5740" w:type="dxa"/>
            <w:vAlign w:val="bottom"/>
            <w:tcBorders>
              <w:bottom w:val="single" w:sz="8" w:color="CFF0FC"/>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480" w:type="dxa"/>
            <w:vAlign w:val="bottom"/>
            <w:tcBorders>
              <w:top w:val="single" w:sz="8" w:color="auto"/>
              <w:bottom w:val="single" w:sz="8" w:color="auto"/>
            </w:tcBorders>
            <w:gridSpan w:val="11"/>
          </w:tcPr>
          <w:p>
            <w:pPr>
              <w:jc w:val="center"/>
              <w:ind w:left="781"/>
              <w:spacing w:after="0"/>
              <w:rPr>
                <w:sz w:val="20"/>
                <w:szCs w:val="20"/>
                <w:color w:val="auto"/>
              </w:rPr>
            </w:pPr>
            <w:r>
              <w:rPr>
                <w:rFonts w:ascii="Arial" w:cs="Arial" w:eastAsia="Arial" w:hAnsi="Arial"/>
                <w:sz w:val="20"/>
                <w:szCs w:val="20"/>
                <w:color w:val="auto"/>
                <w:w w:val="89"/>
              </w:rPr>
              <w:t>Nine Months Ended September 30, 2015</w:t>
            </w:r>
          </w:p>
        </w:tc>
        <w:tc>
          <w:tcPr>
            <w:tcW w:w="1000" w:type="dxa"/>
            <w:vAlign w:val="bottom"/>
            <w:tcBorders>
              <w:top w:val="single" w:sz="8" w:color="auto"/>
              <w:bottom w:val="single" w:sz="8" w:color="auto"/>
            </w:tcBorders>
          </w:tcPr>
          <w:p>
            <w:pPr>
              <w:spacing w:after="0"/>
              <w:rPr>
                <w:sz w:val="20"/>
                <w:szCs w:val="20"/>
                <w:color w:val="auto"/>
              </w:rPr>
            </w:pPr>
          </w:p>
        </w:tc>
        <w:tc>
          <w:tcPr>
            <w:tcW w:w="100" w:type="dxa"/>
            <w:vAlign w:val="bottom"/>
            <w:tcBorders>
              <w:bottom w:val="single" w:sz="8" w:color="CFF2FA"/>
            </w:tcBorders>
          </w:tcPr>
          <w:p>
            <w:pPr>
              <w:spacing w:after="0"/>
              <w:rPr>
                <w:sz w:val="20"/>
                <w:szCs w:val="20"/>
                <w:color w:val="auto"/>
              </w:rPr>
            </w:pPr>
          </w:p>
        </w:tc>
      </w:tr>
      <w:tr>
        <w:trPr>
          <w:trHeight w:val="237"/>
        </w:trPr>
        <w:tc>
          <w:tcPr>
            <w:tcW w:w="5740" w:type="dxa"/>
            <w:vAlign w:val="bottom"/>
            <w:shd w:val="clear" w:color="auto" w:fill="CFF0FC"/>
          </w:tcPr>
          <w:p>
            <w:pPr>
              <w:spacing w:after="0"/>
              <w:rPr>
                <w:sz w:val="20"/>
                <w:szCs w:val="20"/>
                <w:color w:val="auto"/>
              </w:rPr>
            </w:pPr>
            <w:r>
              <w:rPr>
                <w:rFonts w:ascii="Arial" w:cs="Arial" w:eastAsia="Arial" w:hAnsi="Arial"/>
                <w:sz w:val="20"/>
                <w:szCs w:val="20"/>
                <w:color w:val="auto"/>
              </w:rPr>
              <w:t>Balance at beginning of period</w:t>
            </w:r>
          </w:p>
        </w:tc>
        <w:tc>
          <w:tcPr>
            <w:tcW w:w="100" w:type="dxa"/>
            <w:vAlign w:val="bottom"/>
            <w:shd w:val="clear" w:color="auto" w:fill="CFF0FC"/>
          </w:tcPr>
          <w:p>
            <w:pPr>
              <w:spacing w:after="0"/>
              <w:rPr>
                <w:sz w:val="20"/>
                <w:szCs w:val="20"/>
                <w:color w:val="auto"/>
              </w:rPr>
            </w:pPr>
            <w:r>
              <w:rPr>
                <w:rFonts w:ascii="Arial" w:cs="Arial" w:eastAsia="Arial" w:hAnsi="Arial"/>
                <w:sz w:val="20"/>
                <w:szCs w:val="20"/>
                <w:color w:val="auto"/>
                <w:w w:val="71"/>
              </w:rPr>
              <w:t>$</w:t>
            </w: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20"/>
                <w:szCs w:val="20"/>
                <w:color w:val="auto"/>
              </w:rPr>
              <w:t>(106,688)</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3,278</w:t>
            </w:r>
          </w:p>
        </w:tc>
        <w:tc>
          <w:tcPr>
            <w:tcW w:w="140" w:type="dxa"/>
            <w:vAlign w:val="bottom"/>
            <w:shd w:val="clear" w:color="auto" w:fill="CFF0FC"/>
          </w:tcPr>
          <w:p>
            <w:pPr>
              <w:spacing w:after="0"/>
              <w:rPr>
                <w:sz w:val="20"/>
                <w:szCs w:val="20"/>
                <w:color w:val="auto"/>
              </w:rPr>
            </w:pPr>
          </w:p>
        </w:tc>
        <w:tc>
          <w:tcPr>
            <w:tcW w:w="200" w:type="dxa"/>
            <w:vAlign w:val="bottom"/>
            <w:gridSpan w:val="2"/>
            <w:shd w:val="clear" w:color="auto" w:fill="CFF0FC"/>
          </w:tcPr>
          <w:p>
            <w:pPr>
              <w:ind w:left="80"/>
              <w:spacing w:after="0"/>
              <w:rPr>
                <w:sz w:val="20"/>
                <w:szCs w:val="20"/>
                <w:color w:val="auto"/>
              </w:rPr>
            </w:pPr>
            <w:r>
              <w:rPr>
                <w:rFonts w:ascii="Arial" w:cs="Arial" w:eastAsia="Arial" w:hAnsi="Arial"/>
                <w:sz w:val="20"/>
                <w:szCs w:val="20"/>
                <w:color w:val="auto"/>
                <w:w w:val="89"/>
              </w:rPr>
              <w:t>$</w:t>
            </w:r>
          </w:p>
        </w:tc>
        <w:tc>
          <w:tcPr>
            <w:tcW w:w="144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20"/>
                <w:szCs w:val="20"/>
                <w:color w:val="auto"/>
              </w:rPr>
              <w:t>(2,749)</w:t>
            </w:r>
          </w:p>
        </w:tc>
        <w:tc>
          <w:tcPr>
            <w:tcW w:w="260" w:type="dxa"/>
            <w:vAlign w:val="bottom"/>
            <w:shd w:val="clear" w:color="auto" w:fill="CFF2FA"/>
          </w:tcPr>
          <w:p>
            <w:pPr>
              <w:spacing w:after="0"/>
              <w:rPr>
                <w:sz w:val="20"/>
                <w:szCs w:val="20"/>
                <w:color w:val="auto"/>
              </w:rPr>
            </w:pPr>
            <w:r>
              <w:rPr>
                <w:rFonts w:ascii="Arial" w:cs="Arial" w:eastAsia="Arial" w:hAnsi="Arial"/>
                <w:sz w:val="20"/>
                <w:szCs w:val="20"/>
                <w:color w:val="auto"/>
              </w:rPr>
              <w:t>$</w:t>
            </w:r>
          </w:p>
        </w:tc>
        <w:tc>
          <w:tcPr>
            <w:tcW w:w="1000" w:type="dxa"/>
            <w:vAlign w:val="bottom"/>
            <w:shd w:val="clear" w:color="auto" w:fill="CFF2FA"/>
          </w:tcPr>
          <w:p>
            <w:pPr>
              <w:jc w:val="right"/>
              <w:spacing w:after="0"/>
              <w:rPr>
                <w:sz w:val="20"/>
                <w:szCs w:val="20"/>
                <w:color w:val="auto"/>
              </w:rPr>
            </w:pPr>
            <w:r>
              <w:rPr>
                <w:rFonts w:ascii="Arial" w:cs="Arial" w:eastAsia="Arial" w:hAnsi="Arial"/>
                <w:sz w:val="20"/>
                <w:szCs w:val="20"/>
                <w:color w:val="auto"/>
              </w:rPr>
              <w:t>(106,159)</w:t>
            </w:r>
          </w:p>
        </w:tc>
        <w:tc>
          <w:tcPr>
            <w:tcW w:w="100" w:type="dxa"/>
            <w:vAlign w:val="bottom"/>
            <w:shd w:val="clear" w:color="auto" w:fill="CFF2FA"/>
          </w:tcPr>
          <w:p>
            <w:pPr>
              <w:spacing w:after="0"/>
              <w:rPr>
                <w:sz w:val="20"/>
                <w:szCs w:val="20"/>
                <w:color w:val="auto"/>
              </w:rPr>
            </w:pPr>
          </w:p>
        </w:tc>
      </w:tr>
      <w:tr>
        <w:trPr>
          <w:trHeight w:val="220"/>
        </w:trPr>
        <w:tc>
          <w:tcPr>
            <w:tcW w:w="5740" w:type="dxa"/>
            <w:vAlign w:val="bottom"/>
          </w:tcPr>
          <w:p>
            <w:pPr>
              <w:spacing w:after="0" w:line="220" w:lineRule="exact"/>
              <w:rPr>
                <w:sz w:val="20"/>
                <w:szCs w:val="20"/>
                <w:color w:val="auto"/>
              </w:rPr>
            </w:pPr>
            <w:r>
              <w:rPr>
                <w:rFonts w:ascii="Arial" w:cs="Arial" w:eastAsia="Arial" w:hAnsi="Arial"/>
                <w:sz w:val="20"/>
                <w:szCs w:val="20"/>
                <w:color w:val="auto"/>
              </w:rPr>
              <w:t>Other comprehensive loss before</w:t>
            </w:r>
          </w:p>
        </w:tc>
        <w:tc>
          <w:tcPr>
            <w:tcW w:w="1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46"/>
        </w:trPr>
        <w:tc>
          <w:tcPr>
            <w:tcW w:w="5740" w:type="dxa"/>
            <w:vAlign w:val="bottom"/>
          </w:tcPr>
          <w:p>
            <w:pPr>
              <w:ind w:left="260"/>
              <w:spacing w:after="0"/>
              <w:rPr>
                <w:sz w:val="20"/>
                <w:szCs w:val="20"/>
                <w:color w:val="auto"/>
              </w:rPr>
            </w:pPr>
            <w:r>
              <w:rPr>
                <w:rFonts w:ascii="Arial" w:cs="Arial" w:eastAsia="Arial" w:hAnsi="Arial"/>
                <w:sz w:val="20"/>
                <w:szCs w:val="20"/>
                <w:color w:val="auto"/>
              </w:rPr>
              <w:t>reclassifications, net of tax</w:t>
            </w:r>
          </w:p>
        </w:tc>
        <w:tc>
          <w:tcPr>
            <w:tcW w:w="100" w:type="dxa"/>
            <w:vAlign w:val="bottom"/>
          </w:tcPr>
          <w:p>
            <w:pPr>
              <w:spacing w:after="0"/>
              <w:rPr>
                <w:sz w:val="21"/>
                <w:szCs w:val="21"/>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20"/>
                <w:szCs w:val="20"/>
                <w:color w:val="auto"/>
              </w:rPr>
              <w:t>(10,845)</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20"/>
                <w:szCs w:val="20"/>
                <w:color w:val="auto"/>
              </w:rPr>
              <w:t>(3,816)</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20"/>
                <w:szCs w:val="20"/>
                <w:color w:val="auto"/>
              </w:rPr>
              <w:t>—</w:t>
            </w:r>
          </w:p>
        </w:tc>
        <w:tc>
          <w:tcPr>
            <w:tcW w:w="260" w:type="dxa"/>
            <w:vAlign w:val="bottom"/>
          </w:tcPr>
          <w:p>
            <w:pPr>
              <w:spacing w:after="0"/>
              <w:rPr>
                <w:sz w:val="21"/>
                <w:szCs w:val="21"/>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20"/>
                <w:szCs w:val="20"/>
                <w:color w:val="auto"/>
              </w:rPr>
              <w:t>(14,661)</w:t>
            </w:r>
          </w:p>
        </w:tc>
      </w:tr>
      <w:tr>
        <w:trPr>
          <w:trHeight w:val="226"/>
        </w:trPr>
        <w:tc>
          <w:tcPr>
            <w:tcW w:w="574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rPr>
              <w:t>Amounts reclassified from accumulated</w:t>
            </w: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00" w:type="dxa"/>
            <w:vAlign w:val="bottom"/>
            <w:tcBorders>
              <w:right w:val="single" w:sz="8" w:color="CFF0FC"/>
            </w:tcBorders>
            <w:shd w:val="clear" w:color="auto" w:fill="CFF0FC"/>
          </w:tcPr>
          <w:p>
            <w:pPr>
              <w:spacing w:after="0"/>
              <w:rPr>
                <w:sz w:val="19"/>
                <w:szCs w:val="19"/>
                <w:color w:val="auto"/>
              </w:rPr>
            </w:pPr>
          </w:p>
        </w:tc>
        <w:tc>
          <w:tcPr>
            <w:tcW w:w="260" w:type="dxa"/>
            <w:vAlign w:val="bottom"/>
            <w:shd w:val="clear" w:color="auto" w:fill="CFF2FA"/>
          </w:tcPr>
          <w:p>
            <w:pPr>
              <w:spacing w:after="0"/>
              <w:rPr>
                <w:sz w:val="19"/>
                <w:szCs w:val="19"/>
                <w:color w:val="auto"/>
              </w:rPr>
            </w:pPr>
          </w:p>
        </w:tc>
        <w:tc>
          <w:tcPr>
            <w:tcW w:w="1000" w:type="dxa"/>
            <w:vAlign w:val="bottom"/>
            <w:shd w:val="clear" w:color="auto" w:fill="CFF2FA"/>
          </w:tcPr>
          <w:p>
            <w:pPr>
              <w:spacing w:after="0"/>
              <w:rPr>
                <w:sz w:val="19"/>
                <w:szCs w:val="19"/>
                <w:color w:val="auto"/>
              </w:rPr>
            </w:pPr>
          </w:p>
        </w:tc>
        <w:tc>
          <w:tcPr>
            <w:tcW w:w="100" w:type="dxa"/>
            <w:vAlign w:val="bottom"/>
            <w:shd w:val="clear" w:color="auto" w:fill="CFF2FA"/>
          </w:tcPr>
          <w:p>
            <w:pPr>
              <w:spacing w:after="0"/>
              <w:rPr>
                <w:sz w:val="19"/>
                <w:szCs w:val="19"/>
                <w:color w:val="auto"/>
              </w:rPr>
            </w:pPr>
          </w:p>
        </w:tc>
      </w:tr>
      <w:tr>
        <w:trPr>
          <w:trHeight w:val="246"/>
        </w:trPr>
        <w:tc>
          <w:tcPr>
            <w:tcW w:w="5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other comprehensive earnings, net of tax</w:t>
            </w:r>
          </w:p>
        </w:tc>
        <w:tc>
          <w:tcPr>
            <w:tcW w:w="10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7,506</w:t>
            </w:r>
          </w:p>
        </w:tc>
        <w:tc>
          <w:tcPr>
            <w:tcW w:w="1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20"/>
                <w:szCs w:val="20"/>
                <w:color w:val="auto"/>
              </w:rPr>
              <w:t>—</w:t>
            </w:r>
          </w:p>
        </w:tc>
        <w:tc>
          <w:tcPr>
            <w:tcW w:w="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572</w:t>
            </w:r>
          </w:p>
        </w:tc>
        <w:tc>
          <w:tcPr>
            <w:tcW w:w="200" w:type="dxa"/>
            <w:vAlign w:val="bottom"/>
            <w:tcBorders>
              <w:right w:val="single" w:sz="8" w:color="CFF0FC"/>
            </w:tcBorders>
            <w:shd w:val="clear" w:color="auto" w:fill="CFF0FC"/>
          </w:tcPr>
          <w:p>
            <w:pPr>
              <w:spacing w:after="0"/>
              <w:rPr>
                <w:sz w:val="21"/>
                <w:szCs w:val="21"/>
                <w:color w:val="auto"/>
              </w:rPr>
            </w:pPr>
          </w:p>
        </w:tc>
        <w:tc>
          <w:tcPr>
            <w:tcW w:w="260" w:type="dxa"/>
            <w:vAlign w:val="bottom"/>
            <w:shd w:val="clear" w:color="auto" w:fill="CFF2FA"/>
          </w:tcPr>
          <w:p>
            <w:pPr>
              <w:spacing w:after="0"/>
              <w:rPr>
                <w:sz w:val="21"/>
                <w:szCs w:val="21"/>
                <w:color w:val="auto"/>
              </w:rPr>
            </w:pPr>
          </w:p>
        </w:tc>
        <w:tc>
          <w:tcPr>
            <w:tcW w:w="1000" w:type="dxa"/>
            <w:vAlign w:val="bottom"/>
            <w:shd w:val="clear" w:color="auto" w:fill="CFF2FA"/>
          </w:tcPr>
          <w:p>
            <w:pPr>
              <w:jc w:val="right"/>
              <w:spacing w:after="0"/>
              <w:rPr>
                <w:sz w:val="20"/>
                <w:szCs w:val="20"/>
                <w:color w:val="auto"/>
              </w:rPr>
            </w:pPr>
            <w:r>
              <w:rPr>
                <w:rFonts w:ascii="Arial" w:cs="Arial" w:eastAsia="Arial" w:hAnsi="Arial"/>
                <w:sz w:val="20"/>
                <w:szCs w:val="20"/>
                <w:color w:val="auto"/>
              </w:rPr>
              <w:t>8,078</w:t>
            </w:r>
          </w:p>
        </w:tc>
        <w:tc>
          <w:tcPr>
            <w:tcW w:w="100" w:type="dxa"/>
            <w:vAlign w:val="bottom"/>
            <w:shd w:val="clear" w:color="auto" w:fill="CFF2FA"/>
          </w:tcPr>
          <w:p>
            <w:pPr>
              <w:spacing w:after="0"/>
              <w:rPr>
                <w:sz w:val="21"/>
                <w:szCs w:val="21"/>
                <w:color w:val="auto"/>
              </w:rPr>
            </w:pPr>
          </w:p>
        </w:tc>
      </w:tr>
      <w:tr>
        <w:trPr>
          <w:trHeight w:val="237"/>
        </w:trPr>
        <w:tc>
          <w:tcPr>
            <w:tcW w:w="5740" w:type="dxa"/>
            <w:vAlign w:val="bottom"/>
            <w:tcBorders>
              <w:bottom w:val="single" w:sz="8" w:color="CFF0FC"/>
            </w:tcBorders>
          </w:tcPr>
          <w:p>
            <w:pPr>
              <w:spacing w:after="0"/>
              <w:rPr>
                <w:sz w:val="20"/>
                <w:szCs w:val="20"/>
                <w:color w:val="auto"/>
              </w:rPr>
            </w:pPr>
            <w:r>
              <w:rPr>
                <w:rFonts w:ascii="Arial" w:cs="Arial" w:eastAsia="Arial" w:hAnsi="Arial"/>
                <w:sz w:val="20"/>
                <w:szCs w:val="20"/>
                <w:color w:val="auto"/>
              </w:rPr>
              <w:t>Other comprehensive (loss) earnings, net of tax</w:t>
            </w:r>
          </w:p>
        </w:tc>
        <w:tc>
          <w:tcPr>
            <w:tcW w:w="10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(3,339)</w:t>
            </w:r>
          </w:p>
        </w:tc>
        <w:tc>
          <w:tcPr>
            <w:tcW w:w="14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(3,816)</w:t>
            </w:r>
          </w:p>
        </w:tc>
        <w:tc>
          <w:tcPr>
            <w:tcW w:w="14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572</w:t>
            </w:r>
          </w:p>
        </w:tc>
        <w:tc>
          <w:tcPr>
            <w:tcW w:w="200" w:type="dxa"/>
            <w:vAlign w:val="bottom"/>
            <w:tcBorders>
              <w:bottom w:val="single" w:sz="8" w:color="CFF0FC"/>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(6,583)</w:t>
            </w:r>
          </w:p>
        </w:tc>
        <w:tc>
          <w:tcPr>
            <w:tcW w:w="100" w:type="dxa"/>
            <w:vAlign w:val="bottom"/>
            <w:tcBorders>
              <w:bottom w:val="single" w:sz="8" w:color="CFF2FA"/>
            </w:tcBorders>
          </w:tcPr>
          <w:p>
            <w:pPr>
              <w:spacing w:after="0"/>
              <w:rPr>
                <w:sz w:val="20"/>
                <w:szCs w:val="20"/>
                <w:color w:val="auto"/>
              </w:rPr>
            </w:pPr>
          </w:p>
        </w:tc>
      </w:tr>
      <w:tr>
        <w:trPr>
          <w:trHeight w:val="237"/>
        </w:trPr>
        <w:tc>
          <w:tcPr>
            <w:tcW w:w="57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Balance at end of period</w:t>
            </w:r>
          </w:p>
        </w:tc>
        <w:tc>
          <w:tcPr>
            <w:tcW w:w="1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20"/>
                <w:szCs w:val="20"/>
                <w:color w:val="auto"/>
                <w:w w:val="71"/>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(110,027)</w:t>
            </w:r>
          </w:p>
        </w:tc>
        <w:tc>
          <w:tcPr>
            <w:tcW w:w="14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(538)</w:t>
            </w:r>
          </w:p>
        </w:tc>
        <w:tc>
          <w:tcPr>
            <w:tcW w:w="14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20"/>
                <w:szCs w:val="20"/>
                <w:color w:val="auto"/>
                <w:w w:val="8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(2,177)</w:t>
            </w:r>
          </w:p>
        </w:tc>
        <w:tc>
          <w:tcPr>
            <w:tcW w:w="200" w:type="dxa"/>
            <w:vAlign w:val="bottom"/>
            <w:tcBorders>
              <w:bottom w:val="single" w:sz="8" w:color="CFF0FC"/>
              <w:right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2FA"/>
          </w:tcPr>
          <w:p>
            <w:pPr>
              <w:spacing w:after="0"/>
              <w:rPr>
                <w:sz w:val="20"/>
                <w:szCs w:val="20"/>
                <w:color w:val="auto"/>
              </w:rPr>
            </w:pPr>
            <w:r>
              <w:rPr>
                <w:rFonts w:ascii="Arial" w:cs="Arial" w:eastAsia="Arial" w:hAnsi="Arial"/>
                <w:sz w:val="20"/>
                <w:szCs w:val="20"/>
                <w:color w:val="auto"/>
              </w:rPr>
              <w:t>$</w:t>
            </w:r>
          </w:p>
        </w:tc>
        <w:tc>
          <w:tcPr>
            <w:tcW w:w="100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20"/>
                <w:szCs w:val="20"/>
                <w:color w:val="auto"/>
              </w:rPr>
              <w:t>(112,742)</w:t>
            </w:r>
          </w:p>
        </w:tc>
        <w:tc>
          <w:tcPr>
            <w:tcW w:w="100" w:type="dxa"/>
            <w:vAlign w:val="bottom"/>
            <w:tcBorders>
              <w:bottom w:val="single" w:sz="8" w:color="CFF2FA"/>
            </w:tcBorders>
            <w:shd w:val="clear" w:color="auto" w:fill="CFF2FA"/>
          </w:tcPr>
          <w:p>
            <w:pPr>
              <w:spacing w:after="0"/>
              <w:rPr>
                <w:sz w:val="20"/>
                <w:szCs w:val="20"/>
                <w:color w:val="auto"/>
              </w:rPr>
            </w:pPr>
          </w:p>
        </w:tc>
      </w:tr>
      <w:tr>
        <w:trPr>
          <w:trHeight w:val="20"/>
        </w:trPr>
        <w:tc>
          <w:tcPr>
            <w:tcW w:w="5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67"/>
        </w:trPr>
        <w:tc>
          <w:tcPr>
            <w:tcW w:w="5740" w:type="dxa"/>
            <w:vAlign w:val="bottom"/>
            <w:tcBorders>
              <w:bottom w:val="single" w:sz="8" w:color="CFF0FC"/>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gridSpan w:val="11"/>
          </w:tcPr>
          <w:p>
            <w:pPr>
              <w:jc w:val="center"/>
              <w:ind w:left="781"/>
              <w:spacing w:after="0"/>
              <w:rPr>
                <w:sz w:val="20"/>
                <w:szCs w:val="20"/>
                <w:color w:val="auto"/>
              </w:rPr>
            </w:pPr>
            <w:r>
              <w:rPr>
                <w:rFonts w:ascii="Arial" w:cs="Arial" w:eastAsia="Arial" w:hAnsi="Arial"/>
                <w:sz w:val="20"/>
                <w:szCs w:val="20"/>
                <w:color w:val="auto"/>
                <w:w w:val="89"/>
              </w:rPr>
              <w:t>Nine Months Ended September 30, 2014</w:t>
            </w: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CFF0FC"/>
            </w:tcBorders>
          </w:tcPr>
          <w:p>
            <w:pPr>
              <w:spacing w:after="0"/>
              <w:rPr>
                <w:sz w:val="24"/>
                <w:szCs w:val="24"/>
                <w:color w:val="auto"/>
              </w:rPr>
            </w:pPr>
          </w:p>
        </w:tc>
      </w:tr>
      <w:tr>
        <w:trPr>
          <w:trHeight w:val="237"/>
        </w:trPr>
        <w:tc>
          <w:tcPr>
            <w:tcW w:w="5740" w:type="dxa"/>
            <w:vAlign w:val="bottom"/>
            <w:shd w:val="clear" w:color="auto" w:fill="CFF0FC"/>
          </w:tcPr>
          <w:p>
            <w:pPr>
              <w:spacing w:after="0"/>
              <w:rPr>
                <w:sz w:val="20"/>
                <w:szCs w:val="20"/>
                <w:color w:val="auto"/>
              </w:rPr>
            </w:pPr>
            <w:r>
              <w:rPr>
                <w:rFonts w:ascii="Arial" w:cs="Arial" w:eastAsia="Arial" w:hAnsi="Arial"/>
                <w:sz w:val="20"/>
                <w:szCs w:val="20"/>
                <w:color w:val="auto"/>
              </w:rPr>
              <w:t>Balance at beginning of period</w:t>
            </w:r>
          </w:p>
        </w:tc>
        <w:tc>
          <w:tcPr>
            <w:tcW w:w="100" w:type="dxa"/>
            <w:vAlign w:val="bottom"/>
            <w:shd w:val="clear" w:color="auto" w:fill="CFF0FC"/>
          </w:tcPr>
          <w:p>
            <w:pPr>
              <w:spacing w:after="0"/>
              <w:rPr>
                <w:sz w:val="20"/>
                <w:szCs w:val="20"/>
                <w:color w:val="auto"/>
              </w:rPr>
            </w:pPr>
            <w:r>
              <w:rPr>
                <w:rFonts w:ascii="Arial" w:cs="Arial" w:eastAsia="Arial" w:hAnsi="Arial"/>
                <w:sz w:val="20"/>
                <w:szCs w:val="20"/>
                <w:color w:val="auto"/>
                <w:w w:val="71"/>
              </w:rPr>
              <w:t>$</w:t>
            </w: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20"/>
                <w:szCs w:val="20"/>
                <w:color w:val="auto"/>
              </w:rPr>
              <w:t>(44,549)</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3,902</w:t>
            </w:r>
          </w:p>
        </w:tc>
        <w:tc>
          <w:tcPr>
            <w:tcW w:w="140" w:type="dxa"/>
            <w:vAlign w:val="bottom"/>
            <w:shd w:val="clear" w:color="auto" w:fill="CFF0FC"/>
          </w:tcPr>
          <w:p>
            <w:pPr>
              <w:spacing w:after="0"/>
              <w:rPr>
                <w:sz w:val="20"/>
                <w:szCs w:val="20"/>
                <w:color w:val="auto"/>
              </w:rPr>
            </w:pPr>
          </w:p>
        </w:tc>
        <w:tc>
          <w:tcPr>
            <w:tcW w:w="200" w:type="dxa"/>
            <w:vAlign w:val="bottom"/>
            <w:gridSpan w:val="2"/>
            <w:shd w:val="clear" w:color="auto" w:fill="CFF0FC"/>
          </w:tcPr>
          <w:p>
            <w:pPr>
              <w:ind w:left="80"/>
              <w:spacing w:after="0"/>
              <w:rPr>
                <w:sz w:val="20"/>
                <w:szCs w:val="20"/>
                <w:color w:val="auto"/>
              </w:rPr>
            </w:pPr>
            <w:r>
              <w:rPr>
                <w:rFonts w:ascii="Arial" w:cs="Arial" w:eastAsia="Arial" w:hAnsi="Arial"/>
                <w:sz w:val="20"/>
                <w:szCs w:val="20"/>
                <w:color w:val="auto"/>
                <w:w w:val="89"/>
              </w:rPr>
              <w:t>$</w:t>
            </w:r>
          </w:p>
        </w:tc>
        <w:tc>
          <w:tcPr>
            <w:tcW w:w="144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20"/>
                <w:szCs w:val="20"/>
                <w:color w:val="auto"/>
              </w:rPr>
              <w:t>(3,467)</w:t>
            </w:r>
          </w:p>
        </w:tc>
        <w:tc>
          <w:tcPr>
            <w:tcW w:w="260" w:type="dxa"/>
            <w:vAlign w:val="bottom"/>
            <w:shd w:val="clear" w:color="auto" w:fill="CFF0FC"/>
          </w:tcPr>
          <w:p>
            <w:pPr>
              <w:spacing w:after="0"/>
              <w:rPr>
                <w:sz w:val="20"/>
                <w:szCs w:val="20"/>
                <w:color w:val="auto"/>
              </w:rPr>
            </w:pPr>
            <w:r>
              <w:rPr>
                <w:rFonts w:ascii="Arial" w:cs="Arial" w:eastAsia="Arial" w:hAnsi="Arial"/>
                <w:sz w:val="20"/>
                <w:szCs w:val="20"/>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(44,114)</w:t>
            </w:r>
          </w:p>
        </w:tc>
        <w:tc>
          <w:tcPr>
            <w:tcW w:w="100" w:type="dxa"/>
            <w:vAlign w:val="bottom"/>
            <w:shd w:val="clear" w:color="auto" w:fill="CFF0FC"/>
          </w:tcPr>
          <w:p>
            <w:pPr>
              <w:spacing w:after="0"/>
              <w:rPr>
                <w:sz w:val="20"/>
                <w:szCs w:val="20"/>
                <w:color w:val="auto"/>
              </w:rPr>
            </w:pPr>
          </w:p>
        </w:tc>
      </w:tr>
      <w:tr>
        <w:trPr>
          <w:trHeight w:val="220"/>
        </w:trPr>
        <w:tc>
          <w:tcPr>
            <w:tcW w:w="5740" w:type="dxa"/>
            <w:vAlign w:val="bottom"/>
          </w:tcPr>
          <w:p>
            <w:pPr>
              <w:spacing w:after="0" w:line="220" w:lineRule="exact"/>
              <w:rPr>
                <w:sz w:val="20"/>
                <w:szCs w:val="20"/>
                <w:color w:val="auto"/>
              </w:rPr>
            </w:pPr>
            <w:r>
              <w:rPr>
                <w:rFonts w:ascii="Arial" w:cs="Arial" w:eastAsia="Arial" w:hAnsi="Arial"/>
                <w:sz w:val="20"/>
                <w:szCs w:val="20"/>
                <w:color w:val="auto"/>
              </w:rPr>
              <w:t>Other comprehensive (loss) earnings before</w:t>
            </w:r>
          </w:p>
        </w:tc>
        <w:tc>
          <w:tcPr>
            <w:tcW w:w="1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46"/>
        </w:trPr>
        <w:tc>
          <w:tcPr>
            <w:tcW w:w="5740" w:type="dxa"/>
            <w:vAlign w:val="bottom"/>
          </w:tcPr>
          <w:p>
            <w:pPr>
              <w:ind w:left="260"/>
              <w:spacing w:after="0"/>
              <w:rPr>
                <w:sz w:val="20"/>
                <w:szCs w:val="20"/>
                <w:color w:val="auto"/>
              </w:rPr>
            </w:pPr>
            <w:r>
              <w:rPr>
                <w:rFonts w:ascii="Arial" w:cs="Arial" w:eastAsia="Arial" w:hAnsi="Arial"/>
                <w:sz w:val="20"/>
                <w:szCs w:val="20"/>
                <w:color w:val="auto"/>
              </w:rPr>
              <w:t>reclassifications, net of tax</w:t>
            </w:r>
          </w:p>
        </w:tc>
        <w:tc>
          <w:tcPr>
            <w:tcW w:w="100" w:type="dxa"/>
            <w:vAlign w:val="bottom"/>
          </w:tcPr>
          <w:p>
            <w:pPr>
              <w:spacing w:after="0"/>
              <w:rPr>
                <w:sz w:val="21"/>
                <w:szCs w:val="21"/>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20"/>
                <w:szCs w:val="20"/>
                <w:color w:val="auto"/>
              </w:rPr>
              <w:t>(431)</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290</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20"/>
                <w:szCs w:val="20"/>
                <w:color w:val="auto"/>
              </w:rPr>
              <w:t>—</w:t>
            </w:r>
          </w:p>
        </w:tc>
        <w:tc>
          <w:tcPr>
            <w:tcW w:w="260" w:type="dxa"/>
            <w:vAlign w:val="bottom"/>
          </w:tcPr>
          <w:p>
            <w:pPr>
              <w:spacing w:after="0"/>
              <w:rPr>
                <w:sz w:val="21"/>
                <w:szCs w:val="21"/>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20"/>
                <w:szCs w:val="20"/>
                <w:color w:val="auto"/>
              </w:rPr>
              <w:t>(141)</w:t>
            </w:r>
          </w:p>
        </w:tc>
      </w:tr>
      <w:tr>
        <w:trPr>
          <w:trHeight w:val="226"/>
        </w:trPr>
        <w:tc>
          <w:tcPr>
            <w:tcW w:w="574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rPr>
              <w:t>Amounts reclassified from accumulated</w:t>
            </w: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00" w:type="dxa"/>
            <w:vAlign w:val="bottom"/>
            <w:tcBorders>
              <w:right w:val="single" w:sz="8" w:color="CFF0FC"/>
            </w:tcBorders>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6"/>
        </w:trPr>
        <w:tc>
          <w:tcPr>
            <w:tcW w:w="5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other comprehensive earnings, net of tax</w:t>
            </w:r>
          </w:p>
        </w:tc>
        <w:tc>
          <w:tcPr>
            <w:tcW w:w="10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441</w:t>
            </w:r>
          </w:p>
        </w:tc>
        <w:tc>
          <w:tcPr>
            <w:tcW w:w="1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20"/>
                <w:szCs w:val="20"/>
                <w:color w:val="auto"/>
              </w:rPr>
              <w:t>—</w:t>
            </w:r>
          </w:p>
        </w:tc>
        <w:tc>
          <w:tcPr>
            <w:tcW w:w="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533</w:t>
            </w:r>
          </w:p>
        </w:tc>
        <w:tc>
          <w:tcPr>
            <w:tcW w:w="200" w:type="dxa"/>
            <w:vAlign w:val="bottom"/>
            <w:tcBorders>
              <w:right w:val="single" w:sz="8" w:color="CFF0FC"/>
            </w:tcBorders>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974</w:t>
            </w:r>
          </w:p>
        </w:tc>
        <w:tc>
          <w:tcPr>
            <w:tcW w:w="100" w:type="dxa"/>
            <w:vAlign w:val="bottom"/>
            <w:shd w:val="clear" w:color="auto" w:fill="CFF0FC"/>
          </w:tcPr>
          <w:p>
            <w:pPr>
              <w:spacing w:after="0"/>
              <w:rPr>
                <w:sz w:val="21"/>
                <w:szCs w:val="21"/>
                <w:color w:val="auto"/>
              </w:rPr>
            </w:pPr>
          </w:p>
        </w:tc>
      </w:tr>
      <w:tr>
        <w:trPr>
          <w:trHeight w:val="237"/>
        </w:trPr>
        <w:tc>
          <w:tcPr>
            <w:tcW w:w="5740" w:type="dxa"/>
            <w:vAlign w:val="bottom"/>
            <w:tcBorders>
              <w:bottom w:val="single" w:sz="8" w:color="CFF0FC"/>
            </w:tcBorders>
          </w:tcPr>
          <w:p>
            <w:pPr>
              <w:spacing w:after="0"/>
              <w:rPr>
                <w:sz w:val="20"/>
                <w:szCs w:val="20"/>
                <w:color w:val="auto"/>
              </w:rPr>
            </w:pPr>
            <w:r>
              <w:rPr>
                <w:rFonts w:ascii="Arial" w:cs="Arial" w:eastAsia="Arial" w:hAnsi="Arial"/>
                <w:sz w:val="20"/>
                <w:szCs w:val="20"/>
                <w:color w:val="auto"/>
              </w:rPr>
              <w:t>Other comprehensive earnings, net of tax</w:t>
            </w:r>
          </w:p>
        </w:tc>
        <w:tc>
          <w:tcPr>
            <w:tcW w:w="10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10</w:t>
            </w:r>
          </w:p>
        </w:tc>
        <w:tc>
          <w:tcPr>
            <w:tcW w:w="14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290</w:t>
            </w:r>
          </w:p>
        </w:tc>
        <w:tc>
          <w:tcPr>
            <w:tcW w:w="14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533</w:t>
            </w:r>
          </w:p>
        </w:tc>
        <w:tc>
          <w:tcPr>
            <w:tcW w:w="200" w:type="dxa"/>
            <w:vAlign w:val="bottom"/>
            <w:tcBorders>
              <w:bottom w:val="single" w:sz="8" w:color="CFF0FC"/>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833</w:t>
            </w:r>
          </w:p>
        </w:tc>
        <w:tc>
          <w:tcPr>
            <w:tcW w:w="100" w:type="dxa"/>
            <w:vAlign w:val="bottom"/>
            <w:tcBorders>
              <w:bottom w:val="single" w:sz="8" w:color="CFF0FC"/>
            </w:tcBorders>
          </w:tcPr>
          <w:p>
            <w:pPr>
              <w:spacing w:after="0"/>
              <w:rPr>
                <w:sz w:val="20"/>
                <w:szCs w:val="20"/>
                <w:color w:val="auto"/>
              </w:rPr>
            </w:pPr>
          </w:p>
        </w:tc>
      </w:tr>
      <w:tr>
        <w:trPr>
          <w:trHeight w:val="237"/>
        </w:trPr>
        <w:tc>
          <w:tcPr>
            <w:tcW w:w="57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Balance at end of period</w:t>
            </w:r>
          </w:p>
        </w:tc>
        <w:tc>
          <w:tcPr>
            <w:tcW w:w="1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20"/>
                <w:szCs w:val="20"/>
                <w:color w:val="auto"/>
                <w:w w:val="71"/>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(44,539)</w:t>
            </w:r>
          </w:p>
        </w:tc>
        <w:tc>
          <w:tcPr>
            <w:tcW w:w="14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4,192</w:t>
            </w:r>
          </w:p>
        </w:tc>
        <w:tc>
          <w:tcPr>
            <w:tcW w:w="14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20"/>
                <w:szCs w:val="20"/>
                <w:color w:val="auto"/>
                <w:w w:val="8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(2,934)</w:t>
            </w:r>
          </w:p>
        </w:tc>
        <w:tc>
          <w:tcPr>
            <w:tcW w:w="200" w:type="dxa"/>
            <w:vAlign w:val="bottom"/>
            <w:tcBorders>
              <w:bottom w:val="single" w:sz="8" w:color="CFF0FC"/>
              <w:right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20"/>
                <w:szCs w:val="20"/>
                <w:color w:val="auto"/>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(43,281)</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0"/>
        </w:trPr>
        <w:tc>
          <w:tcPr>
            <w:tcW w:w="5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other comprehensive loss before reclassifications for pension and postretirement benefit plans is net of tax of $6,793,000 and $280,000 for the nine months ended September 30, 2015 and 2014, respectively.</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10 of 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September 30, 2015</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NOTES TO CONSOLIDATED FINANCIAL STATEMENTS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207" w:lineRule="exact"/>
        <w:rPr>
          <w:sz w:val="20"/>
          <w:szCs w:val="20"/>
          <w:color w:val="auto"/>
        </w:rPr>
      </w:pPr>
    </w:p>
    <w:p>
      <w:pPr>
        <w:ind w:left="380" w:hanging="372"/>
        <w:spacing w:after="0"/>
        <w:tabs>
          <w:tab w:leader="none" w:pos="380" w:val="left"/>
        </w:tabs>
        <w:numPr>
          <w:ilvl w:val="0"/>
          <w:numId w:val="7"/>
        </w:numPr>
        <w:rPr>
          <w:rFonts w:ascii="Arial" w:cs="Arial" w:eastAsia="Arial" w:hAnsi="Arial"/>
          <w:sz w:val="20"/>
          <w:szCs w:val="20"/>
          <w:b w:val="1"/>
          <w:bCs w:val="1"/>
          <w:color w:val="auto"/>
        </w:rPr>
      </w:pPr>
      <w:r>
        <w:rPr>
          <w:rFonts w:ascii="Arial" w:cs="Arial" w:eastAsia="Arial" w:hAnsi="Arial"/>
          <w:sz w:val="20"/>
          <w:szCs w:val="20"/>
          <w:b w:val="1"/>
          <w:bCs w:val="1"/>
          <w:color w:val="auto"/>
        </w:rPr>
        <w:t>Significant Accounting Policies (continued)</w:t>
      </w:r>
    </w:p>
    <w:p>
      <w:pPr>
        <w:spacing w:after="0" w:line="107" w:lineRule="exact"/>
        <w:rPr>
          <w:rFonts w:ascii="Arial" w:cs="Arial" w:eastAsia="Arial" w:hAnsi="Arial"/>
          <w:sz w:val="20"/>
          <w:szCs w:val="20"/>
          <w:b w:val="1"/>
          <w:bCs w:val="1"/>
          <w:color w:val="auto"/>
        </w:rPr>
      </w:pPr>
    </w:p>
    <w:p>
      <w:pPr>
        <w:ind w:left="380"/>
        <w:spacing w:after="0"/>
        <w:rPr>
          <w:rFonts w:ascii="Arial" w:cs="Arial" w:eastAsia="Arial" w:hAnsi="Arial"/>
          <w:sz w:val="20"/>
          <w:szCs w:val="20"/>
          <w:b w:val="1"/>
          <w:bCs w:val="1"/>
          <w:color w:val="auto"/>
        </w:rPr>
      </w:pPr>
      <w:r>
        <w:rPr>
          <w:rFonts w:ascii="Arial" w:cs="Arial" w:eastAsia="Arial" w:hAnsi="Arial"/>
          <w:sz w:val="20"/>
          <w:szCs w:val="20"/>
          <w:b w:val="1"/>
          <w:bCs w:val="1"/>
          <w:color w:val="auto"/>
        </w:rPr>
        <w:t>Consolidated Comprehensive Earnings/Loss and Accumulated Other Comprehensive Loss (continued)</w:t>
      </w:r>
    </w:p>
    <w:p>
      <w:pPr>
        <w:spacing w:after="0" w:line="113" w:lineRule="exact"/>
        <w:rPr>
          <w:rFonts w:ascii="Arial" w:cs="Arial" w:eastAsia="Arial" w:hAnsi="Arial"/>
          <w:sz w:val="20"/>
          <w:szCs w:val="20"/>
          <w:b w:val="1"/>
          <w:bCs w:val="1"/>
          <w:color w:val="auto"/>
        </w:rPr>
      </w:pPr>
    </w:p>
    <w:p>
      <w:pPr>
        <w:ind w:left="380"/>
        <w:spacing w:after="0"/>
        <w:rPr>
          <w:rFonts w:ascii="Arial" w:cs="Arial" w:eastAsia="Arial" w:hAnsi="Arial"/>
          <w:sz w:val="20"/>
          <w:szCs w:val="20"/>
          <w:b w:val="1"/>
          <w:bCs w:val="1"/>
          <w:color w:val="auto"/>
        </w:rPr>
      </w:pPr>
      <w:r>
        <w:rPr>
          <w:rFonts w:ascii="Arial" w:cs="Arial" w:eastAsia="Arial" w:hAnsi="Arial"/>
          <w:sz w:val="20"/>
          <w:szCs w:val="20"/>
          <w:color w:val="auto"/>
        </w:rPr>
        <w:t>Changes in net noncurrent deferred tax assets recorded in accumulated other comprehensive loss are as follows: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67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gridSpan w:val="6"/>
          </w:tcPr>
          <w:p>
            <w:pPr>
              <w:jc w:val="center"/>
              <w:spacing w:after="0"/>
              <w:rPr>
                <w:sz w:val="20"/>
                <w:szCs w:val="20"/>
                <w:color w:val="auto"/>
              </w:rPr>
            </w:pPr>
            <w:r>
              <w:rPr>
                <w:rFonts w:ascii="Arial" w:cs="Arial" w:eastAsia="Arial" w:hAnsi="Arial"/>
                <w:sz w:val="20"/>
                <w:szCs w:val="20"/>
                <w:i w:val="1"/>
                <w:iCs w:val="1"/>
                <w:color w:val="auto"/>
                <w:w w:val="91"/>
              </w:rPr>
              <w:t>(Dollars in Thousands)</w:t>
            </w:r>
          </w:p>
        </w:tc>
        <w:tc>
          <w:tcPr>
            <w:tcW w:w="76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r>
      <w:tr>
        <w:trPr>
          <w:trHeight w:val="220"/>
        </w:trPr>
        <w:tc>
          <w:tcPr>
            <w:tcW w:w="6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gridSpan w:val="3"/>
          </w:tcPr>
          <w:p>
            <w:pPr>
              <w:jc w:val="center"/>
              <w:ind w:right="380"/>
              <w:spacing w:after="0" w:line="220" w:lineRule="exact"/>
              <w:rPr>
                <w:sz w:val="20"/>
                <w:szCs w:val="20"/>
                <w:color w:val="auto"/>
              </w:rPr>
            </w:pPr>
            <w:r>
              <w:rPr>
                <w:rFonts w:ascii="Arial" w:cs="Arial" w:eastAsia="Arial" w:hAnsi="Arial"/>
                <w:sz w:val="20"/>
                <w:szCs w:val="20"/>
                <w:color w:val="auto"/>
                <w:w w:val="91"/>
              </w:rPr>
              <w:t>Unamortized</w:t>
            </w:r>
          </w:p>
        </w:tc>
        <w:tc>
          <w:tcPr>
            <w:tcW w:w="7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gridSpan w:val="3"/>
          </w:tcPr>
          <w:p>
            <w:pPr>
              <w:jc w:val="center"/>
              <w:ind w:right="360"/>
              <w:spacing w:after="0"/>
              <w:rPr>
                <w:sz w:val="20"/>
                <w:szCs w:val="20"/>
                <w:color w:val="auto"/>
              </w:rPr>
            </w:pPr>
            <w:r>
              <w:rPr>
                <w:rFonts w:ascii="Arial" w:cs="Arial" w:eastAsia="Arial" w:hAnsi="Arial"/>
                <w:sz w:val="20"/>
                <w:szCs w:val="20"/>
                <w:color w:val="auto"/>
                <w:w w:val="89"/>
              </w:rPr>
              <w:t>Value of</w:t>
            </w:r>
          </w:p>
        </w:tc>
        <w:tc>
          <w:tcPr>
            <w:tcW w:w="7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gridSpan w:val="3"/>
          </w:tcPr>
          <w:p>
            <w:pPr>
              <w:jc w:val="center"/>
              <w:ind w:right="360"/>
              <w:spacing w:after="0"/>
              <w:rPr>
                <w:sz w:val="20"/>
                <w:szCs w:val="20"/>
                <w:color w:val="auto"/>
              </w:rPr>
            </w:pPr>
            <w:r>
              <w:rPr>
                <w:rFonts w:ascii="Arial" w:cs="Arial" w:eastAsia="Arial" w:hAnsi="Arial"/>
                <w:sz w:val="20"/>
                <w:szCs w:val="20"/>
                <w:color w:val="auto"/>
                <w:w w:val="88"/>
              </w:rPr>
              <w:t>Terminated</w:t>
            </w:r>
          </w:p>
        </w:tc>
        <w:tc>
          <w:tcPr>
            <w:tcW w:w="7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3"/>
          </w:tcPr>
          <w:p>
            <w:pPr>
              <w:jc w:val="center"/>
              <w:ind w:right="340"/>
              <w:spacing w:after="0"/>
              <w:rPr>
                <w:sz w:val="20"/>
                <w:szCs w:val="20"/>
                <w:color w:val="auto"/>
              </w:rPr>
            </w:pPr>
            <w:r>
              <w:rPr>
                <w:rFonts w:ascii="Arial" w:cs="Arial" w:eastAsia="Arial" w:hAnsi="Arial"/>
                <w:sz w:val="20"/>
                <w:szCs w:val="20"/>
                <w:color w:val="auto"/>
                <w:w w:val="86"/>
              </w:rPr>
              <w:t>Pension and</w:t>
            </w:r>
          </w:p>
        </w:tc>
        <w:tc>
          <w:tcPr>
            <w:tcW w:w="1640" w:type="dxa"/>
            <w:vAlign w:val="bottom"/>
            <w:gridSpan w:val="4"/>
          </w:tcPr>
          <w:p>
            <w:pPr>
              <w:jc w:val="center"/>
              <w:ind w:right="240"/>
              <w:spacing w:after="0"/>
              <w:rPr>
                <w:sz w:val="20"/>
                <w:szCs w:val="20"/>
                <w:color w:val="auto"/>
              </w:rPr>
            </w:pPr>
            <w:r>
              <w:rPr>
                <w:rFonts w:ascii="Arial" w:cs="Arial" w:eastAsia="Arial" w:hAnsi="Arial"/>
                <w:sz w:val="20"/>
                <w:szCs w:val="20"/>
                <w:color w:val="auto"/>
                <w:w w:val="91"/>
              </w:rPr>
              <w:t>Forward Starting</w:t>
            </w:r>
          </w:p>
        </w:tc>
        <w:tc>
          <w:tcPr>
            <w:tcW w:w="1460" w:type="dxa"/>
            <w:vAlign w:val="bottom"/>
            <w:gridSpan w:val="3"/>
          </w:tcPr>
          <w:p>
            <w:pPr>
              <w:jc w:val="center"/>
              <w:ind w:right="140"/>
              <w:spacing w:after="0"/>
              <w:rPr>
                <w:sz w:val="20"/>
                <w:szCs w:val="20"/>
                <w:color w:val="auto"/>
              </w:rPr>
            </w:pPr>
            <w:r>
              <w:rPr>
                <w:rFonts w:ascii="Arial" w:cs="Arial" w:eastAsia="Arial" w:hAnsi="Arial"/>
                <w:sz w:val="20"/>
                <w:szCs w:val="20"/>
                <w:color w:val="auto"/>
                <w:w w:val="91"/>
              </w:rPr>
              <w:t>Net Noncurrent</w:t>
            </w:r>
          </w:p>
        </w:tc>
      </w:tr>
      <w:tr>
        <w:trPr>
          <w:trHeight w:val="230"/>
        </w:trPr>
        <w:tc>
          <w:tcPr>
            <w:tcW w:w="6780" w:type="dxa"/>
            <w:vAlign w:val="bottom"/>
          </w:tcPr>
          <w:p>
            <w:pPr>
              <w:spacing w:after="0"/>
              <w:rPr>
                <w:sz w:val="19"/>
                <w:szCs w:val="19"/>
                <w:color w:val="auto"/>
              </w:rPr>
            </w:pPr>
          </w:p>
        </w:tc>
        <w:tc>
          <w:tcPr>
            <w:tcW w:w="1540" w:type="dxa"/>
            <w:vAlign w:val="bottom"/>
            <w:gridSpan w:val="4"/>
          </w:tcPr>
          <w:p>
            <w:pPr>
              <w:jc w:val="center"/>
              <w:ind w:right="220"/>
              <w:spacing w:after="0"/>
              <w:rPr>
                <w:sz w:val="20"/>
                <w:szCs w:val="20"/>
                <w:color w:val="auto"/>
              </w:rPr>
            </w:pPr>
            <w:r>
              <w:rPr>
                <w:rFonts w:ascii="Arial" w:cs="Arial" w:eastAsia="Arial" w:hAnsi="Arial"/>
                <w:sz w:val="20"/>
                <w:szCs w:val="20"/>
                <w:color w:val="auto"/>
                <w:w w:val="89"/>
              </w:rPr>
              <w:t>Postretirement</w:t>
            </w:r>
          </w:p>
        </w:tc>
        <w:tc>
          <w:tcPr>
            <w:tcW w:w="140" w:type="dxa"/>
            <w:vAlign w:val="bottom"/>
          </w:tcPr>
          <w:p>
            <w:pPr>
              <w:spacing w:after="0"/>
              <w:rPr>
                <w:sz w:val="19"/>
                <w:szCs w:val="19"/>
                <w:color w:val="auto"/>
              </w:rPr>
            </w:pPr>
          </w:p>
        </w:tc>
        <w:tc>
          <w:tcPr>
            <w:tcW w:w="1500" w:type="dxa"/>
            <w:vAlign w:val="bottom"/>
            <w:gridSpan w:val="3"/>
          </w:tcPr>
          <w:p>
            <w:pPr>
              <w:jc w:val="center"/>
              <w:ind w:right="380"/>
              <w:spacing w:after="0"/>
              <w:rPr>
                <w:sz w:val="20"/>
                <w:szCs w:val="20"/>
                <w:color w:val="auto"/>
              </w:rPr>
            </w:pPr>
            <w:r>
              <w:rPr>
                <w:rFonts w:ascii="Arial" w:cs="Arial" w:eastAsia="Arial" w:hAnsi="Arial"/>
                <w:sz w:val="20"/>
                <w:szCs w:val="20"/>
                <w:color w:val="auto"/>
                <w:w w:val="87"/>
              </w:rPr>
              <w:t>Interest Rate</w:t>
            </w:r>
          </w:p>
        </w:tc>
        <w:tc>
          <w:tcPr>
            <w:tcW w:w="1460" w:type="dxa"/>
            <w:vAlign w:val="bottom"/>
            <w:gridSpan w:val="3"/>
          </w:tcPr>
          <w:p>
            <w:pPr>
              <w:jc w:val="center"/>
              <w:ind w:right="140"/>
              <w:spacing w:after="0"/>
              <w:rPr>
                <w:sz w:val="20"/>
                <w:szCs w:val="20"/>
                <w:color w:val="auto"/>
              </w:rPr>
            </w:pPr>
            <w:r>
              <w:rPr>
                <w:rFonts w:ascii="Arial" w:cs="Arial" w:eastAsia="Arial" w:hAnsi="Arial"/>
                <w:sz w:val="20"/>
                <w:szCs w:val="20"/>
                <w:color w:val="auto"/>
                <w:w w:val="89"/>
              </w:rPr>
              <w:t>Deferred Tax</w:t>
            </w:r>
          </w:p>
        </w:tc>
      </w:tr>
      <w:tr>
        <w:trPr>
          <w:trHeight w:val="246"/>
        </w:trPr>
        <w:tc>
          <w:tcPr>
            <w:tcW w:w="67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center"/>
              <w:ind w:right="41"/>
              <w:spacing w:after="0"/>
              <w:rPr>
                <w:sz w:val="20"/>
                <w:szCs w:val="20"/>
                <w:color w:val="auto"/>
              </w:rPr>
            </w:pPr>
            <w:r>
              <w:rPr>
                <w:rFonts w:ascii="Arial" w:cs="Arial" w:eastAsia="Arial" w:hAnsi="Arial"/>
                <w:sz w:val="20"/>
                <w:szCs w:val="20"/>
                <w:color w:val="auto"/>
                <w:w w:val="89"/>
              </w:rPr>
              <w:t>Benefit Plans</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center"/>
              <w:ind w:right="61"/>
              <w:spacing w:after="0"/>
              <w:rPr>
                <w:sz w:val="20"/>
                <w:szCs w:val="20"/>
                <w:color w:val="auto"/>
              </w:rPr>
            </w:pPr>
            <w:r>
              <w:rPr>
                <w:rFonts w:ascii="Arial" w:cs="Arial" w:eastAsia="Arial" w:hAnsi="Arial"/>
                <w:sz w:val="20"/>
                <w:szCs w:val="20"/>
                <w:color w:val="auto"/>
                <w:w w:val="87"/>
              </w:rPr>
              <w:t>Swap</w:t>
            </w:r>
          </w:p>
        </w:tc>
        <w:tc>
          <w:tcPr>
            <w:tcW w:w="1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gridSpan w:val="2"/>
          </w:tcPr>
          <w:p>
            <w:pPr>
              <w:jc w:val="center"/>
              <w:spacing w:after="0"/>
              <w:rPr>
                <w:sz w:val="20"/>
                <w:szCs w:val="20"/>
                <w:color w:val="auto"/>
              </w:rPr>
            </w:pPr>
            <w:r>
              <w:rPr>
                <w:rFonts w:ascii="Arial" w:cs="Arial" w:eastAsia="Arial" w:hAnsi="Arial"/>
                <w:sz w:val="20"/>
                <w:szCs w:val="20"/>
                <w:color w:val="auto"/>
                <w:w w:val="86"/>
              </w:rPr>
              <w:t>Assets</w:t>
            </w:r>
          </w:p>
        </w:tc>
        <w:tc>
          <w:tcPr>
            <w:tcW w:w="120" w:type="dxa"/>
            <w:vAlign w:val="bottom"/>
          </w:tcPr>
          <w:p>
            <w:pPr>
              <w:spacing w:after="0"/>
              <w:rPr>
                <w:sz w:val="21"/>
                <w:szCs w:val="21"/>
                <w:color w:val="auto"/>
              </w:rPr>
            </w:pPr>
          </w:p>
        </w:tc>
      </w:tr>
      <w:tr>
        <w:trPr>
          <w:trHeight w:val="480"/>
        </w:trPr>
        <w:tc>
          <w:tcPr>
            <w:tcW w:w="67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gridSpan w:val="8"/>
          </w:tcPr>
          <w:p>
            <w:pPr>
              <w:jc w:val="center"/>
              <w:ind w:left="361"/>
              <w:spacing w:after="0"/>
              <w:rPr>
                <w:sz w:val="20"/>
                <w:szCs w:val="20"/>
                <w:color w:val="auto"/>
              </w:rPr>
            </w:pPr>
            <w:r>
              <w:rPr>
                <w:rFonts w:ascii="Arial" w:cs="Arial" w:eastAsia="Arial" w:hAnsi="Arial"/>
                <w:sz w:val="20"/>
                <w:szCs w:val="20"/>
                <w:color w:val="auto"/>
                <w:w w:val="88"/>
              </w:rPr>
              <w:t>Three Months Ended September 30, 2015</w:t>
            </w:r>
          </w:p>
        </w:tc>
        <w:tc>
          <w:tcPr>
            <w:tcW w:w="5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37"/>
        </w:trPr>
        <w:tc>
          <w:tcPr>
            <w:tcW w:w="6780" w:type="dxa"/>
            <w:vAlign w:val="bottom"/>
          </w:tcPr>
          <w:p>
            <w:pPr>
              <w:ind w:left="260"/>
              <w:spacing w:after="0"/>
              <w:rPr>
                <w:sz w:val="20"/>
                <w:szCs w:val="20"/>
                <w:color w:val="auto"/>
              </w:rPr>
            </w:pPr>
            <w:r>
              <w:rPr>
                <w:rFonts w:ascii="Arial" w:cs="Arial" w:eastAsia="Arial" w:hAnsi="Arial"/>
                <w:sz w:val="20"/>
                <w:szCs w:val="20"/>
                <w:color w:val="auto"/>
              </w:rPr>
              <w:t>Balance at beginning of period</w:t>
            </w:r>
          </w:p>
        </w:tc>
        <w:tc>
          <w:tcPr>
            <w:tcW w:w="12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200" w:type="dxa"/>
            <w:vAlign w:val="bottom"/>
          </w:tcPr>
          <w:p>
            <w:pPr>
              <w:jc w:val="right"/>
              <w:spacing w:after="0"/>
              <w:rPr>
                <w:sz w:val="20"/>
                <w:szCs w:val="20"/>
                <w:color w:val="auto"/>
              </w:rPr>
            </w:pPr>
            <w:r>
              <w:rPr>
                <w:rFonts w:ascii="Arial" w:cs="Arial" w:eastAsia="Arial" w:hAnsi="Arial"/>
                <w:sz w:val="20"/>
                <w:szCs w:val="20"/>
                <w:color w:val="auto"/>
              </w:rPr>
              <w:t>71,625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280" w:type="dxa"/>
            <w:vAlign w:val="bottom"/>
          </w:tcPr>
          <w:p>
            <w:pPr>
              <w:jc w:val="right"/>
              <w:spacing w:after="0"/>
              <w:rPr>
                <w:sz w:val="20"/>
                <w:szCs w:val="20"/>
                <w:color w:val="auto"/>
              </w:rPr>
            </w:pPr>
            <w:r>
              <w:rPr>
                <w:rFonts w:ascii="Arial" w:cs="Arial" w:eastAsia="Arial" w:hAnsi="Arial"/>
                <w:sz w:val="20"/>
                <w:szCs w:val="20"/>
                <w:color w:val="auto"/>
              </w:rPr>
              <w:t>1,554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ind w:right="561"/>
              <w:spacing w:after="0"/>
              <w:rPr>
                <w:sz w:val="20"/>
                <w:szCs w:val="20"/>
                <w:color w:val="auto"/>
              </w:rPr>
            </w:pPr>
            <w:r>
              <w:rPr>
                <w:rFonts w:ascii="Arial" w:cs="Arial" w:eastAsia="Arial" w:hAnsi="Arial"/>
                <w:sz w:val="20"/>
                <w:szCs w:val="20"/>
                <w:color w:val="auto"/>
                <w:w w:val="71"/>
              </w:rPr>
              <w:t>$</w:t>
            </w:r>
          </w:p>
        </w:tc>
        <w:tc>
          <w:tcPr>
            <w:tcW w:w="580" w:type="dxa"/>
            <w:vAlign w:val="bottom"/>
          </w:tcPr>
          <w:p>
            <w:pPr>
              <w:jc w:val="right"/>
              <w:spacing w:after="0"/>
              <w:rPr>
                <w:sz w:val="20"/>
                <w:szCs w:val="20"/>
                <w:color w:val="auto"/>
              </w:rPr>
            </w:pPr>
            <w:r>
              <w:rPr>
                <w:rFonts w:ascii="Arial" w:cs="Arial" w:eastAsia="Arial" w:hAnsi="Arial"/>
                <w:sz w:val="20"/>
                <w:szCs w:val="20"/>
                <w:color w:val="auto"/>
                <w:w w:val="88"/>
              </w:rPr>
              <w:t>73,179</w:t>
            </w:r>
          </w:p>
        </w:tc>
        <w:tc>
          <w:tcPr>
            <w:tcW w:w="120" w:type="dxa"/>
            <w:vAlign w:val="bottom"/>
          </w:tcPr>
          <w:p>
            <w:pPr>
              <w:spacing w:after="0"/>
              <w:rPr>
                <w:sz w:val="20"/>
                <w:szCs w:val="20"/>
                <w:color w:val="auto"/>
              </w:rPr>
            </w:pPr>
          </w:p>
        </w:tc>
      </w:tr>
      <w:tr>
        <w:trPr>
          <w:trHeight w:val="243"/>
        </w:trPr>
        <w:tc>
          <w:tcPr>
            <w:tcW w:w="6780" w:type="dxa"/>
            <w:vAlign w:val="bottom"/>
            <w:shd w:val="clear" w:color="auto" w:fill="CFF0FC"/>
          </w:tcPr>
          <w:p>
            <w:pPr>
              <w:ind w:left="260"/>
              <w:spacing w:after="0"/>
              <w:rPr>
                <w:sz w:val="20"/>
                <w:szCs w:val="20"/>
                <w:color w:val="auto"/>
              </w:rPr>
            </w:pPr>
            <w:r>
              <w:rPr>
                <w:rFonts w:ascii="Arial" w:cs="Arial" w:eastAsia="Arial" w:hAnsi="Arial"/>
                <w:sz w:val="20"/>
                <w:szCs w:val="20"/>
                <w:color w:val="auto"/>
              </w:rPr>
              <w:t>Tax effect of other comprehensive earnings</w:t>
            </w:r>
          </w:p>
        </w:tc>
        <w:tc>
          <w:tcPr>
            <w:tcW w:w="12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(1,042)</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40"/>
              <w:spacing w:after="0"/>
              <w:rPr>
                <w:sz w:val="20"/>
                <w:szCs w:val="20"/>
                <w:color w:val="auto"/>
              </w:rPr>
            </w:pPr>
            <w:r>
              <w:rPr>
                <w:rFonts w:ascii="Arial" w:cs="Arial" w:eastAsia="Arial" w:hAnsi="Arial"/>
                <w:sz w:val="20"/>
                <w:szCs w:val="20"/>
                <w:color w:val="auto"/>
              </w:rPr>
              <w:t>(125)</w:t>
            </w:r>
          </w:p>
        </w:tc>
        <w:tc>
          <w:tcPr>
            <w:tcW w:w="10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20"/>
                <w:szCs w:val="20"/>
                <w:color w:val="auto"/>
                <w:w w:val="97"/>
              </w:rPr>
              <w:t>(1,167)</w:t>
            </w:r>
          </w:p>
        </w:tc>
      </w:tr>
      <w:tr>
        <w:trPr>
          <w:trHeight w:val="237"/>
        </w:trPr>
        <w:tc>
          <w:tcPr>
            <w:tcW w:w="6780" w:type="dxa"/>
            <w:vAlign w:val="bottom"/>
          </w:tcPr>
          <w:p>
            <w:pPr>
              <w:ind w:left="260"/>
              <w:spacing w:after="0"/>
              <w:rPr>
                <w:sz w:val="20"/>
                <w:szCs w:val="20"/>
                <w:color w:val="auto"/>
              </w:rPr>
            </w:pPr>
            <w:r>
              <w:rPr>
                <w:rFonts w:ascii="Arial" w:cs="Arial" w:eastAsia="Arial" w:hAnsi="Arial"/>
                <w:sz w:val="20"/>
                <w:szCs w:val="20"/>
                <w:color w:val="auto"/>
              </w:rPr>
              <w:t>Balance at end of period</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70,583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1,429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ind w:right="561"/>
              <w:spacing w:after="0"/>
              <w:rPr>
                <w:sz w:val="20"/>
                <w:szCs w:val="20"/>
                <w:color w:val="auto"/>
              </w:rPr>
            </w:pPr>
            <w:r>
              <w:rPr>
                <w:rFonts w:ascii="Arial" w:cs="Arial" w:eastAsia="Arial" w:hAnsi="Arial"/>
                <w:sz w:val="20"/>
                <w:szCs w:val="20"/>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w w:val="88"/>
              </w:rPr>
              <w:t>72,012</w:t>
            </w:r>
          </w:p>
        </w:tc>
        <w:tc>
          <w:tcPr>
            <w:tcW w:w="120" w:type="dxa"/>
            <w:vAlign w:val="bottom"/>
          </w:tcPr>
          <w:p>
            <w:pPr>
              <w:spacing w:after="0"/>
              <w:rPr>
                <w:sz w:val="20"/>
                <w:szCs w:val="20"/>
                <w:color w:val="auto"/>
              </w:rPr>
            </w:pPr>
          </w:p>
        </w:tc>
      </w:tr>
      <w:tr>
        <w:trPr>
          <w:trHeight w:val="20"/>
        </w:trPr>
        <w:tc>
          <w:tcPr>
            <w:tcW w:w="6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67"/>
        </w:trPr>
        <w:tc>
          <w:tcPr>
            <w:tcW w:w="6780" w:type="dxa"/>
            <w:vAlign w:val="bottom"/>
            <w:tcBorders>
              <w:bottom w:val="single" w:sz="8" w:color="CFF0FC"/>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gridSpan w:val="8"/>
          </w:tcPr>
          <w:p>
            <w:pPr>
              <w:jc w:val="center"/>
              <w:ind w:left="361"/>
              <w:spacing w:after="0"/>
              <w:rPr>
                <w:sz w:val="20"/>
                <w:szCs w:val="20"/>
                <w:color w:val="auto"/>
              </w:rPr>
            </w:pPr>
            <w:r>
              <w:rPr>
                <w:rFonts w:ascii="Arial" w:cs="Arial" w:eastAsia="Arial" w:hAnsi="Arial"/>
                <w:sz w:val="20"/>
                <w:szCs w:val="20"/>
                <w:color w:val="auto"/>
                <w:w w:val="88"/>
              </w:rPr>
              <w:t>Three Months Ended September 30, 2014</w:t>
            </w:r>
          </w:p>
        </w:tc>
        <w:tc>
          <w:tcPr>
            <w:tcW w:w="580" w:type="dxa"/>
            <w:vAlign w:val="bottom"/>
            <w:tcBorders>
              <w:bottom w:val="single" w:sz="8" w:color="auto"/>
            </w:tcBorders>
          </w:tcPr>
          <w:p>
            <w:pPr>
              <w:spacing w:after="0"/>
              <w:rPr>
                <w:sz w:val="24"/>
                <w:szCs w:val="24"/>
                <w:color w:val="auto"/>
              </w:rPr>
            </w:pPr>
          </w:p>
        </w:tc>
        <w:tc>
          <w:tcPr>
            <w:tcW w:w="120" w:type="dxa"/>
            <w:vAlign w:val="bottom"/>
            <w:tcBorders>
              <w:bottom w:val="single" w:sz="8" w:color="CFF0FC"/>
            </w:tcBorders>
          </w:tcPr>
          <w:p>
            <w:pPr>
              <w:spacing w:after="0"/>
              <w:rPr>
                <w:sz w:val="24"/>
                <w:szCs w:val="24"/>
                <w:color w:val="auto"/>
              </w:rPr>
            </w:pPr>
          </w:p>
        </w:tc>
      </w:tr>
      <w:tr>
        <w:trPr>
          <w:trHeight w:val="237"/>
        </w:trPr>
        <w:tc>
          <w:tcPr>
            <w:tcW w:w="6780" w:type="dxa"/>
            <w:vAlign w:val="bottom"/>
            <w:shd w:val="clear" w:color="auto" w:fill="CFF0FC"/>
          </w:tcPr>
          <w:p>
            <w:pPr>
              <w:ind w:left="260"/>
              <w:spacing w:after="0"/>
              <w:rPr>
                <w:sz w:val="20"/>
                <w:szCs w:val="20"/>
                <w:color w:val="auto"/>
              </w:rPr>
            </w:pPr>
            <w:r>
              <w:rPr>
                <w:rFonts w:ascii="Arial" w:cs="Arial" w:eastAsia="Arial" w:hAnsi="Arial"/>
                <w:sz w:val="20"/>
                <w:szCs w:val="20"/>
                <w:color w:val="auto"/>
              </w:rPr>
              <w:t>Balance at beginning of period</w:t>
            </w:r>
          </w:p>
        </w:tc>
        <w:tc>
          <w:tcPr>
            <w:tcW w:w="120" w:type="dxa"/>
            <w:vAlign w:val="bottom"/>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29,287</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2,039</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60" w:type="dxa"/>
            <w:vAlign w:val="bottom"/>
            <w:shd w:val="clear" w:color="auto" w:fill="CFF0FC"/>
          </w:tcPr>
          <w:p>
            <w:pPr>
              <w:jc w:val="right"/>
              <w:ind w:right="561"/>
              <w:spacing w:after="0"/>
              <w:rPr>
                <w:sz w:val="20"/>
                <w:szCs w:val="20"/>
                <w:color w:val="auto"/>
              </w:rPr>
            </w:pPr>
            <w:r>
              <w:rPr>
                <w:rFonts w:ascii="Arial" w:cs="Arial" w:eastAsia="Arial" w:hAnsi="Arial"/>
                <w:sz w:val="20"/>
                <w:szCs w:val="20"/>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8"/>
              </w:rPr>
              <w:t>31,326</w:t>
            </w:r>
          </w:p>
        </w:tc>
        <w:tc>
          <w:tcPr>
            <w:tcW w:w="120" w:type="dxa"/>
            <w:vAlign w:val="bottom"/>
            <w:shd w:val="clear" w:color="auto" w:fill="CFF0FC"/>
          </w:tcPr>
          <w:p>
            <w:pPr>
              <w:spacing w:after="0"/>
              <w:rPr>
                <w:sz w:val="20"/>
                <w:szCs w:val="20"/>
                <w:color w:val="auto"/>
              </w:rPr>
            </w:pPr>
          </w:p>
        </w:tc>
      </w:tr>
      <w:tr>
        <w:trPr>
          <w:trHeight w:val="243"/>
        </w:trPr>
        <w:tc>
          <w:tcPr>
            <w:tcW w:w="6780" w:type="dxa"/>
            <w:vAlign w:val="bottom"/>
          </w:tcPr>
          <w:p>
            <w:pPr>
              <w:ind w:left="260"/>
              <w:spacing w:after="0"/>
              <w:rPr>
                <w:sz w:val="20"/>
                <w:szCs w:val="20"/>
                <w:color w:val="auto"/>
              </w:rPr>
            </w:pPr>
            <w:r>
              <w:rPr>
                <w:rFonts w:ascii="Arial" w:cs="Arial" w:eastAsia="Arial" w:hAnsi="Arial"/>
                <w:sz w:val="20"/>
                <w:szCs w:val="20"/>
                <w:color w:val="auto"/>
              </w:rPr>
              <w:t>Tax effect of other comprehensive earnings</w:t>
            </w:r>
          </w:p>
        </w:tc>
        <w:tc>
          <w:tcPr>
            <w:tcW w:w="120" w:type="dxa"/>
            <w:vAlign w:val="bottom"/>
          </w:tcPr>
          <w:p>
            <w:pPr>
              <w:spacing w:after="0"/>
              <w:rPr>
                <w:sz w:val="21"/>
                <w:szCs w:val="21"/>
                <w:color w:val="auto"/>
              </w:rPr>
            </w:pPr>
          </w:p>
        </w:tc>
        <w:tc>
          <w:tcPr>
            <w:tcW w:w="1300" w:type="dxa"/>
            <w:vAlign w:val="bottom"/>
            <w:gridSpan w:val="2"/>
          </w:tcPr>
          <w:p>
            <w:pPr>
              <w:jc w:val="right"/>
              <w:spacing w:after="0"/>
              <w:rPr>
                <w:sz w:val="20"/>
                <w:szCs w:val="20"/>
                <w:color w:val="auto"/>
              </w:rPr>
            </w:pPr>
            <w:r>
              <w:rPr>
                <w:rFonts w:ascii="Arial" w:cs="Arial" w:eastAsia="Arial" w:hAnsi="Arial"/>
                <w:sz w:val="20"/>
                <w:szCs w:val="20"/>
                <w:color w:val="auto"/>
              </w:rPr>
              <w:t>(96)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20"/>
                <w:szCs w:val="20"/>
                <w:color w:val="auto"/>
              </w:rPr>
              <w:t>(120)</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20"/>
                <w:szCs w:val="20"/>
                <w:color w:val="auto"/>
              </w:rPr>
              <w:t>(216)</w:t>
            </w:r>
          </w:p>
        </w:tc>
      </w:tr>
      <w:tr>
        <w:trPr>
          <w:trHeight w:val="237"/>
        </w:trPr>
        <w:tc>
          <w:tcPr>
            <w:tcW w:w="678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20"/>
                <w:szCs w:val="20"/>
                <w:color w:val="auto"/>
              </w:rPr>
              <w:t>Balance at end of period</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29,191</w:t>
            </w: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c>
          <w:tcPr>
            <w:tcW w:w="120" w:type="dxa"/>
            <w:vAlign w:val="bottom"/>
            <w:tcBorders>
              <w:top w:val="single" w:sz="8" w:color="CFF0FC"/>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1,919</w:t>
            </w:r>
          </w:p>
        </w:tc>
        <w:tc>
          <w:tcPr>
            <w:tcW w:w="120" w:type="dxa"/>
            <w:vAlign w:val="bottom"/>
            <w:tcBorders>
              <w:top w:val="single" w:sz="8" w:color="CFF0FC"/>
              <w:bottom w:val="single" w:sz="8" w:color="CFF0FC"/>
            </w:tcBorders>
            <w:shd w:val="clear" w:color="auto" w:fill="CFF0FC"/>
          </w:tcPr>
          <w:p>
            <w:pPr>
              <w:spacing w:after="0"/>
              <w:rPr>
                <w:sz w:val="20"/>
                <w:szCs w:val="20"/>
                <w:color w:val="auto"/>
              </w:rPr>
            </w:pP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c>
          <w:tcPr>
            <w:tcW w:w="760" w:type="dxa"/>
            <w:vAlign w:val="bottom"/>
            <w:tcBorders>
              <w:top w:val="single" w:sz="8" w:color="auto"/>
              <w:bottom w:val="single" w:sz="8" w:color="auto"/>
            </w:tcBorders>
            <w:shd w:val="clear" w:color="auto" w:fill="CFF0FC"/>
          </w:tcPr>
          <w:p>
            <w:pPr>
              <w:jc w:val="right"/>
              <w:ind w:right="561"/>
              <w:spacing w:after="0"/>
              <w:rPr>
                <w:sz w:val="20"/>
                <w:szCs w:val="20"/>
                <w:color w:val="auto"/>
              </w:rPr>
            </w:pPr>
            <w:r>
              <w:rPr>
                <w:rFonts w:ascii="Arial" w:cs="Arial" w:eastAsia="Arial" w:hAnsi="Arial"/>
                <w:sz w:val="20"/>
                <w:szCs w:val="20"/>
                <w:color w:val="auto"/>
                <w:w w:val="71"/>
              </w:rPr>
              <w:t>$</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88"/>
              </w:rPr>
              <w:t>31,110</w:t>
            </w:r>
          </w:p>
        </w:tc>
        <w:tc>
          <w:tcPr>
            <w:tcW w:w="120" w:type="dxa"/>
            <w:vAlign w:val="bottom"/>
            <w:tcBorders>
              <w:top w:val="single" w:sz="8" w:color="CFF0FC"/>
              <w:bottom w:val="single" w:sz="8" w:color="CFF0FC"/>
            </w:tcBorders>
            <w:shd w:val="clear" w:color="auto" w:fill="CFF0FC"/>
          </w:tcPr>
          <w:p>
            <w:pPr>
              <w:spacing w:after="0"/>
              <w:rPr>
                <w:sz w:val="20"/>
                <w:szCs w:val="20"/>
                <w:color w:val="auto"/>
              </w:rPr>
            </w:pPr>
          </w:p>
        </w:tc>
      </w:tr>
      <w:tr>
        <w:trPr>
          <w:trHeight w:val="20"/>
        </w:trPr>
        <w:tc>
          <w:tcPr>
            <w:tcW w:w="6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67"/>
        </w:trPr>
        <w:tc>
          <w:tcPr>
            <w:tcW w:w="67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gridSpan w:val="8"/>
          </w:tcPr>
          <w:p>
            <w:pPr>
              <w:jc w:val="center"/>
              <w:ind w:left="361"/>
              <w:spacing w:after="0"/>
              <w:rPr>
                <w:sz w:val="20"/>
                <w:szCs w:val="20"/>
                <w:color w:val="auto"/>
              </w:rPr>
            </w:pPr>
            <w:r>
              <w:rPr>
                <w:rFonts w:ascii="Arial" w:cs="Arial" w:eastAsia="Arial" w:hAnsi="Arial"/>
                <w:sz w:val="20"/>
                <w:szCs w:val="20"/>
                <w:color w:val="auto"/>
                <w:w w:val="89"/>
              </w:rPr>
              <w:t>Nine Months Ended September 30, 2015</w:t>
            </w:r>
          </w:p>
        </w:tc>
        <w:tc>
          <w:tcPr>
            <w:tcW w:w="5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37"/>
        </w:trPr>
        <w:tc>
          <w:tcPr>
            <w:tcW w:w="6780" w:type="dxa"/>
            <w:vAlign w:val="bottom"/>
          </w:tcPr>
          <w:p>
            <w:pPr>
              <w:ind w:left="260"/>
              <w:spacing w:after="0"/>
              <w:rPr>
                <w:sz w:val="20"/>
                <w:szCs w:val="20"/>
                <w:color w:val="auto"/>
              </w:rPr>
            </w:pPr>
            <w:r>
              <w:rPr>
                <w:rFonts w:ascii="Arial" w:cs="Arial" w:eastAsia="Arial" w:hAnsi="Arial"/>
                <w:sz w:val="20"/>
                <w:szCs w:val="20"/>
                <w:color w:val="auto"/>
              </w:rPr>
              <w:t>Balance at beginning of period</w:t>
            </w:r>
          </w:p>
        </w:tc>
        <w:tc>
          <w:tcPr>
            <w:tcW w:w="12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200" w:type="dxa"/>
            <w:vAlign w:val="bottom"/>
          </w:tcPr>
          <w:p>
            <w:pPr>
              <w:jc w:val="right"/>
              <w:spacing w:after="0"/>
              <w:rPr>
                <w:sz w:val="20"/>
                <w:szCs w:val="20"/>
                <w:color w:val="auto"/>
              </w:rPr>
            </w:pPr>
            <w:r>
              <w:rPr>
                <w:rFonts w:ascii="Arial" w:cs="Arial" w:eastAsia="Arial" w:hAnsi="Arial"/>
                <w:sz w:val="20"/>
                <w:szCs w:val="20"/>
                <w:color w:val="auto"/>
              </w:rPr>
              <w:t>68,568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280" w:type="dxa"/>
            <w:vAlign w:val="bottom"/>
          </w:tcPr>
          <w:p>
            <w:pPr>
              <w:jc w:val="right"/>
              <w:spacing w:after="0"/>
              <w:rPr>
                <w:sz w:val="20"/>
                <w:szCs w:val="20"/>
                <w:color w:val="auto"/>
              </w:rPr>
            </w:pPr>
            <w:r>
              <w:rPr>
                <w:rFonts w:ascii="Arial" w:cs="Arial" w:eastAsia="Arial" w:hAnsi="Arial"/>
                <w:sz w:val="20"/>
                <w:szCs w:val="20"/>
                <w:color w:val="auto"/>
              </w:rPr>
              <w:t>1,799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ind w:right="561"/>
              <w:spacing w:after="0"/>
              <w:rPr>
                <w:sz w:val="20"/>
                <w:szCs w:val="20"/>
                <w:color w:val="auto"/>
              </w:rPr>
            </w:pPr>
            <w:r>
              <w:rPr>
                <w:rFonts w:ascii="Arial" w:cs="Arial" w:eastAsia="Arial" w:hAnsi="Arial"/>
                <w:sz w:val="20"/>
                <w:szCs w:val="20"/>
                <w:color w:val="auto"/>
                <w:w w:val="71"/>
              </w:rPr>
              <w:t>$</w:t>
            </w:r>
          </w:p>
        </w:tc>
        <w:tc>
          <w:tcPr>
            <w:tcW w:w="580" w:type="dxa"/>
            <w:vAlign w:val="bottom"/>
          </w:tcPr>
          <w:p>
            <w:pPr>
              <w:jc w:val="right"/>
              <w:spacing w:after="0"/>
              <w:rPr>
                <w:sz w:val="20"/>
                <w:szCs w:val="20"/>
                <w:color w:val="auto"/>
              </w:rPr>
            </w:pPr>
            <w:r>
              <w:rPr>
                <w:rFonts w:ascii="Arial" w:cs="Arial" w:eastAsia="Arial" w:hAnsi="Arial"/>
                <w:sz w:val="20"/>
                <w:szCs w:val="20"/>
                <w:color w:val="auto"/>
                <w:w w:val="88"/>
              </w:rPr>
              <w:t>70,367</w:t>
            </w:r>
          </w:p>
        </w:tc>
        <w:tc>
          <w:tcPr>
            <w:tcW w:w="120" w:type="dxa"/>
            <w:vAlign w:val="bottom"/>
          </w:tcPr>
          <w:p>
            <w:pPr>
              <w:spacing w:after="0"/>
              <w:rPr>
                <w:sz w:val="20"/>
                <w:szCs w:val="20"/>
                <w:color w:val="auto"/>
              </w:rPr>
            </w:pPr>
          </w:p>
        </w:tc>
      </w:tr>
      <w:tr>
        <w:trPr>
          <w:trHeight w:val="243"/>
        </w:trPr>
        <w:tc>
          <w:tcPr>
            <w:tcW w:w="6780" w:type="dxa"/>
            <w:vAlign w:val="bottom"/>
            <w:shd w:val="clear" w:color="auto" w:fill="CFF0FC"/>
          </w:tcPr>
          <w:p>
            <w:pPr>
              <w:ind w:left="260"/>
              <w:spacing w:after="0"/>
              <w:rPr>
                <w:sz w:val="20"/>
                <w:szCs w:val="20"/>
                <w:color w:val="auto"/>
              </w:rPr>
            </w:pPr>
            <w:r>
              <w:rPr>
                <w:rFonts w:ascii="Arial" w:cs="Arial" w:eastAsia="Arial" w:hAnsi="Arial"/>
                <w:sz w:val="20"/>
                <w:szCs w:val="20"/>
                <w:color w:val="auto"/>
              </w:rPr>
              <w:t>Tax effect of other comprehensive earnings</w:t>
            </w:r>
          </w:p>
        </w:tc>
        <w:tc>
          <w:tcPr>
            <w:tcW w:w="12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2,015</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40"/>
              <w:spacing w:after="0"/>
              <w:rPr>
                <w:sz w:val="20"/>
                <w:szCs w:val="20"/>
                <w:color w:val="auto"/>
              </w:rPr>
            </w:pPr>
            <w:r>
              <w:rPr>
                <w:rFonts w:ascii="Arial" w:cs="Arial" w:eastAsia="Arial" w:hAnsi="Arial"/>
                <w:sz w:val="20"/>
                <w:szCs w:val="20"/>
                <w:color w:val="auto"/>
              </w:rPr>
              <w:t>(370)</w:t>
            </w:r>
          </w:p>
        </w:tc>
        <w:tc>
          <w:tcPr>
            <w:tcW w:w="10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1,645</w:t>
            </w:r>
          </w:p>
        </w:tc>
        <w:tc>
          <w:tcPr>
            <w:tcW w:w="120" w:type="dxa"/>
            <w:vAlign w:val="bottom"/>
            <w:shd w:val="clear" w:color="auto" w:fill="CFF0FC"/>
          </w:tcPr>
          <w:p>
            <w:pPr>
              <w:spacing w:after="0"/>
              <w:rPr>
                <w:sz w:val="21"/>
                <w:szCs w:val="21"/>
                <w:color w:val="auto"/>
              </w:rPr>
            </w:pPr>
          </w:p>
        </w:tc>
      </w:tr>
      <w:tr>
        <w:trPr>
          <w:trHeight w:val="237"/>
        </w:trPr>
        <w:tc>
          <w:tcPr>
            <w:tcW w:w="6780" w:type="dxa"/>
            <w:vAlign w:val="bottom"/>
          </w:tcPr>
          <w:p>
            <w:pPr>
              <w:ind w:left="260"/>
              <w:spacing w:after="0"/>
              <w:rPr>
                <w:sz w:val="20"/>
                <w:szCs w:val="20"/>
                <w:color w:val="auto"/>
              </w:rPr>
            </w:pPr>
            <w:r>
              <w:rPr>
                <w:rFonts w:ascii="Arial" w:cs="Arial" w:eastAsia="Arial" w:hAnsi="Arial"/>
                <w:sz w:val="20"/>
                <w:szCs w:val="20"/>
                <w:color w:val="auto"/>
              </w:rPr>
              <w:t>Balance at end of period</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70,583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1,429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ind w:right="561"/>
              <w:spacing w:after="0"/>
              <w:rPr>
                <w:sz w:val="20"/>
                <w:szCs w:val="20"/>
                <w:color w:val="auto"/>
              </w:rPr>
            </w:pPr>
            <w:r>
              <w:rPr>
                <w:rFonts w:ascii="Arial" w:cs="Arial" w:eastAsia="Arial" w:hAnsi="Arial"/>
                <w:sz w:val="20"/>
                <w:szCs w:val="20"/>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w w:val="88"/>
              </w:rPr>
              <w:t>72,012</w:t>
            </w:r>
          </w:p>
        </w:tc>
        <w:tc>
          <w:tcPr>
            <w:tcW w:w="120" w:type="dxa"/>
            <w:vAlign w:val="bottom"/>
          </w:tcPr>
          <w:p>
            <w:pPr>
              <w:spacing w:after="0"/>
              <w:rPr>
                <w:sz w:val="20"/>
                <w:szCs w:val="20"/>
                <w:color w:val="auto"/>
              </w:rPr>
            </w:pPr>
          </w:p>
        </w:tc>
      </w:tr>
      <w:tr>
        <w:trPr>
          <w:trHeight w:val="20"/>
        </w:trPr>
        <w:tc>
          <w:tcPr>
            <w:tcW w:w="6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67"/>
        </w:trPr>
        <w:tc>
          <w:tcPr>
            <w:tcW w:w="6780" w:type="dxa"/>
            <w:vAlign w:val="bottom"/>
            <w:tcBorders>
              <w:bottom w:val="single" w:sz="8" w:color="CFF0FC"/>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gridSpan w:val="8"/>
          </w:tcPr>
          <w:p>
            <w:pPr>
              <w:jc w:val="center"/>
              <w:ind w:left="361"/>
              <w:spacing w:after="0"/>
              <w:rPr>
                <w:sz w:val="20"/>
                <w:szCs w:val="20"/>
                <w:color w:val="auto"/>
              </w:rPr>
            </w:pPr>
            <w:r>
              <w:rPr>
                <w:rFonts w:ascii="Arial" w:cs="Arial" w:eastAsia="Arial" w:hAnsi="Arial"/>
                <w:sz w:val="20"/>
                <w:szCs w:val="20"/>
                <w:color w:val="auto"/>
                <w:w w:val="89"/>
              </w:rPr>
              <w:t>Nine Months Ended September 30, 2014</w:t>
            </w:r>
          </w:p>
        </w:tc>
        <w:tc>
          <w:tcPr>
            <w:tcW w:w="580" w:type="dxa"/>
            <w:vAlign w:val="bottom"/>
            <w:tcBorders>
              <w:bottom w:val="single" w:sz="8" w:color="auto"/>
            </w:tcBorders>
          </w:tcPr>
          <w:p>
            <w:pPr>
              <w:spacing w:after="0"/>
              <w:rPr>
                <w:sz w:val="24"/>
                <w:szCs w:val="24"/>
                <w:color w:val="auto"/>
              </w:rPr>
            </w:pPr>
          </w:p>
        </w:tc>
        <w:tc>
          <w:tcPr>
            <w:tcW w:w="120" w:type="dxa"/>
            <w:vAlign w:val="bottom"/>
            <w:tcBorders>
              <w:bottom w:val="single" w:sz="8" w:color="CFF0FC"/>
            </w:tcBorders>
          </w:tcPr>
          <w:p>
            <w:pPr>
              <w:spacing w:after="0"/>
              <w:rPr>
                <w:sz w:val="24"/>
                <w:szCs w:val="24"/>
                <w:color w:val="auto"/>
              </w:rPr>
            </w:pPr>
          </w:p>
        </w:tc>
      </w:tr>
      <w:tr>
        <w:trPr>
          <w:trHeight w:val="237"/>
        </w:trPr>
        <w:tc>
          <w:tcPr>
            <w:tcW w:w="6780" w:type="dxa"/>
            <w:vAlign w:val="bottom"/>
            <w:shd w:val="clear" w:color="auto" w:fill="CFF0FC"/>
          </w:tcPr>
          <w:p>
            <w:pPr>
              <w:ind w:left="260"/>
              <w:spacing w:after="0"/>
              <w:rPr>
                <w:sz w:val="20"/>
                <w:szCs w:val="20"/>
                <w:color w:val="auto"/>
              </w:rPr>
            </w:pPr>
            <w:r>
              <w:rPr>
                <w:rFonts w:ascii="Arial" w:cs="Arial" w:eastAsia="Arial" w:hAnsi="Arial"/>
                <w:sz w:val="20"/>
                <w:szCs w:val="20"/>
                <w:color w:val="auto"/>
              </w:rPr>
              <w:t>Balance at beginning of period</w:t>
            </w:r>
          </w:p>
        </w:tc>
        <w:tc>
          <w:tcPr>
            <w:tcW w:w="120" w:type="dxa"/>
            <w:vAlign w:val="bottom"/>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29,198</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2,269</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60" w:type="dxa"/>
            <w:vAlign w:val="bottom"/>
            <w:shd w:val="clear" w:color="auto" w:fill="CFF0FC"/>
          </w:tcPr>
          <w:p>
            <w:pPr>
              <w:jc w:val="right"/>
              <w:ind w:right="561"/>
              <w:spacing w:after="0"/>
              <w:rPr>
                <w:sz w:val="20"/>
                <w:szCs w:val="20"/>
                <w:color w:val="auto"/>
              </w:rPr>
            </w:pPr>
            <w:r>
              <w:rPr>
                <w:rFonts w:ascii="Arial" w:cs="Arial" w:eastAsia="Arial" w:hAnsi="Arial"/>
                <w:sz w:val="20"/>
                <w:szCs w:val="20"/>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8"/>
              </w:rPr>
              <w:t>31,467</w:t>
            </w:r>
          </w:p>
        </w:tc>
        <w:tc>
          <w:tcPr>
            <w:tcW w:w="120" w:type="dxa"/>
            <w:vAlign w:val="bottom"/>
            <w:shd w:val="clear" w:color="auto" w:fill="CFF0FC"/>
          </w:tcPr>
          <w:p>
            <w:pPr>
              <w:spacing w:after="0"/>
              <w:rPr>
                <w:sz w:val="20"/>
                <w:szCs w:val="20"/>
                <w:color w:val="auto"/>
              </w:rPr>
            </w:pPr>
          </w:p>
        </w:tc>
      </w:tr>
      <w:tr>
        <w:trPr>
          <w:trHeight w:val="243"/>
        </w:trPr>
        <w:tc>
          <w:tcPr>
            <w:tcW w:w="6780" w:type="dxa"/>
            <w:vAlign w:val="bottom"/>
          </w:tcPr>
          <w:p>
            <w:pPr>
              <w:ind w:left="260"/>
              <w:spacing w:after="0"/>
              <w:rPr>
                <w:sz w:val="20"/>
                <w:szCs w:val="20"/>
                <w:color w:val="auto"/>
              </w:rPr>
            </w:pPr>
            <w:r>
              <w:rPr>
                <w:rFonts w:ascii="Arial" w:cs="Arial" w:eastAsia="Arial" w:hAnsi="Arial"/>
                <w:sz w:val="20"/>
                <w:szCs w:val="20"/>
                <w:color w:val="auto"/>
              </w:rPr>
              <w:t>Tax effect of other comprehensive earnings</w:t>
            </w:r>
          </w:p>
        </w:tc>
        <w:tc>
          <w:tcPr>
            <w:tcW w:w="120" w:type="dxa"/>
            <w:vAlign w:val="bottom"/>
          </w:tcPr>
          <w:p>
            <w:pPr>
              <w:spacing w:after="0"/>
              <w:rPr>
                <w:sz w:val="21"/>
                <w:szCs w:val="21"/>
                <w:color w:val="auto"/>
              </w:rPr>
            </w:pPr>
          </w:p>
        </w:tc>
        <w:tc>
          <w:tcPr>
            <w:tcW w:w="1300" w:type="dxa"/>
            <w:vAlign w:val="bottom"/>
            <w:gridSpan w:val="2"/>
          </w:tcPr>
          <w:p>
            <w:pPr>
              <w:jc w:val="right"/>
              <w:spacing w:after="0"/>
              <w:rPr>
                <w:sz w:val="20"/>
                <w:szCs w:val="20"/>
                <w:color w:val="auto"/>
              </w:rPr>
            </w:pPr>
            <w:r>
              <w:rPr>
                <w:rFonts w:ascii="Arial" w:cs="Arial" w:eastAsia="Arial" w:hAnsi="Arial"/>
                <w:sz w:val="20"/>
                <w:szCs w:val="20"/>
                <w:color w:val="auto"/>
              </w:rPr>
              <w:t>(7)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20"/>
                <w:szCs w:val="20"/>
                <w:color w:val="auto"/>
              </w:rPr>
              <w:t>(350)</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20"/>
                <w:szCs w:val="20"/>
                <w:color w:val="auto"/>
              </w:rPr>
              <w:t>(357)</w:t>
            </w:r>
          </w:p>
        </w:tc>
      </w:tr>
      <w:tr>
        <w:trPr>
          <w:trHeight w:val="237"/>
        </w:trPr>
        <w:tc>
          <w:tcPr>
            <w:tcW w:w="678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20"/>
                <w:szCs w:val="20"/>
                <w:color w:val="auto"/>
              </w:rPr>
              <w:t>Balance at end of period</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29,191</w:t>
            </w: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c>
          <w:tcPr>
            <w:tcW w:w="120" w:type="dxa"/>
            <w:vAlign w:val="bottom"/>
            <w:tcBorders>
              <w:top w:val="single" w:sz="8" w:color="CFF0FC"/>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1,919</w:t>
            </w:r>
          </w:p>
        </w:tc>
        <w:tc>
          <w:tcPr>
            <w:tcW w:w="120" w:type="dxa"/>
            <w:vAlign w:val="bottom"/>
            <w:tcBorders>
              <w:top w:val="single" w:sz="8" w:color="CFF0FC"/>
              <w:bottom w:val="single" w:sz="8" w:color="CFF0FC"/>
            </w:tcBorders>
            <w:shd w:val="clear" w:color="auto" w:fill="CFF0FC"/>
          </w:tcPr>
          <w:p>
            <w:pPr>
              <w:spacing w:after="0"/>
              <w:rPr>
                <w:sz w:val="20"/>
                <w:szCs w:val="20"/>
                <w:color w:val="auto"/>
              </w:rPr>
            </w:pP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c>
          <w:tcPr>
            <w:tcW w:w="760" w:type="dxa"/>
            <w:vAlign w:val="bottom"/>
            <w:tcBorders>
              <w:top w:val="single" w:sz="8" w:color="auto"/>
              <w:bottom w:val="single" w:sz="8" w:color="auto"/>
            </w:tcBorders>
            <w:shd w:val="clear" w:color="auto" w:fill="CFF0FC"/>
          </w:tcPr>
          <w:p>
            <w:pPr>
              <w:jc w:val="right"/>
              <w:ind w:right="561"/>
              <w:spacing w:after="0"/>
              <w:rPr>
                <w:sz w:val="20"/>
                <w:szCs w:val="20"/>
                <w:color w:val="auto"/>
              </w:rPr>
            </w:pPr>
            <w:r>
              <w:rPr>
                <w:rFonts w:ascii="Arial" w:cs="Arial" w:eastAsia="Arial" w:hAnsi="Arial"/>
                <w:sz w:val="20"/>
                <w:szCs w:val="20"/>
                <w:color w:val="auto"/>
                <w:w w:val="71"/>
              </w:rPr>
              <w:t>$</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88"/>
              </w:rPr>
              <w:t>31,110</w:t>
            </w:r>
          </w:p>
        </w:tc>
        <w:tc>
          <w:tcPr>
            <w:tcW w:w="120" w:type="dxa"/>
            <w:vAlign w:val="bottom"/>
            <w:tcBorders>
              <w:top w:val="single" w:sz="8" w:color="CFF0FC"/>
              <w:bottom w:val="single" w:sz="8" w:color="CFF0FC"/>
            </w:tcBorders>
            <w:shd w:val="clear" w:color="auto" w:fill="CFF0FC"/>
          </w:tcPr>
          <w:p>
            <w:pPr>
              <w:spacing w:after="0"/>
              <w:rPr>
                <w:sz w:val="20"/>
                <w:szCs w:val="20"/>
                <w:color w:val="auto"/>
              </w:rPr>
            </w:pPr>
          </w:p>
        </w:tc>
      </w:tr>
      <w:tr>
        <w:trPr>
          <w:trHeight w:val="20"/>
        </w:trPr>
        <w:tc>
          <w:tcPr>
            <w:tcW w:w="6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11 of 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September 30, 2015</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NOTES TO CONSOLIDATED FINANCIAL STATEMENTS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207" w:lineRule="exact"/>
        <w:rPr>
          <w:sz w:val="20"/>
          <w:szCs w:val="20"/>
          <w:color w:val="auto"/>
        </w:rPr>
      </w:pPr>
    </w:p>
    <w:p>
      <w:pPr>
        <w:ind w:left="380" w:hanging="372"/>
        <w:spacing w:after="0"/>
        <w:tabs>
          <w:tab w:leader="none" w:pos="380" w:val="left"/>
        </w:tabs>
        <w:numPr>
          <w:ilvl w:val="0"/>
          <w:numId w:val="8"/>
        </w:numPr>
        <w:rPr>
          <w:rFonts w:ascii="Arial" w:cs="Arial" w:eastAsia="Arial" w:hAnsi="Arial"/>
          <w:sz w:val="20"/>
          <w:szCs w:val="20"/>
          <w:b w:val="1"/>
          <w:bCs w:val="1"/>
          <w:color w:val="auto"/>
        </w:rPr>
      </w:pPr>
      <w:r>
        <w:rPr>
          <w:rFonts w:ascii="Arial" w:cs="Arial" w:eastAsia="Arial" w:hAnsi="Arial"/>
          <w:sz w:val="20"/>
          <w:szCs w:val="20"/>
          <w:b w:val="1"/>
          <w:bCs w:val="1"/>
          <w:color w:val="auto"/>
        </w:rPr>
        <w:t>Significant Accounting Policies (continued)</w:t>
      </w:r>
    </w:p>
    <w:p>
      <w:pPr>
        <w:spacing w:after="0" w:line="107" w:lineRule="exact"/>
        <w:rPr>
          <w:rFonts w:ascii="Arial" w:cs="Arial" w:eastAsia="Arial" w:hAnsi="Arial"/>
          <w:sz w:val="20"/>
          <w:szCs w:val="20"/>
          <w:b w:val="1"/>
          <w:bCs w:val="1"/>
          <w:color w:val="auto"/>
        </w:rPr>
      </w:pPr>
    </w:p>
    <w:p>
      <w:pPr>
        <w:ind w:left="380" w:right="3220"/>
        <w:spacing w:after="0" w:line="448" w:lineRule="auto"/>
        <w:rPr>
          <w:rFonts w:ascii="Arial" w:cs="Arial" w:eastAsia="Arial" w:hAnsi="Arial"/>
          <w:sz w:val="20"/>
          <w:szCs w:val="20"/>
          <w:b w:val="1"/>
          <w:bCs w:val="1"/>
          <w:color w:val="auto"/>
        </w:rPr>
      </w:pPr>
      <w:r>
        <w:rPr>
          <w:rFonts w:ascii="Arial" w:cs="Arial" w:eastAsia="Arial" w:hAnsi="Arial"/>
          <w:sz w:val="18"/>
          <w:szCs w:val="18"/>
          <w:b w:val="1"/>
          <w:bCs w:val="1"/>
          <w:color w:val="auto"/>
        </w:rPr>
        <w:t xml:space="preserve">Consolidated Comprehensive Earnings/Loss and Accumulated Other Comprehensive Loss (continued) </w:t>
      </w:r>
      <w:r>
        <w:rPr>
          <w:rFonts w:ascii="Arial" w:cs="Arial" w:eastAsia="Arial" w:hAnsi="Arial"/>
          <w:sz w:val="18"/>
          <w:szCs w:val="18"/>
          <w:color w:val="auto"/>
        </w:rPr>
        <w:t>Reclassifications out of accumulated other comprehensive loss are as follows: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40" w:type="dxa"/>
            <w:vAlign w:val="bottom"/>
            <w:gridSpan w:val="5"/>
          </w:tcPr>
          <w:p>
            <w:pPr>
              <w:jc w:val="right"/>
              <w:ind w:right="680"/>
              <w:spacing w:after="0"/>
              <w:rPr>
                <w:sz w:val="20"/>
                <w:szCs w:val="20"/>
                <w:color w:val="auto"/>
              </w:rPr>
            </w:pPr>
            <w:r>
              <w:rPr>
                <w:rFonts w:ascii="Arial" w:cs="Arial" w:eastAsia="Arial" w:hAnsi="Arial"/>
                <w:sz w:val="17"/>
                <w:szCs w:val="17"/>
                <w:color w:val="auto"/>
              </w:rPr>
              <w:t>Three Months Ended</w:t>
            </w:r>
          </w:p>
        </w:tc>
        <w:tc>
          <w:tcPr>
            <w:tcW w:w="220" w:type="dxa"/>
            <w:vAlign w:val="bottom"/>
          </w:tcPr>
          <w:p>
            <w:pPr>
              <w:spacing w:after="0"/>
              <w:rPr>
                <w:sz w:val="18"/>
                <w:szCs w:val="18"/>
                <w:color w:val="auto"/>
              </w:rPr>
            </w:pPr>
          </w:p>
        </w:tc>
        <w:tc>
          <w:tcPr>
            <w:tcW w:w="1660" w:type="dxa"/>
            <w:vAlign w:val="bottom"/>
            <w:gridSpan w:val="3"/>
          </w:tcPr>
          <w:p>
            <w:pPr>
              <w:jc w:val="right"/>
              <w:spacing w:after="0"/>
              <w:rPr>
                <w:sz w:val="20"/>
                <w:szCs w:val="20"/>
                <w:color w:val="auto"/>
              </w:rPr>
            </w:pPr>
            <w:r>
              <w:rPr>
                <w:rFonts w:ascii="Arial" w:cs="Arial" w:eastAsia="Arial" w:hAnsi="Arial"/>
                <w:sz w:val="17"/>
                <w:szCs w:val="17"/>
                <w:color w:val="auto"/>
              </w:rPr>
              <w:t>Nine Months Ended</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80" w:type="dxa"/>
            <w:vAlign w:val="bottom"/>
          </w:tcPr>
          <w:p>
            <w:pPr>
              <w:jc w:val="center"/>
              <w:spacing w:after="0"/>
              <w:rPr>
                <w:sz w:val="20"/>
                <w:szCs w:val="20"/>
                <w:color w:val="auto"/>
              </w:rPr>
            </w:pPr>
            <w:r>
              <w:rPr>
                <w:rFonts w:ascii="Arial" w:cs="Arial" w:eastAsia="Arial" w:hAnsi="Arial"/>
                <w:sz w:val="17"/>
                <w:szCs w:val="17"/>
                <w:color w:val="auto"/>
                <w:w w:val="92"/>
              </w:rPr>
              <w:t>Affected line items in the consolidated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40" w:type="dxa"/>
            <w:vAlign w:val="bottom"/>
            <w:gridSpan w:val="5"/>
          </w:tcPr>
          <w:p>
            <w:pPr>
              <w:jc w:val="right"/>
              <w:ind w:right="900"/>
              <w:spacing w:after="0"/>
              <w:rPr>
                <w:sz w:val="20"/>
                <w:szCs w:val="20"/>
                <w:color w:val="auto"/>
              </w:rPr>
            </w:pPr>
            <w:r>
              <w:rPr>
                <w:rFonts w:ascii="Arial" w:cs="Arial" w:eastAsia="Arial" w:hAnsi="Arial"/>
                <w:sz w:val="17"/>
                <w:szCs w:val="17"/>
                <w:color w:val="auto"/>
              </w:rPr>
              <w:t>September 30,</w:t>
            </w:r>
          </w:p>
        </w:tc>
        <w:tc>
          <w:tcPr>
            <w:tcW w:w="220" w:type="dxa"/>
            <w:vAlign w:val="bottom"/>
          </w:tcPr>
          <w:p>
            <w:pPr>
              <w:spacing w:after="0"/>
              <w:rPr>
                <w:sz w:val="18"/>
                <w:szCs w:val="18"/>
                <w:color w:val="auto"/>
              </w:rPr>
            </w:pPr>
          </w:p>
        </w:tc>
        <w:tc>
          <w:tcPr>
            <w:tcW w:w="1660" w:type="dxa"/>
            <w:vAlign w:val="bottom"/>
            <w:gridSpan w:val="3"/>
          </w:tcPr>
          <w:p>
            <w:pPr>
              <w:jc w:val="right"/>
              <w:ind w:right="143"/>
              <w:spacing w:after="0"/>
              <w:rPr>
                <w:sz w:val="20"/>
                <w:szCs w:val="20"/>
                <w:color w:val="auto"/>
              </w:rPr>
            </w:pPr>
            <w:r>
              <w:rPr>
                <w:rFonts w:ascii="Arial" w:cs="Arial" w:eastAsia="Arial" w:hAnsi="Arial"/>
                <w:sz w:val="17"/>
                <w:szCs w:val="17"/>
                <w:color w:val="auto"/>
              </w:rPr>
              <w:t>September 30,</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80" w:type="dxa"/>
            <w:vAlign w:val="bottom"/>
          </w:tcPr>
          <w:p>
            <w:pPr>
              <w:jc w:val="center"/>
              <w:spacing w:after="0"/>
              <w:rPr>
                <w:sz w:val="20"/>
                <w:szCs w:val="20"/>
                <w:color w:val="auto"/>
              </w:rPr>
            </w:pPr>
            <w:r>
              <w:rPr>
                <w:rFonts w:ascii="Arial" w:cs="Arial" w:eastAsia="Arial" w:hAnsi="Arial"/>
                <w:sz w:val="17"/>
                <w:szCs w:val="17"/>
                <w:color w:val="auto"/>
                <w:w w:val="87"/>
              </w:rPr>
              <w:t>statements of earnings and</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75"/>
              <w:spacing w:after="0"/>
              <w:rPr>
                <w:sz w:val="20"/>
                <w:szCs w:val="20"/>
                <w:color w:val="auto"/>
              </w:rPr>
            </w:pPr>
            <w:r>
              <w:rPr>
                <w:rFonts w:ascii="Arial" w:cs="Arial" w:eastAsia="Arial" w:hAnsi="Arial"/>
                <w:sz w:val="17"/>
                <w:szCs w:val="17"/>
                <w:color w:val="auto"/>
              </w:rPr>
              <w:t>2015</w:t>
            </w:r>
          </w:p>
        </w:tc>
        <w:tc>
          <w:tcPr>
            <w:tcW w:w="22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95"/>
              <w:spacing w:after="0"/>
              <w:rPr>
                <w:sz w:val="20"/>
                <w:szCs w:val="20"/>
                <w:color w:val="auto"/>
              </w:rPr>
            </w:pPr>
            <w:r>
              <w:rPr>
                <w:rFonts w:ascii="Arial" w:cs="Arial" w:eastAsia="Arial" w:hAnsi="Arial"/>
                <w:sz w:val="17"/>
                <w:szCs w:val="17"/>
                <w:color w:val="auto"/>
              </w:rPr>
              <w:t>2014</w:t>
            </w:r>
          </w:p>
        </w:tc>
        <w:tc>
          <w:tcPr>
            <w:tcW w:w="220" w:type="dxa"/>
            <w:vAlign w:val="bottom"/>
            <w:tcBorders>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75"/>
              <w:spacing w:after="0"/>
              <w:rPr>
                <w:sz w:val="20"/>
                <w:szCs w:val="20"/>
                <w:color w:val="auto"/>
              </w:rPr>
            </w:pPr>
            <w:r>
              <w:rPr>
                <w:rFonts w:ascii="Arial" w:cs="Arial" w:eastAsia="Arial" w:hAnsi="Arial"/>
                <w:sz w:val="17"/>
                <w:szCs w:val="17"/>
                <w:color w:val="auto"/>
              </w:rPr>
              <w:t>2015</w:t>
            </w:r>
          </w:p>
        </w:tc>
        <w:tc>
          <w:tcPr>
            <w:tcW w:w="2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gridSpan w:val="2"/>
          </w:tcPr>
          <w:p>
            <w:pPr>
              <w:jc w:val="right"/>
              <w:ind w:right="275"/>
              <w:spacing w:after="0"/>
              <w:rPr>
                <w:sz w:val="20"/>
                <w:szCs w:val="20"/>
                <w:color w:val="auto"/>
              </w:rPr>
            </w:pPr>
            <w:r>
              <w:rPr>
                <w:rFonts w:ascii="Arial" w:cs="Arial" w:eastAsia="Arial" w:hAnsi="Arial"/>
                <w:sz w:val="17"/>
                <w:szCs w:val="17"/>
                <w:color w:val="auto"/>
              </w:rPr>
              <w:t>2014</w:t>
            </w:r>
          </w:p>
        </w:tc>
        <w:tc>
          <w:tcPr>
            <w:tcW w:w="120" w:type="dxa"/>
            <w:vAlign w:val="bottom"/>
          </w:tcPr>
          <w:p>
            <w:pPr>
              <w:spacing w:after="0"/>
              <w:rPr>
                <w:sz w:val="18"/>
                <w:szCs w:val="18"/>
                <w:color w:val="auto"/>
              </w:rPr>
            </w:pPr>
          </w:p>
        </w:tc>
        <w:tc>
          <w:tcPr>
            <w:tcW w:w="318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8"/>
              </w:rPr>
              <w:t>comprehensive earnings</w:t>
            </w:r>
          </w:p>
        </w:tc>
        <w:tc>
          <w:tcPr>
            <w:tcW w:w="0" w:type="dxa"/>
            <w:vAlign w:val="bottom"/>
          </w:tcPr>
          <w:p>
            <w:pPr>
              <w:spacing w:after="0"/>
              <w:rPr>
                <w:sz w:val="1"/>
                <w:szCs w:val="1"/>
                <w:color w:val="auto"/>
              </w:rPr>
            </w:pPr>
          </w:p>
        </w:tc>
      </w:tr>
      <w:tr>
        <w:trPr>
          <w:trHeight w:val="210"/>
        </w:trPr>
        <w:tc>
          <w:tcPr>
            <w:tcW w:w="2740" w:type="dxa"/>
            <w:vAlign w:val="bottom"/>
            <w:gridSpan w:val="2"/>
            <w:vMerge w:val="restart"/>
          </w:tcPr>
          <w:p>
            <w:pPr>
              <w:spacing w:after="0"/>
              <w:rPr>
                <w:sz w:val="20"/>
                <w:szCs w:val="20"/>
                <w:color w:val="auto"/>
              </w:rPr>
            </w:pPr>
            <w:r>
              <w:rPr>
                <w:rFonts w:ascii="Arial" w:cs="Arial" w:eastAsia="Arial" w:hAnsi="Arial"/>
                <w:sz w:val="17"/>
                <w:szCs w:val="17"/>
                <w:color w:val="auto"/>
              </w:rPr>
              <w:t>Pension and postretirement</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40" w:type="dxa"/>
            <w:vAlign w:val="bottom"/>
            <w:gridSpan w:val="5"/>
          </w:tcPr>
          <w:p>
            <w:pPr>
              <w:jc w:val="right"/>
              <w:ind w:right="600"/>
              <w:spacing w:after="0"/>
              <w:rPr>
                <w:sz w:val="20"/>
                <w:szCs w:val="20"/>
                <w:color w:val="auto"/>
              </w:rPr>
            </w:pPr>
            <w:r>
              <w:rPr>
                <w:rFonts w:ascii="Arial" w:cs="Arial" w:eastAsia="Arial" w:hAnsi="Arial"/>
                <w:sz w:val="17"/>
                <w:szCs w:val="17"/>
                <w:i w:val="1"/>
                <w:iCs w:val="1"/>
                <w:color w:val="auto"/>
              </w:rPr>
              <w:t>(Dollars in Thousands)</w:t>
            </w: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740" w:type="dxa"/>
            <w:vAlign w:val="bottom"/>
            <w:gridSpan w:val="2"/>
            <w:vMerge w:val="continue"/>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720" w:type="dxa"/>
            <w:vAlign w:val="bottom"/>
          </w:tcPr>
          <w:p>
            <w:pPr>
              <w:ind w:left="200"/>
              <w:spacing w:after="0"/>
              <w:rPr>
                <w:sz w:val="20"/>
                <w:szCs w:val="20"/>
                <w:color w:val="auto"/>
              </w:rPr>
            </w:pPr>
            <w:r>
              <w:rPr>
                <w:rFonts w:ascii="Arial" w:cs="Arial" w:eastAsia="Arial" w:hAnsi="Arial"/>
                <w:sz w:val="17"/>
                <w:szCs w:val="17"/>
                <w:color w:val="auto"/>
              </w:rPr>
              <w:t>benefit plans</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720" w:type="dxa"/>
            <w:vAlign w:val="bottom"/>
            <w:shd w:val="clear" w:color="auto" w:fill="CFF0FC"/>
          </w:tcPr>
          <w:p>
            <w:pPr>
              <w:ind w:left="240"/>
              <w:spacing w:after="0"/>
              <w:rPr>
                <w:sz w:val="20"/>
                <w:szCs w:val="20"/>
                <w:color w:val="auto"/>
              </w:rPr>
            </w:pPr>
            <w:r>
              <w:rPr>
                <w:rFonts w:ascii="Arial" w:cs="Arial" w:eastAsia="Arial" w:hAnsi="Arial"/>
                <w:sz w:val="17"/>
                <w:szCs w:val="17"/>
                <w:color w:val="auto"/>
              </w:rPr>
              <w:t>Amortization of:</w:t>
            </w:r>
          </w:p>
        </w:tc>
        <w:tc>
          <w:tcPr>
            <w:tcW w:w="4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Pr>
          <w:p>
            <w:pPr>
              <w:ind w:left="480"/>
              <w:spacing w:after="0"/>
              <w:rPr>
                <w:sz w:val="20"/>
                <w:szCs w:val="20"/>
                <w:color w:val="auto"/>
              </w:rPr>
            </w:pPr>
            <w:r>
              <w:rPr>
                <w:rFonts w:ascii="Arial" w:cs="Arial" w:eastAsia="Arial" w:hAnsi="Arial"/>
                <w:sz w:val="17"/>
                <w:szCs w:val="17"/>
                <w:color w:val="auto"/>
              </w:rPr>
              <w:t>Prior service credit</w:t>
            </w:r>
          </w:p>
        </w:tc>
        <w:tc>
          <w:tcPr>
            <w:tcW w:w="700" w:type="dxa"/>
            <w:vAlign w:val="bottom"/>
            <w:gridSpan w:val="2"/>
          </w:tcPr>
          <w:p>
            <w:pPr>
              <w:jc w:val="right"/>
              <w:ind w:right="65"/>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(468)</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(703)</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(1,407)</w:t>
            </w:r>
          </w:p>
        </w:tc>
        <w:tc>
          <w:tcPr>
            <w:tcW w:w="600" w:type="dxa"/>
            <w:vAlign w:val="bottom"/>
          </w:tcPr>
          <w:p>
            <w:pPr>
              <w:jc w:val="right"/>
              <w:ind w:right="443"/>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60"/>
              <w:spacing w:after="0"/>
              <w:rPr>
                <w:sz w:val="20"/>
                <w:szCs w:val="20"/>
                <w:color w:val="auto"/>
              </w:rPr>
            </w:pPr>
            <w:r>
              <w:rPr>
                <w:rFonts w:ascii="Arial" w:cs="Arial" w:eastAsia="Arial" w:hAnsi="Arial"/>
                <w:sz w:val="17"/>
                <w:szCs w:val="17"/>
                <w:color w:val="auto"/>
                <w:w w:val="92"/>
              </w:rPr>
              <w:t>(2,107)</w:t>
            </w:r>
          </w:p>
        </w:tc>
        <w:tc>
          <w:tcPr>
            <w:tcW w:w="3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CFF0FC"/>
          </w:tcPr>
          <w:p>
            <w:pPr>
              <w:ind w:left="480"/>
              <w:spacing w:after="0"/>
              <w:rPr>
                <w:sz w:val="20"/>
                <w:szCs w:val="20"/>
                <w:color w:val="auto"/>
              </w:rPr>
            </w:pPr>
            <w:r>
              <w:rPr>
                <w:rFonts w:ascii="Arial" w:cs="Arial" w:eastAsia="Arial" w:hAnsi="Arial"/>
                <w:sz w:val="17"/>
                <w:szCs w:val="17"/>
                <w:color w:val="auto"/>
              </w:rPr>
              <w:t>Actuarial loss</w:t>
            </w:r>
          </w:p>
        </w:tc>
        <w:tc>
          <w:tcPr>
            <w:tcW w:w="48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3,146</w:t>
            </w:r>
          </w:p>
        </w:tc>
        <w:tc>
          <w:tcPr>
            <w:tcW w:w="22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945</w:t>
            </w:r>
          </w:p>
        </w:tc>
        <w:tc>
          <w:tcPr>
            <w:tcW w:w="22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13,691</w:t>
            </w:r>
          </w:p>
        </w:tc>
        <w:tc>
          <w:tcPr>
            <w:tcW w:w="220" w:type="dxa"/>
            <w:vAlign w:val="bottom"/>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2,835</w:t>
            </w:r>
          </w:p>
        </w:tc>
        <w:tc>
          <w:tcPr>
            <w:tcW w:w="120" w:type="dxa"/>
            <w:vAlign w:val="bottom"/>
            <w:shd w:val="clear" w:color="auto" w:fill="CFF0FC"/>
          </w:tcPr>
          <w:p>
            <w:pPr>
              <w:spacing w:after="0"/>
              <w:rPr>
                <w:sz w:val="18"/>
                <w:szCs w:val="18"/>
                <w:color w:val="auto"/>
              </w:rPr>
            </w:pPr>
          </w:p>
        </w:tc>
        <w:tc>
          <w:tcPr>
            <w:tcW w:w="3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180" w:type="dxa"/>
            <w:vAlign w:val="bottom"/>
          </w:tcPr>
          <w:p>
            <w:pPr>
              <w:spacing w:after="0" w:line="192" w:lineRule="exact"/>
              <w:rPr>
                <w:sz w:val="20"/>
                <w:szCs w:val="20"/>
                <w:color w:val="auto"/>
              </w:rPr>
            </w:pPr>
            <w:r>
              <w:rPr>
                <w:rFonts w:ascii="Arial" w:cs="Arial" w:eastAsia="Arial" w:hAnsi="Arial"/>
                <w:sz w:val="17"/>
                <w:szCs w:val="17"/>
                <w:color w:val="auto"/>
              </w:rPr>
              <w:t>Cost of sales; Selling, general</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2,678</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242</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12,284</w:t>
            </w: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728</w:t>
            </w:r>
          </w:p>
        </w:tc>
        <w:tc>
          <w:tcPr>
            <w:tcW w:w="120" w:type="dxa"/>
            <w:vAlign w:val="bottom"/>
          </w:tcPr>
          <w:p>
            <w:pPr>
              <w:spacing w:after="0"/>
              <w:rPr>
                <w:sz w:val="18"/>
                <w:szCs w:val="18"/>
                <w:color w:val="auto"/>
              </w:rPr>
            </w:pPr>
          </w:p>
        </w:tc>
        <w:tc>
          <w:tcPr>
            <w:tcW w:w="3180" w:type="dxa"/>
            <w:vAlign w:val="bottom"/>
          </w:tcPr>
          <w:p>
            <w:pPr>
              <w:ind w:left="200"/>
              <w:spacing w:after="0"/>
              <w:rPr>
                <w:sz w:val="20"/>
                <w:szCs w:val="20"/>
                <w:color w:val="auto"/>
              </w:rPr>
            </w:pPr>
            <w:r>
              <w:rPr>
                <w:rFonts w:ascii="Arial" w:cs="Arial" w:eastAsia="Arial" w:hAnsi="Arial"/>
                <w:sz w:val="17"/>
                <w:szCs w:val="17"/>
                <w:color w:val="auto"/>
              </w:rPr>
              <w:t>and administrative expenses</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720" w:type="dxa"/>
            <w:vAlign w:val="bottom"/>
            <w:shd w:val="clear" w:color="auto" w:fill="CFF0FC"/>
          </w:tcPr>
          <w:p>
            <w:pPr>
              <w:ind w:left="240"/>
              <w:spacing w:after="0"/>
              <w:rPr>
                <w:sz w:val="20"/>
                <w:szCs w:val="20"/>
                <w:color w:val="auto"/>
              </w:rPr>
            </w:pPr>
            <w:r>
              <w:rPr>
                <w:rFonts w:ascii="Arial" w:cs="Arial" w:eastAsia="Arial" w:hAnsi="Arial"/>
                <w:sz w:val="17"/>
                <w:szCs w:val="17"/>
                <w:color w:val="auto"/>
              </w:rPr>
              <w:t>Tax benefit</w:t>
            </w:r>
          </w:p>
        </w:tc>
        <w:tc>
          <w:tcPr>
            <w:tcW w:w="4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(1,042)</w:t>
            </w:r>
          </w:p>
        </w:tc>
        <w:tc>
          <w:tcPr>
            <w:tcW w:w="22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(96)</w:t>
            </w:r>
          </w:p>
        </w:tc>
        <w:tc>
          <w:tcPr>
            <w:tcW w:w="22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(4,778)</w:t>
            </w:r>
          </w:p>
        </w:tc>
        <w:tc>
          <w:tcPr>
            <w:tcW w:w="600" w:type="dxa"/>
            <w:vAlign w:val="bottom"/>
            <w:shd w:val="clear" w:color="auto" w:fill="CFF0FC"/>
          </w:tcPr>
          <w:p>
            <w:pPr>
              <w:spacing w:after="0"/>
              <w:rPr>
                <w:sz w:val="18"/>
                <w:szCs w:val="18"/>
                <w:color w:val="auto"/>
              </w:rPr>
            </w:pPr>
          </w:p>
        </w:tc>
        <w:tc>
          <w:tcPr>
            <w:tcW w:w="3760" w:type="dxa"/>
            <w:vAlign w:val="bottom"/>
            <w:gridSpan w:val="3"/>
            <w:shd w:val="clear" w:color="auto" w:fill="CFF0FC"/>
          </w:tcPr>
          <w:p>
            <w:pPr>
              <w:ind w:left="140"/>
              <w:spacing w:after="0"/>
              <w:rPr>
                <w:sz w:val="20"/>
                <w:szCs w:val="20"/>
                <w:color w:val="auto"/>
              </w:rPr>
            </w:pPr>
            <w:r>
              <w:rPr>
                <w:rFonts w:ascii="Arial" w:cs="Arial" w:eastAsia="Arial" w:hAnsi="Arial"/>
                <w:sz w:val="17"/>
                <w:szCs w:val="17"/>
                <w:color w:val="auto"/>
              </w:rPr>
              <w:t>(287) Taxes on income</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720" w:type="dxa"/>
            <w:vAlign w:val="bottom"/>
            <w:tcBorders>
              <w:bottom w:val="single" w:sz="8" w:color="CFF0FC"/>
            </w:tcBorders>
          </w:tcPr>
          <w:p>
            <w:pPr>
              <w:spacing w:after="0"/>
              <w:rPr>
                <w:sz w:val="21"/>
                <w:szCs w:val="21"/>
                <w:color w:val="auto"/>
              </w:rPr>
            </w:pPr>
          </w:p>
        </w:tc>
        <w:tc>
          <w:tcPr>
            <w:tcW w:w="480" w:type="dxa"/>
            <w:vAlign w:val="bottom"/>
            <w:tcBorders>
              <w:bottom w:val="single" w:sz="8" w:color="CFF0FC"/>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1,636</w:t>
            </w:r>
          </w:p>
        </w:tc>
        <w:tc>
          <w:tcPr>
            <w:tcW w:w="220" w:type="dxa"/>
            <w:vAlign w:val="bottom"/>
            <w:tcBorders>
              <w:bottom w:val="single" w:sz="8" w:color="CFF0FC"/>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146</w:t>
            </w:r>
          </w:p>
        </w:tc>
        <w:tc>
          <w:tcPr>
            <w:tcW w:w="220" w:type="dxa"/>
            <w:vAlign w:val="bottom"/>
            <w:tcBorders>
              <w:bottom w:val="single" w:sz="8" w:color="CFF0FC"/>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7,506</w:t>
            </w:r>
          </w:p>
        </w:tc>
        <w:tc>
          <w:tcPr>
            <w:tcW w:w="220" w:type="dxa"/>
            <w:vAlign w:val="bottom"/>
            <w:tcBorders>
              <w:bottom w:val="single" w:sz="8" w:color="CFF0FC"/>
            </w:tcBorders>
          </w:tcPr>
          <w:p>
            <w:pPr>
              <w:spacing w:after="0"/>
              <w:rPr>
                <w:sz w:val="21"/>
                <w:szCs w:val="21"/>
                <w:color w:val="auto"/>
              </w:rPr>
            </w:pPr>
          </w:p>
        </w:tc>
        <w:tc>
          <w:tcPr>
            <w:tcW w:w="600" w:type="dxa"/>
            <w:vAlign w:val="bottom"/>
            <w:tcBorders>
              <w:top w:val="single" w:sz="8" w:color="auto"/>
              <w:bottom w:val="single" w:sz="8" w:color="auto"/>
            </w:tcBorders>
          </w:tcPr>
          <w:p>
            <w:pPr>
              <w:jc w:val="right"/>
              <w:ind w:right="443"/>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441</w:t>
            </w:r>
          </w:p>
        </w:tc>
        <w:tc>
          <w:tcPr>
            <w:tcW w:w="120" w:type="dxa"/>
            <w:vAlign w:val="bottom"/>
            <w:tcBorders>
              <w:bottom w:val="single" w:sz="8" w:color="CFF0FC"/>
            </w:tcBorders>
          </w:tcPr>
          <w:p>
            <w:pPr>
              <w:spacing w:after="0"/>
              <w:rPr>
                <w:sz w:val="21"/>
                <w:szCs w:val="21"/>
                <w:color w:val="auto"/>
              </w:rPr>
            </w:pPr>
          </w:p>
        </w:tc>
        <w:tc>
          <w:tcPr>
            <w:tcW w:w="318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72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1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2720" w:type="dxa"/>
            <w:vAlign w:val="bottom"/>
          </w:tcPr>
          <w:p>
            <w:pPr>
              <w:spacing w:after="0"/>
              <w:rPr>
                <w:sz w:val="20"/>
                <w:szCs w:val="20"/>
                <w:color w:val="auto"/>
              </w:rPr>
            </w:pPr>
            <w:r>
              <w:rPr>
                <w:rFonts w:ascii="Arial" w:cs="Arial" w:eastAsia="Arial" w:hAnsi="Arial"/>
                <w:sz w:val="17"/>
                <w:szCs w:val="17"/>
                <w:color w:val="auto"/>
              </w:rPr>
              <w:t>Unamortized value of terminated</w:t>
            </w: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20" w:type="dxa"/>
            <w:vAlign w:val="bottom"/>
          </w:tcPr>
          <w:p>
            <w:pPr>
              <w:ind w:left="200"/>
              <w:spacing w:after="0"/>
              <w:rPr>
                <w:sz w:val="20"/>
                <w:szCs w:val="20"/>
                <w:color w:val="auto"/>
              </w:rPr>
            </w:pPr>
            <w:r>
              <w:rPr>
                <w:rFonts w:ascii="Arial" w:cs="Arial" w:eastAsia="Arial" w:hAnsi="Arial"/>
                <w:sz w:val="17"/>
                <w:szCs w:val="17"/>
                <w:color w:val="auto"/>
              </w:rPr>
              <w:t>forward starting interest</w:t>
            </w: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720" w:type="dxa"/>
            <w:vAlign w:val="bottom"/>
          </w:tcPr>
          <w:p>
            <w:pPr>
              <w:ind w:left="200"/>
              <w:spacing w:after="0"/>
              <w:rPr>
                <w:sz w:val="20"/>
                <w:szCs w:val="20"/>
                <w:color w:val="auto"/>
              </w:rPr>
            </w:pPr>
            <w:r>
              <w:rPr>
                <w:rFonts w:ascii="Arial" w:cs="Arial" w:eastAsia="Arial" w:hAnsi="Arial"/>
                <w:sz w:val="17"/>
                <w:szCs w:val="17"/>
                <w:color w:val="auto"/>
              </w:rPr>
              <w:t>rate swap</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720" w:type="dxa"/>
            <w:vAlign w:val="bottom"/>
            <w:shd w:val="clear" w:color="auto" w:fill="CFF0FC"/>
          </w:tcPr>
          <w:p>
            <w:pPr>
              <w:ind w:left="240"/>
              <w:spacing w:after="0"/>
              <w:rPr>
                <w:sz w:val="20"/>
                <w:szCs w:val="20"/>
                <w:color w:val="auto"/>
              </w:rPr>
            </w:pPr>
            <w:r>
              <w:rPr>
                <w:rFonts w:ascii="Arial" w:cs="Arial" w:eastAsia="Arial" w:hAnsi="Arial"/>
                <w:sz w:val="17"/>
                <w:szCs w:val="17"/>
                <w:color w:val="auto"/>
              </w:rPr>
              <w:t>Additional interest expense</w:t>
            </w:r>
          </w:p>
        </w:tc>
        <w:tc>
          <w:tcPr>
            <w:tcW w:w="700" w:type="dxa"/>
            <w:vAlign w:val="bottom"/>
            <w:gridSpan w:val="2"/>
            <w:shd w:val="clear" w:color="auto" w:fill="CFF0FC"/>
          </w:tcPr>
          <w:p>
            <w:pPr>
              <w:jc w:val="right"/>
              <w:ind w:right="65"/>
              <w:spacing w:after="0"/>
              <w:rPr>
                <w:sz w:val="20"/>
                <w:szCs w:val="20"/>
                <w:color w:val="auto"/>
              </w:rPr>
            </w:pPr>
            <w:r>
              <w:rPr>
                <w:rFonts w:ascii="Arial" w:cs="Arial" w:eastAsia="Arial" w:hAnsi="Arial"/>
                <w:sz w:val="17"/>
                <w:szCs w:val="17"/>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318</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300</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942</w:t>
            </w:r>
          </w:p>
        </w:tc>
        <w:tc>
          <w:tcPr>
            <w:tcW w:w="220" w:type="dxa"/>
            <w:vAlign w:val="bottom"/>
            <w:shd w:val="clear" w:color="auto" w:fill="CFF0FC"/>
          </w:tcPr>
          <w:p>
            <w:pPr>
              <w:spacing w:after="0"/>
              <w:rPr>
                <w:sz w:val="18"/>
                <w:szCs w:val="18"/>
                <w:color w:val="auto"/>
              </w:rPr>
            </w:pPr>
          </w:p>
        </w:tc>
        <w:tc>
          <w:tcPr>
            <w:tcW w:w="600" w:type="dxa"/>
            <w:vAlign w:val="bottom"/>
            <w:shd w:val="clear" w:color="auto" w:fill="CFF0FC"/>
          </w:tcPr>
          <w:p>
            <w:pPr>
              <w:jc w:val="right"/>
              <w:ind w:right="443"/>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883</w:t>
            </w:r>
          </w:p>
        </w:tc>
        <w:tc>
          <w:tcPr>
            <w:tcW w:w="120" w:type="dxa"/>
            <w:vAlign w:val="bottom"/>
            <w:shd w:val="clear" w:color="auto" w:fill="CFF0FC"/>
          </w:tcPr>
          <w:p>
            <w:pPr>
              <w:spacing w:after="0"/>
              <w:rPr>
                <w:sz w:val="18"/>
                <w:szCs w:val="18"/>
                <w:color w:val="auto"/>
              </w:rPr>
            </w:pPr>
          </w:p>
        </w:tc>
        <w:tc>
          <w:tcPr>
            <w:tcW w:w="3180" w:type="dxa"/>
            <w:vAlign w:val="bottom"/>
            <w:shd w:val="clear" w:color="auto" w:fill="CFF0FC"/>
          </w:tcPr>
          <w:p>
            <w:pPr>
              <w:spacing w:after="0"/>
              <w:rPr>
                <w:sz w:val="20"/>
                <w:szCs w:val="20"/>
                <w:color w:val="auto"/>
              </w:rPr>
            </w:pPr>
            <w:r>
              <w:rPr>
                <w:rFonts w:ascii="Arial" w:cs="Arial" w:eastAsia="Arial" w:hAnsi="Arial"/>
                <w:sz w:val="17"/>
                <w:szCs w:val="17"/>
                <w:color w:val="auto"/>
              </w:rPr>
              <w:t>Interest expense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Pr>
          <w:p>
            <w:pPr>
              <w:ind w:left="240"/>
              <w:spacing w:after="0"/>
              <w:rPr>
                <w:sz w:val="20"/>
                <w:szCs w:val="20"/>
                <w:color w:val="auto"/>
              </w:rPr>
            </w:pPr>
            <w:r>
              <w:rPr>
                <w:rFonts w:ascii="Arial" w:cs="Arial" w:eastAsia="Arial" w:hAnsi="Arial"/>
                <w:sz w:val="17"/>
                <w:szCs w:val="17"/>
                <w:color w:val="auto"/>
              </w:rPr>
              <w:t>Tax benefit</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(125)</w:t>
            </w:r>
          </w:p>
        </w:tc>
        <w:tc>
          <w:tcPr>
            <w:tcW w:w="2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(120)</w:t>
            </w:r>
          </w:p>
        </w:tc>
        <w:tc>
          <w:tcPr>
            <w:tcW w:w="2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(370)</w:t>
            </w:r>
          </w:p>
        </w:tc>
        <w:tc>
          <w:tcPr>
            <w:tcW w:w="600" w:type="dxa"/>
            <w:vAlign w:val="bottom"/>
          </w:tcPr>
          <w:p>
            <w:pPr>
              <w:spacing w:after="0"/>
              <w:rPr>
                <w:sz w:val="18"/>
                <w:szCs w:val="18"/>
                <w:color w:val="auto"/>
              </w:rPr>
            </w:pPr>
          </w:p>
        </w:tc>
        <w:tc>
          <w:tcPr>
            <w:tcW w:w="3760" w:type="dxa"/>
            <w:vAlign w:val="bottom"/>
            <w:gridSpan w:val="3"/>
          </w:tcPr>
          <w:p>
            <w:pPr>
              <w:ind w:left="140"/>
              <w:spacing w:after="0"/>
              <w:rPr>
                <w:sz w:val="20"/>
                <w:szCs w:val="20"/>
                <w:color w:val="auto"/>
              </w:rPr>
            </w:pPr>
            <w:r>
              <w:rPr>
                <w:rFonts w:ascii="Arial" w:cs="Arial" w:eastAsia="Arial" w:hAnsi="Arial"/>
                <w:sz w:val="17"/>
                <w:szCs w:val="17"/>
                <w:color w:val="auto"/>
              </w:rPr>
              <w:t>(350) Taxes on income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20" w:type="dxa"/>
            <w:vAlign w:val="bottom"/>
            <w:tcBorders>
              <w:top w:val="single" w:sz="8" w:color="CFF0FC"/>
              <w:bottom w:val="single" w:sz="8" w:color="CFF0FC"/>
            </w:tcBorders>
            <w:shd w:val="clear" w:color="auto" w:fill="CFF0FC"/>
          </w:tcPr>
          <w:p>
            <w:pPr>
              <w:spacing w:after="0"/>
              <w:rPr>
                <w:sz w:val="18"/>
                <w:szCs w:val="18"/>
                <w:color w:val="auto"/>
              </w:rPr>
            </w:pPr>
          </w:p>
        </w:tc>
        <w:tc>
          <w:tcPr>
            <w:tcW w:w="480" w:type="dxa"/>
            <w:vAlign w:val="bottom"/>
            <w:tcBorders>
              <w:top w:val="single" w:sz="8" w:color="CFF0FC"/>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193</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180</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572</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600" w:type="dxa"/>
            <w:vAlign w:val="bottom"/>
            <w:tcBorders>
              <w:top w:val="single" w:sz="8" w:color="auto"/>
              <w:bottom w:val="single" w:sz="8" w:color="auto"/>
            </w:tcBorders>
            <w:shd w:val="clear" w:color="auto" w:fill="CFF0FC"/>
          </w:tcPr>
          <w:p>
            <w:pPr>
              <w:jc w:val="right"/>
              <w:ind w:right="443"/>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533</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318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ind w:left="380"/>
        <w:spacing w:after="0"/>
        <w:rPr>
          <w:sz w:val="20"/>
          <w:szCs w:val="20"/>
          <w:color w:val="auto"/>
        </w:rPr>
      </w:pPr>
      <w:r>
        <w:rPr>
          <w:rFonts w:ascii="Arial" w:cs="Arial" w:eastAsia="Arial" w:hAnsi="Arial"/>
          <w:sz w:val="20"/>
          <w:szCs w:val="20"/>
          <w:b w:val="1"/>
          <w:bCs w:val="1"/>
          <w:color w:val="auto"/>
        </w:rPr>
        <w:t>Earnings per Common Share</w:t>
      </w:r>
    </w:p>
    <w:p>
      <w:pPr>
        <w:spacing w:after="0" w:line="114" w:lineRule="exact"/>
        <w:rPr>
          <w:sz w:val="20"/>
          <w:szCs w:val="20"/>
          <w:color w:val="auto"/>
        </w:rPr>
      </w:pPr>
    </w:p>
    <w:p>
      <w:pPr>
        <w:jc w:val="both"/>
        <w:ind w:left="380"/>
        <w:spacing w:after="0" w:line="311" w:lineRule="auto"/>
        <w:rPr>
          <w:sz w:val="20"/>
          <w:szCs w:val="20"/>
          <w:color w:val="auto"/>
        </w:rPr>
      </w:pPr>
      <w:r>
        <w:rPr>
          <w:rFonts w:ascii="Arial" w:cs="Arial" w:eastAsia="Arial" w:hAnsi="Arial"/>
          <w:sz w:val="16"/>
          <w:szCs w:val="16"/>
          <w:color w:val="auto"/>
        </w:rPr>
        <w:t>The numerator for basic and diluted earnings (loss) per common share is net earnings/loss from continuing operations attributable to Martin Marietta Materials, Inc. reduced by dividends and undistributed earnings attributable to the Corporation’s unvested restricted stock awards and incentive stock awards. If there is a net loss, no amount of the undistributed loss is attributed to unvested participating securities. The denominator for basic earnings per common share is the weighted-average number of common shares outstanding during the period. Diluted earnings per common share are computed assuming that the weighted-average number of common shares is increased by the conversion, using the treasury stock method, of awards to be issued to employees and nonemployee members of the Corporation’s Board of Directors under certain stock-based compensation arrangements if the conversion is dilutive. For the three and nine months ended September 30, 2015 and 2014, the diluted per-share computations reflect a change in the number of common shares outstanding to include the number of additional shares that would have been outstanding if the potentially dilutive common shares had been issued.</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12 of 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 w:name="page13"/>
    <w:bookmarkEnd w:id="12"/>
    <w:p>
      <w:pPr>
        <w:jc w:val="center"/>
        <w:ind w:right="80"/>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ind w:right="80"/>
        <w:spacing w:after="0"/>
        <w:rPr>
          <w:sz w:val="20"/>
          <w:szCs w:val="20"/>
          <w:color w:val="auto"/>
        </w:rPr>
      </w:pPr>
      <w:r>
        <w:rPr>
          <w:rFonts w:ascii="Arial" w:cs="Arial" w:eastAsia="Arial" w:hAnsi="Arial"/>
          <w:sz w:val="20"/>
          <w:szCs w:val="20"/>
          <w:color w:val="auto"/>
        </w:rPr>
        <w:t>FORM 10-Q</w:t>
      </w:r>
    </w:p>
    <w:p>
      <w:pPr>
        <w:jc w:val="center"/>
        <w:ind w:right="80"/>
        <w:spacing w:after="0"/>
        <w:rPr>
          <w:sz w:val="20"/>
          <w:szCs w:val="20"/>
          <w:color w:val="auto"/>
        </w:rPr>
      </w:pPr>
      <w:r>
        <w:rPr>
          <w:rFonts w:ascii="Arial" w:cs="Arial" w:eastAsia="Arial" w:hAnsi="Arial"/>
          <w:sz w:val="20"/>
          <w:szCs w:val="20"/>
          <w:color w:val="auto"/>
        </w:rPr>
        <w:t>For the Quarter Ended September 30, 2015</w:t>
      </w:r>
    </w:p>
    <w:p>
      <w:pPr>
        <w:spacing w:after="0" w:line="200" w:lineRule="exact"/>
        <w:rPr>
          <w:sz w:val="20"/>
          <w:szCs w:val="20"/>
          <w:color w:val="auto"/>
        </w:rPr>
      </w:pPr>
    </w:p>
    <w:p>
      <w:pPr>
        <w:jc w:val="center"/>
        <w:ind w:right="80"/>
        <w:spacing w:after="0"/>
        <w:rPr>
          <w:sz w:val="20"/>
          <w:szCs w:val="20"/>
          <w:color w:val="auto"/>
        </w:rPr>
      </w:pPr>
      <w:r>
        <w:rPr>
          <w:rFonts w:ascii="Arial" w:cs="Arial" w:eastAsia="Arial" w:hAnsi="Arial"/>
          <w:sz w:val="20"/>
          <w:szCs w:val="20"/>
          <w:color w:val="auto"/>
        </w:rPr>
        <w:t>NOTES TO CONSOLIDATED FINANCIAL STATEMENTS</w:t>
      </w:r>
    </w:p>
    <w:p>
      <w:pPr>
        <w:spacing w:after="0" w:line="16" w:lineRule="exact"/>
        <w:rPr>
          <w:sz w:val="20"/>
          <w:szCs w:val="20"/>
          <w:color w:val="auto"/>
        </w:rPr>
      </w:pPr>
    </w:p>
    <w:p>
      <w:pPr>
        <w:jc w:val="center"/>
        <w:ind w:right="80"/>
        <w:spacing w:after="0"/>
        <w:rPr>
          <w:sz w:val="20"/>
          <w:szCs w:val="20"/>
          <w:color w:val="auto"/>
        </w:rPr>
      </w:pPr>
      <w:r>
        <w:rPr>
          <w:rFonts w:ascii="Arial" w:cs="Arial" w:eastAsia="Arial" w:hAnsi="Arial"/>
          <w:sz w:val="20"/>
          <w:szCs w:val="20"/>
          <w:color w:val="auto"/>
        </w:rPr>
        <w:t>(Continued)</w:t>
      </w:r>
    </w:p>
    <w:p>
      <w:pPr>
        <w:spacing w:after="0" w:line="207" w:lineRule="exact"/>
        <w:rPr>
          <w:sz w:val="20"/>
          <w:szCs w:val="20"/>
          <w:color w:val="auto"/>
        </w:rPr>
      </w:pPr>
    </w:p>
    <w:p>
      <w:pPr>
        <w:ind w:left="380" w:right="7480" w:hanging="372"/>
        <w:spacing w:after="0" w:line="444" w:lineRule="auto"/>
        <w:tabs>
          <w:tab w:leader="none" w:pos="378" w:val="left"/>
        </w:tabs>
        <w:numPr>
          <w:ilvl w:val="0"/>
          <w:numId w:val="9"/>
        </w:numPr>
        <w:rPr>
          <w:rFonts w:ascii="Arial" w:cs="Arial" w:eastAsia="Arial" w:hAnsi="Arial"/>
          <w:sz w:val="16"/>
          <w:szCs w:val="16"/>
          <w:b w:val="1"/>
          <w:bCs w:val="1"/>
          <w:color w:val="auto"/>
        </w:rPr>
      </w:pPr>
      <w:r>
        <w:rPr>
          <w:rFonts w:ascii="Arial" w:cs="Arial" w:eastAsia="Arial" w:hAnsi="Arial"/>
          <w:sz w:val="16"/>
          <w:szCs w:val="16"/>
          <w:b w:val="1"/>
          <w:bCs w:val="1"/>
          <w:color w:val="auto"/>
        </w:rPr>
        <w:t>Significant Accounting Policies (continued) Earnings per Common Share (continued)</w:t>
      </w:r>
    </w:p>
    <w:p>
      <w:pPr>
        <w:ind w:left="380"/>
        <w:spacing w:after="0"/>
        <w:rPr>
          <w:rFonts w:ascii="Arial" w:cs="Arial" w:eastAsia="Arial" w:hAnsi="Arial"/>
          <w:sz w:val="16"/>
          <w:szCs w:val="16"/>
          <w:b w:val="1"/>
          <w:bCs w:val="1"/>
          <w:color w:val="auto"/>
        </w:rPr>
      </w:pPr>
      <w:r>
        <w:rPr>
          <w:rFonts w:ascii="Arial" w:cs="Arial" w:eastAsia="Arial" w:hAnsi="Arial"/>
          <w:sz w:val="20"/>
          <w:szCs w:val="20"/>
          <w:color w:val="auto"/>
        </w:rPr>
        <w:t>The following table reconciles the numerator and denominator for basic and diluted earnings per common share:</w:t>
      </w:r>
    </w:p>
    <w:p>
      <w:pPr>
        <w:spacing w:after="0" w:line="121" w:lineRule="exact"/>
        <w:rPr>
          <w:sz w:val="20"/>
          <w:szCs w:val="20"/>
          <w:color w:val="auto"/>
        </w:rPr>
      </w:pPr>
    </w:p>
    <w:tbl>
      <w:tblPr>
        <w:tblLayout w:type="fixed"/>
        <w:tblInd w:w="6120" w:type="dxa"/>
        <w:tblCellMar>
          <w:top w:w="0" w:type="dxa"/>
          <w:left w:w="0" w:type="dxa"/>
          <w:bottom w:w="0" w:type="dxa"/>
          <w:right w:w="0" w:type="dxa"/>
        </w:tblCellMar>
      </w:tblPr>
      <w:tr>
        <w:trPr>
          <w:trHeight w:val="243"/>
        </w:trPr>
        <w:tc>
          <w:tcPr>
            <w:tcW w:w="2800" w:type="dxa"/>
            <w:vAlign w:val="bottom"/>
            <w:gridSpan w:val="3"/>
          </w:tcPr>
          <w:p>
            <w:pPr>
              <w:jc w:val="center"/>
              <w:ind w:right="220"/>
              <w:spacing w:after="0"/>
              <w:rPr>
                <w:sz w:val="20"/>
                <w:szCs w:val="20"/>
                <w:color w:val="auto"/>
              </w:rPr>
            </w:pPr>
            <w:r>
              <w:rPr>
                <w:rFonts w:ascii="Arial" w:cs="Arial" w:eastAsia="Arial" w:hAnsi="Arial"/>
                <w:sz w:val="20"/>
                <w:szCs w:val="20"/>
                <w:color w:val="auto"/>
                <w:w w:val="88"/>
              </w:rPr>
              <w:t>Three Months Ended</w:t>
            </w:r>
          </w:p>
        </w:tc>
        <w:tc>
          <w:tcPr>
            <w:tcW w:w="2520" w:type="dxa"/>
            <w:vAlign w:val="bottom"/>
            <w:gridSpan w:val="2"/>
          </w:tcPr>
          <w:p>
            <w:pPr>
              <w:jc w:val="center"/>
              <w:spacing w:after="0"/>
              <w:rPr>
                <w:sz w:val="20"/>
                <w:szCs w:val="20"/>
                <w:color w:val="auto"/>
              </w:rPr>
            </w:pPr>
            <w:r>
              <w:rPr>
                <w:rFonts w:ascii="Arial" w:cs="Arial" w:eastAsia="Arial" w:hAnsi="Arial"/>
                <w:sz w:val="20"/>
                <w:szCs w:val="20"/>
                <w:color w:val="auto"/>
                <w:w w:val="89"/>
              </w:rPr>
              <w:t>Nine Months Ended</w:t>
            </w:r>
          </w:p>
        </w:tc>
      </w:tr>
      <w:tr>
        <w:trPr>
          <w:trHeight w:val="246"/>
        </w:trPr>
        <w:tc>
          <w:tcPr>
            <w:tcW w:w="2800" w:type="dxa"/>
            <w:vAlign w:val="bottom"/>
            <w:gridSpan w:val="3"/>
          </w:tcPr>
          <w:p>
            <w:pPr>
              <w:jc w:val="center"/>
              <w:ind w:right="220"/>
              <w:spacing w:after="0"/>
              <w:rPr>
                <w:sz w:val="20"/>
                <w:szCs w:val="20"/>
                <w:color w:val="auto"/>
              </w:rPr>
            </w:pPr>
            <w:r>
              <w:rPr>
                <w:rFonts w:ascii="Arial" w:cs="Arial" w:eastAsia="Arial" w:hAnsi="Arial"/>
                <w:sz w:val="20"/>
                <w:szCs w:val="20"/>
                <w:color w:val="auto"/>
                <w:w w:val="86"/>
              </w:rPr>
              <w:t>September 30,</w:t>
            </w:r>
          </w:p>
        </w:tc>
        <w:tc>
          <w:tcPr>
            <w:tcW w:w="2520" w:type="dxa"/>
            <w:vAlign w:val="bottom"/>
            <w:gridSpan w:val="2"/>
          </w:tcPr>
          <w:p>
            <w:pPr>
              <w:jc w:val="center"/>
              <w:spacing w:after="0"/>
              <w:rPr>
                <w:sz w:val="20"/>
                <w:szCs w:val="20"/>
                <w:color w:val="auto"/>
              </w:rPr>
            </w:pPr>
            <w:r>
              <w:rPr>
                <w:rFonts w:ascii="Arial" w:cs="Arial" w:eastAsia="Arial" w:hAnsi="Arial"/>
                <w:sz w:val="20"/>
                <w:szCs w:val="20"/>
                <w:color w:val="auto"/>
                <w:w w:val="86"/>
              </w:rPr>
              <w:t>September 30,</w:t>
            </w:r>
          </w:p>
        </w:tc>
      </w:tr>
      <w:tr>
        <w:trPr>
          <w:trHeight w:val="244"/>
        </w:trPr>
        <w:tc>
          <w:tcPr>
            <w:tcW w:w="1300" w:type="dxa"/>
            <w:vAlign w:val="bottom"/>
            <w:tcBorders>
              <w:top w:val="single" w:sz="8" w:color="auto"/>
            </w:tcBorders>
          </w:tcPr>
          <w:p>
            <w:pPr>
              <w:jc w:val="right"/>
              <w:ind w:right="421"/>
              <w:spacing w:after="0"/>
              <w:rPr>
                <w:sz w:val="20"/>
                <w:szCs w:val="20"/>
                <w:color w:val="auto"/>
              </w:rPr>
            </w:pPr>
            <w:r>
              <w:rPr>
                <w:rFonts w:ascii="Arial" w:cs="Arial" w:eastAsia="Arial" w:hAnsi="Arial"/>
                <w:sz w:val="20"/>
                <w:szCs w:val="20"/>
                <w:color w:val="auto"/>
              </w:rPr>
              <w:t>2015</w:t>
            </w:r>
          </w:p>
        </w:tc>
        <w:tc>
          <w:tcPr>
            <w:tcW w:w="1280" w:type="dxa"/>
            <w:vAlign w:val="bottom"/>
            <w:tcBorders>
              <w:top w:val="single" w:sz="8" w:color="auto"/>
            </w:tcBorders>
          </w:tcPr>
          <w:p>
            <w:pPr>
              <w:jc w:val="right"/>
              <w:ind w:right="281"/>
              <w:spacing w:after="0"/>
              <w:rPr>
                <w:sz w:val="20"/>
                <w:szCs w:val="20"/>
                <w:color w:val="auto"/>
              </w:rPr>
            </w:pPr>
            <w:r>
              <w:rPr>
                <w:rFonts w:ascii="Arial" w:cs="Arial" w:eastAsia="Arial" w:hAnsi="Arial"/>
                <w:sz w:val="20"/>
                <w:szCs w:val="20"/>
                <w:color w:val="auto"/>
              </w:rPr>
              <w:t>2014</w:t>
            </w:r>
          </w:p>
        </w:tc>
        <w:tc>
          <w:tcPr>
            <w:tcW w:w="220" w:type="dxa"/>
            <w:vAlign w:val="bottom"/>
          </w:tcPr>
          <w:p>
            <w:pPr>
              <w:spacing w:after="0"/>
              <w:rPr>
                <w:sz w:val="21"/>
                <w:szCs w:val="21"/>
                <w:color w:val="auto"/>
              </w:rPr>
            </w:pPr>
          </w:p>
        </w:tc>
        <w:tc>
          <w:tcPr>
            <w:tcW w:w="1260" w:type="dxa"/>
            <w:vAlign w:val="bottom"/>
            <w:tcBorders>
              <w:top w:val="single" w:sz="8" w:color="auto"/>
            </w:tcBorders>
          </w:tcPr>
          <w:p>
            <w:pPr>
              <w:jc w:val="right"/>
              <w:ind w:right="401"/>
              <w:spacing w:after="0"/>
              <w:rPr>
                <w:sz w:val="20"/>
                <w:szCs w:val="20"/>
                <w:color w:val="auto"/>
              </w:rPr>
            </w:pPr>
            <w:r>
              <w:rPr>
                <w:rFonts w:ascii="Arial" w:cs="Arial" w:eastAsia="Arial" w:hAnsi="Arial"/>
                <w:sz w:val="20"/>
                <w:szCs w:val="20"/>
                <w:color w:val="auto"/>
              </w:rPr>
              <w:t>2015</w:t>
            </w:r>
          </w:p>
        </w:tc>
        <w:tc>
          <w:tcPr>
            <w:tcW w:w="1260" w:type="dxa"/>
            <w:vAlign w:val="bottom"/>
            <w:tcBorders>
              <w:top w:val="single" w:sz="8" w:color="auto"/>
            </w:tcBorders>
          </w:tcPr>
          <w:p>
            <w:pPr>
              <w:jc w:val="right"/>
              <w:ind w:right="281"/>
              <w:spacing w:after="0"/>
              <w:rPr>
                <w:sz w:val="20"/>
                <w:szCs w:val="20"/>
                <w:color w:val="auto"/>
              </w:rPr>
            </w:pPr>
            <w:r>
              <w:rPr>
                <w:rFonts w:ascii="Arial" w:cs="Arial" w:eastAsia="Arial" w:hAnsi="Arial"/>
                <w:sz w:val="20"/>
                <w:szCs w:val="20"/>
                <w:color w:val="auto"/>
              </w:rPr>
              <w:t>2014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3890010</wp:posOffset>
            </wp:positionH>
            <wp:positionV relativeFrom="paragraph">
              <wp:posOffset>-3810</wp:posOffset>
            </wp:positionV>
            <wp:extent cx="33705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70580" cy="8890"/>
                    </a:xfrm>
                    <a:prstGeom prst="rect">
                      <a:avLst/>
                    </a:prstGeom>
                    <a:noFill/>
                  </pic:spPr>
                </pic:pic>
              </a:graphicData>
            </a:graphic>
          </wp:anchor>
        </w:drawing>
      </w:r>
    </w:p>
    <w:p>
      <w:pPr>
        <w:jc w:val="right"/>
        <w:ind w:right="2120"/>
        <w:spacing w:after="0"/>
        <w:rPr>
          <w:sz w:val="20"/>
          <w:szCs w:val="20"/>
          <w:color w:val="auto"/>
        </w:rPr>
      </w:pPr>
      <w:r>
        <w:rPr>
          <w:rFonts w:ascii="Arial" w:cs="Arial" w:eastAsia="Arial" w:hAnsi="Arial"/>
          <w:sz w:val="20"/>
          <w:szCs w:val="20"/>
          <w:i w:val="1"/>
          <w:iCs w:val="1"/>
          <w:color w:val="auto"/>
        </w:rPr>
        <w:t>(In Thousands)</w:t>
      </w:r>
    </w:p>
    <w:p>
      <w:pPr>
        <w:sectPr>
          <w:pgSz w:w="11900" w:h="16838" w:orient="portrait"/>
          <w:cols w:equalWidth="0" w:num="1">
            <w:col w:w="11500"/>
          </w:cols>
          <w:pgMar w:left="240" w:top="122" w:right="159" w:bottom="1440" w:gutter="0" w:footer="0" w:header="0"/>
        </w:sectPr>
      </w:pPr>
    </w:p>
    <w:p>
      <w:pPr>
        <w:spacing w:after="0" w:line="20" w:lineRule="exact"/>
        <w:rPr>
          <w:sz w:val="20"/>
          <w:szCs w:val="20"/>
          <w:color w:val="auto"/>
        </w:rPr>
      </w:pPr>
    </w:p>
    <w:p>
      <w:pPr>
        <w:ind w:left="300" w:right="1020" w:hanging="296"/>
        <w:spacing w:after="0" w:line="246" w:lineRule="auto"/>
        <w:rPr>
          <w:sz w:val="20"/>
          <w:szCs w:val="20"/>
          <w:color w:val="auto"/>
        </w:rPr>
      </w:pPr>
      <w:r>
        <w:rPr>
          <w:rFonts w:ascii="Arial" w:cs="Arial" w:eastAsia="Arial" w:hAnsi="Arial"/>
          <w:sz w:val="20"/>
          <w:szCs w:val="20"/>
          <w:color w:val="auto"/>
        </w:rPr>
        <w:t>Net earnings from continuing operations attributable to Martin Marietta Materials, Inc.</w:t>
      </w:r>
    </w:p>
    <w:p>
      <w:pPr>
        <w:spacing w:after="0" w:line="1" w:lineRule="exact"/>
        <w:rPr>
          <w:sz w:val="20"/>
          <w:szCs w:val="20"/>
          <w:color w:val="auto"/>
        </w:rPr>
      </w:pPr>
    </w:p>
    <w:p>
      <w:pPr>
        <w:ind w:left="260" w:right="740" w:hanging="246"/>
        <w:spacing w:after="0" w:line="249" w:lineRule="auto"/>
        <w:rPr>
          <w:sz w:val="20"/>
          <w:szCs w:val="20"/>
          <w:color w:val="auto"/>
        </w:rPr>
      </w:pPr>
      <w:r>
        <w:rPr>
          <w:rFonts w:ascii="Arial" w:cs="Arial" w:eastAsia="Arial" w:hAnsi="Arial"/>
          <w:sz w:val="20"/>
          <w:szCs w:val="20"/>
          <w:color w:val="auto"/>
        </w:rPr>
        <w:t>Less: Distributed and undistributed earnings attributable to unvested awards</w:t>
      </w:r>
    </w:p>
    <w:p>
      <w:pPr>
        <w:spacing w:after="0" w:line="2" w:lineRule="exact"/>
        <w:rPr>
          <w:sz w:val="20"/>
          <w:szCs w:val="20"/>
          <w:color w:val="auto"/>
        </w:rPr>
      </w:pPr>
    </w:p>
    <w:p>
      <w:pPr>
        <w:ind w:left="260" w:right="980" w:hanging="246"/>
        <w:spacing w:after="0" w:line="259" w:lineRule="auto"/>
        <w:rPr>
          <w:sz w:val="20"/>
          <w:szCs w:val="20"/>
          <w:color w:val="auto"/>
        </w:rPr>
      </w:pPr>
      <w:r>
        <w:rPr>
          <w:rFonts w:ascii="Arial" w:cs="Arial" w:eastAsia="Arial" w:hAnsi="Arial"/>
          <w:sz w:val="19"/>
          <w:szCs w:val="19"/>
          <w:color w:val="auto"/>
        </w:rPr>
        <w:t>Basic and diluted net earnings available to common shareholders from continuing operations attributable to Martin Marietta Materials, Inc.</w:t>
      </w:r>
    </w:p>
    <w:p>
      <w:pPr>
        <w:spacing w:after="0" w:line="2" w:lineRule="exact"/>
        <w:rPr>
          <w:sz w:val="20"/>
          <w:szCs w:val="20"/>
          <w:color w:val="auto"/>
        </w:rPr>
      </w:pPr>
    </w:p>
    <w:p>
      <w:pPr>
        <w:ind w:left="260" w:right="1660" w:hanging="246"/>
        <w:spacing w:after="0" w:line="312" w:lineRule="auto"/>
        <w:rPr>
          <w:sz w:val="20"/>
          <w:szCs w:val="20"/>
          <w:color w:val="auto"/>
        </w:rPr>
      </w:pPr>
      <w:r>
        <w:rPr>
          <w:rFonts w:ascii="Arial" w:cs="Arial" w:eastAsia="Arial" w:hAnsi="Arial"/>
          <w:sz w:val="16"/>
          <w:szCs w:val="16"/>
          <w:color w:val="auto"/>
        </w:rPr>
        <w:t>Basic and diluted net loss available to common shareholders from discontinued operations</w:t>
      </w:r>
    </w:p>
    <w:p>
      <w:pPr>
        <w:spacing w:after="0" w:line="1" w:lineRule="exact"/>
        <w:rPr>
          <w:sz w:val="20"/>
          <w:szCs w:val="20"/>
          <w:color w:val="auto"/>
        </w:rPr>
      </w:pPr>
    </w:p>
    <w:p>
      <w:pPr>
        <w:ind w:left="260" w:right="480" w:hanging="246"/>
        <w:spacing w:after="0" w:line="316" w:lineRule="auto"/>
        <w:rPr>
          <w:sz w:val="20"/>
          <w:szCs w:val="20"/>
          <w:color w:val="auto"/>
        </w:rPr>
      </w:pPr>
      <w:r>
        <w:rPr>
          <w:rFonts w:ascii="Arial" w:cs="Arial" w:eastAsia="Arial" w:hAnsi="Arial"/>
          <w:sz w:val="18"/>
          <w:szCs w:val="18"/>
          <w:color w:val="auto"/>
        </w:rPr>
        <w:t>Basic and diluted net earnings available to common shareholders attributable to Martin Marietta Materials, Inc.</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color w:val="auto"/>
        </w:rPr>
        <w:t>Basic weighted-average common shares outstanding</w:t>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color w:val="auto"/>
        </w:rPr>
        <w:t>Effect of dilutive employee and director awards</w:t>
      </w:r>
    </w:p>
    <w:p>
      <w:pPr>
        <w:spacing w:after="0" w:line="19" w:lineRule="exact"/>
        <w:rPr>
          <w:sz w:val="20"/>
          <w:szCs w:val="20"/>
          <w:color w:val="auto"/>
        </w:rPr>
      </w:pPr>
    </w:p>
    <w:p>
      <w:pPr>
        <w:spacing w:after="0"/>
        <w:rPr>
          <w:sz w:val="20"/>
          <w:szCs w:val="20"/>
          <w:color w:val="auto"/>
        </w:rPr>
      </w:pPr>
      <w:r>
        <w:rPr>
          <w:rFonts w:ascii="Arial" w:cs="Arial" w:eastAsia="Arial" w:hAnsi="Arial"/>
          <w:sz w:val="20"/>
          <w:szCs w:val="20"/>
          <w:color w:val="auto"/>
        </w:rPr>
        <w:t>Diluted weighted-average common shares outstanding</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320" w:type="dxa"/>
            <w:vAlign w:val="bottom"/>
          </w:tcPr>
          <w:p>
            <w:pPr>
              <w:jc w:val="right"/>
              <w:ind w:right="121"/>
              <w:spacing w:after="0"/>
              <w:rPr>
                <w:sz w:val="20"/>
                <w:szCs w:val="20"/>
                <w:color w:val="auto"/>
              </w:rPr>
            </w:pPr>
            <w:r>
              <w:rPr>
                <w:rFonts w:ascii="Arial" w:cs="Arial" w:eastAsia="Arial" w:hAnsi="Arial"/>
                <w:sz w:val="20"/>
                <w:szCs w:val="20"/>
                <w:color w:val="auto"/>
                <w:w w:val="71"/>
              </w:rPr>
              <w:t>$</w:t>
            </w:r>
          </w:p>
        </w:tc>
        <w:tc>
          <w:tcPr>
            <w:tcW w:w="860" w:type="dxa"/>
            <w:vAlign w:val="bottom"/>
          </w:tcPr>
          <w:p>
            <w:pPr>
              <w:jc w:val="right"/>
              <w:spacing w:after="0"/>
              <w:rPr>
                <w:sz w:val="20"/>
                <w:szCs w:val="20"/>
                <w:color w:val="auto"/>
              </w:rPr>
            </w:pPr>
            <w:r>
              <w:rPr>
                <w:rFonts w:ascii="Arial" w:cs="Arial" w:eastAsia="Arial" w:hAnsi="Arial"/>
                <w:sz w:val="20"/>
                <w:szCs w:val="20"/>
                <w:color w:val="auto"/>
              </w:rPr>
              <w:t>117,544</w:t>
            </w:r>
          </w:p>
        </w:tc>
        <w:tc>
          <w:tcPr>
            <w:tcW w:w="240" w:type="dxa"/>
            <w:vAlign w:val="bottom"/>
          </w:tcPr>
          <w:p>
            <w:pPr>
              <w:spacing w:after="0"/>
              <w:rPr>
                <w:sz w:val="21"/>
                <w:szCs w:val="21"/>
                <w:color w:val="auto"/>
              </w:rPr>
            </w:pPr>
          </w:p>
        </w:tc>
        <w:tc>
          <w:tcPr>
            <w:tcW w:w="360" w:type="dxa"/>
            <w:vAlign w:val="bottom"/>
          </w:tcPr>
          <w:p>
            <w:pPr>
              <w:jc w:val="right"/>
              <w:ind w:right="161"/>
              <w:spacing w:after="0"/>
              <w:rPr>
                <w:sz w:val="20"/>
                <w:szCs w:val="20"/>
                <w:color w:val="auto"/>
              </w:rPr>
            </w:pPr>
            <w:r>
              <w:rPr>
                <w:rFonts w:ascii="Arial" w:cs="Arial" w:eastAsia="Arial" w:hAnsi="Arial"/>
                <w:sz w:val="20"/>
                <w:szCs w:val="20"/>
                <w:color w:val="auto"/>
                <w:w w:val="71"/>
              </w:rPr>
              <w:t>$</w:t>
            </w:r>
          </w:p>
        </w:tc>
        <w:tc>
          <w:tcPr>
            <w:tcW w:w="800" w:type="dxa"/>
            <w:vAlign w:val="bottom"/>
          </w:tcPr>
          <w:p>
            <w:pPr>
              <w:jc w:val="right"/>
              <w:spacing w:after="0"/>
              <w:rPr>
                <w:sz w:val="20"/>
                <w:szCs w:val="20"/>
                <w:color w:val="auto"/>
              </w:rPr>
            </w:pPr>
            <w:r>
              <w:rPr>
                <w:rFonts w:ascii="Arial" w:cs="Arial" w:eastAsia="Arial" w:hAnsi="Arial"/>
                <w:sz w:val="20"/>
                <w:szCs w:val="20"/>
                <w:color w:val="auto"/>
              </w:rPr>
              <w:t>53,812</w:t>
            </w:r>
          </w:p>
        </w:tc>
        <w:tc>
          <w:tcPr>
            <w:tcW w:w="140" w:type="dxa"/>
            <w:vAlign w:val="bottom"/>
          </w:tcPr>
          <w:p>
            <w:pPr>
              <w:spacing w:after="0"/>
              <w:rPr>
                <w:sz w:val="21"/>
                <w:szCs w:val="21"/>
                <w:color w:val="auto"/>
              </w:rPr>
            </w:pPr>
          </w:p>
        </w:tc>
        <w:tc>
          <w:tcPr>
            <w:tcW w:w="380" w:type="dxa"/>
            <w:vAlign w:val="bottom"/>
            <w:gridSpan w:val="2"/>
          </w:tcPr>
          <w:p>
            <w:pPr>
              <w:jc w:val="right"/>
              <w:ind w:right="101"/>
              <w:spacing w:after="0"/>
              <w:rPr>
                <w:sz w:val="20"/>
                <w:szCs w:val="20"/>
                <w:color w:val="auto"/>
              </w:rPr>
            </w:pPr>
            <w:r>
              <w:rPr>
                <w:rFonts w:ascii="Arial" w:cs="Arial" w:eastAsia="Arial" w:hAnsi="Arial"/>
                <w:sz w:val="20"/>
                <w:szCs w:val="20"/>
                <w:color w:val="auto"/>
              </w:rPr>
              <w:t>$</w:t>
            </w:r>
          </w:p>
        </w:tc>
        <w:tc>
          <w:tcPr>
            <w:tcW w:w="840" w:type="dxa"/>
            <w:vAlign w:val="bottom"/>
          </w:tcPr>
          <w:p>
            <w:pPr>
              <w:jc w:val="right"/>
              <w:spacing w:after="0"/>
              <w:rPr>
                <w:sz w:val="20"/>
                <w:szCs w:val="20"/>
                <w:color w:val="auto"/>
              </w:rPr>
            </w:pPr>
            <w:r>
              <w:rPr>
                <w:rFonts w:ascii="Arial" w:cs="Arial" w:eastAsia="Arial" w:hAnsi="Arial"/>
                <w:sz w:val="20"/>
                <w:szCs w:val="20"/>
                <w:color w:val="auto"/>
              </w:rPr>
              <w:t>205,607</w:t>
            </w:r>
          </w:p>
        </w:tc>
        <w:tc>
          <w:tcPr>
            <w:tcW w:w="220" w:type="dxa"/>
            <w:vAlign w:val="bottom"/>
          </w:tcPr>
          <w:p>
            <w:pPr>
              <w:spacing w:after="0"/>
              <w:rPr>
                <w:sz w:val="21"/>
                <w:szCs w:val="21"/>
                <w:color w:val="auto"/>
              </w:rPr>
            </w:pPr>
          </w:p>
        </w:tc>
        <w:tc>
          <w:tcPr>
            <w:tcW w:w="360" w:type="dxa"/>
            <w:vAlign w:val="bottom"/>
          </w:tcPr>
          <w:p>
            <w:pPr>
              <w:jc w:val="right"/>
              <w:ind w:right="161"/>
              <w:spacing w:after="0"/>
              <w:rPr>
                <w:sz w:val="20"/>
                <w:szCs w:val="20"/>
                <w:color w:val="auto"/>
              </w:rPr>
            </w:pPr>
            <w:r>
              <w:rPr>
                <w:rFonts w:ascii="Arial" w:cs="Arial" w:eastAsia="Arial" w:hAnsi="Arial"/>
                <w:sz w:val="20"/>
                <w:szCs w:val="20"/>
                <w:color w:val="auto"/>
                <w:w w:val="71"/>
              </w:rPr>
              <w:t>$</w:t>
            </w:r>
          </w:p>
        </w:tc>
        <w:tc>
          <w:tcPr>
            <w:tcW w:w="800" w:type="dxa"/>
            <w:vAlign w:val="bottom"/>
          </w:tcPr>
          <w:p>
            <w:pPr>
              <w:jc w:val="right"/>
              <w:spacing w:after="0"/>
              <w:rPr>
                <w:sz w:val="20"/>
                <w:szCs w:val="20"/>
                <w:color w:val="auto"/>
              </w:rPr>
            </w:pPr>
            <w:r>
              <w:rPr>
                <w:rFonts w:ascii="Arial" w:cs="Arial" w:eastAsia="Arial" w:hAnsi="Arial"/>
                <w:sz w:val="20"/>
                <w:szCs w:val="20"/>
                <w:color w:val="auto"/>
              </w:rPr>
              <w:t>91,786</w:t>
            </w:r>
          </w:p>
        </w:tc>
        <w:tc>
          <w:tcPr>
            <w:tcW w:w="60" w:type="dxa"/>
            <w:vAlign w:val="bottom"/>
          </w:tcPr>
          <w:p>
            <w:pPr>
              <w:spacing w:after="0"/>
              <w:rPr>
                <w:sz w:val="21"/>
                <w:szCs w:val="21"/>
                <w:color w:val="auto"/>
              </w:rPr>
            </w:pPr>
          </w:p>
        </w:tc>
      </w:tr>
      <w:tr>
        <w:trPr>
          <w:trHeight w:val="473"/>
        </w:trPr>
        <w:tc>
          <w:tcPr>
            <w:tcW w:w="3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479</w:t>
            </w: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213</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897</w:t>
            </w: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372</w:t>
            </w:r>
          </w:p>
        </w:tc>
        <w:tc>
          <w:tcPr>
            <w:tcW w:w="60" w:type="dxa"/>
            <w:vAlign w:val="bottom"/>
          </w:tcPr>
          <w:p>
            <w:pPr>
              <w:spacing w:after="0"/>
              <w:rPr>
                <w:sz w:val="24"/>
                <w:szCs w:val="24"/>
                <w:color w:val="auto"/>
              </w:rPr>
            </w:pPr>
          </w:p>
        </w:tc>
      </w:tr>
      <w:tr>
        <w:trPr>
          <w:trHeight w:val="118"/>
        </w:trPr>
        <w:tc>
          <w:tcPr>
            <w:tcW w:w="32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r>
      <w:tr>
        <w:trPr>
          <w:trHeight w:val="700"/>
        </w:trPr>
        <w:tc>
          <w:tcPr>
            <w:tcW w:w="3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117,065</w:t>
            </w: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53,599</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204,710</w:t>
            </w: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91,414</w:t>
            </w:r>
          </w:p>
        </w:tc>
        <w:tc>
          <w:tcPr>
            <w:tcW w:w="60" w:type="dxa"/>
            <w:vAlign w:val="bottom"/>
          </w:tcPr>
          <w:p>
            <w:pPr>
              <w:spacing w:after="0"/>
              <w:rPr>
                <w:sz w:val="24"/>
                <w:szCs w:val="24"/>
                <w:color w:val="auto"/>
              </w:rPr>
            </w:pPr>
          </w:p>
        </w:tc>
      </w:tr>
      <w:tr>
        <w:trPr>
          <w:trHeight w:val="469"/>
        </w:trPr>
        <w:tc>
          <w:tcPr>
            <w:tcW w:w="3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w:t>
            </w: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20"/>
                <w:szCs w:val="20"/>
                <w:color w:val="auto"/>
              </w:rPr>
              <w:t>(69)</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20"/>
                <w:szCs w:val="20"/>
                <w:color w:val="auto"/>
              </w:rPr>
              <w:t>—</w:t>
            </w:r>
          </w:p>
        </w:tc>
        <w:tc>
          <w:tcPr>
            <w:tcW w:w="36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Arial" w:cs="Arial" w:eastAsia="Arial" w:hAnsi="Arial"/>
                <w:sz w:val="20"/>
                <w:szCs w:val="20"/>
                <w:color w:val="auto"/>
              </w:rPr>
              <w:t>(140)</w:t>
            </w:r>
          </w:p>
        </w:tc>
      </w:tr>
      <w:tr>
        <w:trPr>
          <w:trHeight w:val="466"/>
        </w:trPr>
        <w:tc>
          <w:tcPr>
            <w:tcW w:w="320" w:type="dxa"/>
            <w:vAlign w:val="bottom"/>
            <w:tcBorders>
              <w:top w:val="single" w:sz="8" w:color="auto"/>
              <w:bottom w:val="single" w:sz="8" w:color="auto"/>
            </w:tcBorders>
          </w:tcPr>
          <w:p>
            <w:pPr>
              <w:jc w:val="right"/>
              <w:ind w:right="121"/>
              <w:spacing w:after="0"/>
              <w:rPr>
                <w:sz w:val="20"/>
                <w:szCs w:val="20"/>
                <w:color w:val="auto"/>
              </w:rPr>
            </w:pPr>
            <w:r>
              <w:rPr>
                <w:rFonts w:ascii="Arial" w:cs="Arial" w:eastAsia="Arial" w:hAnsi="Arial"/>
                <w:sz w:val="20"/>
                <w:szCs w:val="20"/>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117,065</w:t>
            </w:r>
          </w:p>
        </w:tc>
        <w:tc>
          <w:tcPr>
            <w:tcW w:w="240" w:type="dxa"/>
            <w:vAlign w:val="bottom"/>
          </w:tcPr>
          <w:p>
            <w:pPr>
              <w:spacing w:after="0"/>
              <w:rPr>
                <w:sz w:val="24"/>
                <w:szCs w:val="24"/>
                <w:color w:val="auto"/>
              </w:rPr>
            </w:pPr>
          </w:p>
        </w:tc>
        <w:tc>
          <w:tcPr>
            <w:tcW w:w="360" w:type="dxa"/>
            <w:vAlign w:val="bottom"/>
            <w:tcBorders>
              <w:top w:val="single" w:sz="8" w:color="auto"/>
              <w:bottom w:val="single" w:sz="8" w:color="auto"/>
            </w:tcBorders>
          </w:tcPr>
          <w:p>
            <w:pPr>
              <w:jc w:val="right"/>
              <w:ind w:right="161"/>
              <w:spacing w:after="0"/>
              <w:rPr>
                <w:sz w:val="20"/>
                <w:szCs w:val="20"/>
                <w:color w:val="auto"/>
              </w:rPr>
            </w:pPr>
            <w:r>
              <w:rPr>
                <w:rFonts w:ascii="Arial" w:cs="Arial" w:eastAsia="Arial" w:hAnsi="Arial"/>
                <w:sz w:val="20"/>
                <w:szCs w:val="20"/>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53,530</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Borders>
              <w:top w:val="single" w:sz="8" w:color="auto"/>
              <w:bottom w:val="single" w:sz="8" w:color="auto"/>
            </w:tcBorders>
          </w:tcPr>
          <w:p>
            <w:pPr>
              <w:jc w:val="right"/>
              <w:ind w:right="101"/>
              <w:spacing w:after="0"/>
              <w:rPr>
                <w:sz w:val="20"/>
                <w:szCs w:val="20"/>
                <w:color w:val="auto"/>
              </w:rPr>
            </w:pPr>
            <w:r>
              <w:rPr>
                <w:rFonts w:ascii="Arial" w:cs="Arial" w:eastAsia="Arial" w:hAnsi="Arial"/>
                <w:sz w:val="20"/>
                <w:szCs w:val="20"/>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204,710</w:t>
            </w:r>
          </w:p>
        </w:tc>
        <w:tc>
          <w:tcPr>
            <w:tcW w:w="220" w:type="dxa"/>
            <w:vAlign w:val="bottom"/>
          </w:tcPr>
          <w:p>
            <w:pPr>
              <w:spacing w:after="0"/>
              <w:rPr>
                <w:sz w:val="24"/>
                <w:szCs w:val="24"/>
                <w:color w:val="auto"/>
              </w:rPr>
            </w:pPr>
          </w:p>
        </w:tc>
        <w:tc>
          <w:tcPr>
            <w:tcW w:w="360" w:type="dxa"/>
            <w:vAlign w:val="bottom"/>
            <w:tcBorders>
              <w:top w:val="single" w:sz="8" w:color="auto"/>
              <w:bottom w:val="single" w:sz="8" w:color="auto"/>
            </w:tcBorders>
          </w:tcPr>
          <w:p>
            <w:pPr>
              <w:jc w:val="right"/>
              <w:ind w:right="161"/>
              <w:spacing w:after="0"/>
              <w:rPr>
                <w:sz w:val="20"/>
                <w:szCs w:val="20"/>
                <w:color w:val="auto"/>
              </w:rPr>
            </w:pPr>
            <w:r>
              <w:rPr>
                <w:rFonts w:ascii="Arial" w:cs="Arial" w:eastAsia="Arial" w:hAnsi="Arial"/>
                <w:sz w:val="20"/>
                <w:szCs w:val="20"/>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91,274</w:t>
            </w:r>
          </w:p>
        </w:tc>
        <w:tc>
          <w:tcPr>
            <w:tcW w:w="60" w:type="dxa"/>
            <w:vAlign w:val="bottom"/>
          </w:tcPr>
          <w:p>
            <w:pPr>
              <w:spacing w:after="0"/>
              <w:rPr>
                <w:sz w:val="24"/>
                <w:szCs w:val="24"/>
                <w:color w:val="auto"/>
              </w:rPr>
            </w:pP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63"/>
        </w:trPr>
        <w:tc>
          <w:tcPr>
            <w:tcW w:w="3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66,830</w:t>
            </w: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67,086</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67,203</w:t>
            </w: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53,342</w:t>
            </w:r>
          </w:p>
        </w:tc>
        <w:tc>
          <w:tcPr>
            <w:tcW w:w="60" w:type="dxa"/>
            <w:vAlign w:val="bottom"/>
          </w:tcPr>
          <w:p>
            <w:pPr>
              <w:spacing w:after="0"/>
              <w:rPr>
                <w:sz w:val="24"/>
                <w:szCs w:val="24"/>
                <w:color w:val="auto"/>
              </w:rPr>
            </w:pPr>
          </w:p>
        </w:tc>
      </w:tr>
      <w:tr>
        <w:trPr>
          <w:trHeight w:val="246"/>
        </w:trPr>
        <w:tc>
          <w:tcPr>
            <w:tcW w:w="3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278</w:t>
            </w:r>
          </w:p>
        </w:tc>
        <w:tc>
          <w:tcPr>
            <w:tcW w:w="24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409</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267</w:t>
            </w:r>
          </w:p>
        </w:tc>
        <w:tc>
          <w:tcPr>
            <w:tcW w:w="22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217</w:t>
            </w:r>
          </w:p>
        </w:tc>
        <w:tc>
          <w:tcPr>
            <w:tcW w:w="60" w:type="dxa"/>
            <w:vAlign w:val="bottom"/>
          </w:tcPr>
          <w:p>
            <w:pPr>
              <w:spacing w:after="0"/>
              <w:rPr>
                <w:sz w:val="21"/>
                <w:szCs w:val="21"/>
                <w:color w:val="auto"/>
              </w:rPr>
            </w:pPr>
          </w:p>
        </w:tc>
      </w:tr>
      <w:tr>
        <w:trPr>
          <w:trHeight w:val="237"/>
        </w:trPr>
        <w:tc>
          <w:tcPr>
            <w:tcW w:w="3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67,108</w:t>
            </w:r>
          </w:p>
        </w:tc>
        <w:tc>
          <w:tcPr>
            <w:tcW w:w="2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67,495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67,470</w:t>
            </w:r>
          </w:p>
        </w:tc>
        <w:tc>
          <w:tcPr>
            <w:tcW w:w="2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53,559</w:t>
            </w:r>
          </w:p>
        </w:tc>
        <w:tc>
          <w:tcPr>
            <w:tcW w:w="60" w:type="dxa"/>
            <w:vAlign w:val="bottom"/>
          </w:tcPr>
          <w:p>
            <w:pPr>
              <w:spacing w:after="0"/>
              <w:rPr>
                <w:sz w:val="20"/>
                <w:szCs w:val="20"/>
                <w:color w:val="auto"/>
              </w:rPr>
            </w:pP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-3880485</wp:posOffset>
            </wp:positionH>
            <wp:positionV relativeFrom="paragraph">
              <wp:posOffset>-2040255</wp:posOffset>
            </wp:positionV>
            <wp:extent cx="7310120" cy="3003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310120" cy="300355"/>
                    </a:xfrm>
                    <a:prstGeom prst="rect">
                      <a:avLst/>
                    </a:prstGeom>
                    <a:noFill/>
                  </pic:spPr>
                </pic:pic>
              </a:graphicData>
            </a:graphic>
          </wp:anchor>
        </w:drawing>
        <w:drawing>
          <wp:anchor simplePos="0" relativeHeight="251657728" behindDoc="1" locked="0" layoutInCell="0" allowOverlap="1">
            <wp:simplePos x="0" y="0"/>
            <wp:positionH relativeFrom="column">
              <wp:posOffset>-3880485</wp:posOffset>
            </wp:positionH>
            <wp:positionV relativeFrom="paragraph">
              <wp:posOffset>-1285875</wp:posOffset>
            </wp:positionV>
            <wp:extent cx="7310120" cy="3003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310120" cy="300355"/>
                    </a:xfrm>
                    <a:prstGeom prst="rect">
                      <a:avLst/>
                    </a:prstGeom>
                    <a:noFill/>
                  </pic:spPr>
                </pic:pic>
              </a:graphicData>
            </a:graphic>
          </wp:anchor>
        </w:drawing>
        <w:drawing>
          <wp:anchor simplePos="0" relativeHeight="251657728" behindDoc="1" locked="0" layoutInCell="0" allowOverlap="1">
            <wp:simplePos x="0" y="0"/>
            <wp:positionH relativeFrom="column">
              <wp:posOffset>-3880485</wp:posOffset>
            </wp:positionH>
            <wp:positionV relativeFrom="paragraph">
              <wp:posOffset>-668020</wp:posOffset>
            </wp:positionV>
            <wp:extent cx="73101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310120" cy="171450"/>
                    </a:xfrm>
                    <a:prstGeom prst="rect">
                      <a:avLst/>
                    </a:prstGeom>
                    <a:noFill/>
                  </pic:spPr>
                </pic:pic>
              </a:graphicData>
            </a:graphic>
          </wp:anchor>
        </w:drawing>
        <w:drawing>
          <wp:anchor simplePos="0" relativeHeight="251657728" behindDoc="1" locked="0" layoutInCell="0" allowOverlap="1">
            <wp:simplePos x="0" y="0"/>
            <wp:positionH relativeFrom="column">
              <wp:posOffset>-3880485</wp:posOffset>
            </wp:positionH>
            <wp:positionV relativeFrom="paragraph">
              <wp:posOffset>-342265</wp:posOffset>
            </wp:positionV>
            <wp:extent cx="7310120" cy="1543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31012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400" w:space="720"/>
            <w:col w:w="5380"/>
          </w:cols>
          <w:pgMar w:left="240" w:top="122" w:right="159" w:bottom="1440" w:gutter="0" w:footer="0" w:header="0"/>
          <w:type w:val="continuous"/>
        </w:sectPr>
      </w:pPr>
    </w:p>
    <w:p>
      <w:pPr>
        <w:spacing w:after="0" w:line="101" w:lineRule="exact"/>
        <w:rPr>
          <w:sz w:val="20"/>
          <w:szCs w:val="20"/>
          <w:color w:val="auto"/>
        </w:rPr>
      </w:pPr>
    </w:p>
    <w:p>
      <w:pPr>
        <w:ind w:left="380" w:hanging="372"/>
        <w:spacing w:after="0"/>
        <w:tabs>
          <w:tab w:leader="none" w:pos="380" w:val="left"/>
        </w:tabs>
        <w:numPr>
          <w:ilvl w:val="0"/>
          <w:numId w:val="10"/>
        </w:numPr>
        <w:rPr>
          <w:rFonts w:ascii="Arial" w:cs="Arial" w:eastAsia="Arial" w:hAnsi="Arial"/>
          <w:sz w:val="20"/>
          <w:szCs w:val="20"/>
          <w:b w:val="1"/>
          <w:bCs w:val="1"/>
          <w:color w:val="auto"/>
        </w:rPr>
      </w:pPr>
      <w:r>
        <w:rPr>
          <w:rFonts w:ascii="Arial" w:cs="Arial" w:eastAsia="Arial" w:hAnsi="Arial"/>
          <w:sz w:val="20"/>
          <w:szCs w:val="20"/>
          <w:b w:val="1"/>
          <w:bCs w:val="1"/>
          <w:color w:val="auto"/>
        </w:rPr>
        <w:t>Business Combinations and Dispositions</w:t>
      </w:r>
    </w:p>
    <w:p>
      <w:pPr>
        <w:spacing w:after="0" w:line="113" w:lineRule="exact"/>
        <w:rPr>
          <w:rFonts w:ascii="Arial" w:cs="Arial" w:eastAsia="Arial" w:hAnsi="Arial"/>
          <w:sz w:val="20"/>
          <w:szCs w:val="20"/>
          <w:b w:val="1"/>
          <w:bCs w:val="1"/>
          <w:color w:val="auto"/>
        </w:rPr>
      </w:pPr>
    </w:p>
    <w:p>
      <w:pPr>
        <w:jc w:val="both"/>
        <w:ind w:left="380" w:right="80"/>
        <w:spacing w:after="0" w:line="274" w:lineRule="auto"/>
        <w:rPr>
          <w:rFonts w:ascii="Arial" w:cs="Arial" w:eastAsia="Arial" w:hAnsi="Arial"/>
          <w:sz w:val="20"/>
          <w:szCs w:val="20"/>
          <w:b w:val="1"/>
          <w:bCs w:val="1"/>
          <w:color w:val="auto"/>
        </w:rPr>
      </w:pPr>
      <w:r>
        <w:rPr>
          <w:rFonts w:ascii="Arial" w:cs="Arial" w:eastAsia="Arial" w:hAnsi="Arial"/>
          <w:sz w:val="18"/>
          <w:szCs w:val="18"/>
          <w:color w:val="auto"/>
        </w:rPr>
        <w:t>The Corporation acquired Texas Industries, Inc. (“TXI”) on July 1, 2014. For the three and nine months ended September 30, 2015, net sales of $290,918,000 and $736,450,000, respectively, and earnings from operations of $19,698,000 and $53,635,000, respectively, were attributable to TXI operations and are included in the Corporation’s consolidated statements of earnings and comprehensive earnings. Earnings from operations for the three and nine months ended September 30, 2015 reflect the loss and expenses related to the sale of the California cement operations. Please see “Disposition of Assets” in this footnote for further details on the disposition. For the three months ended September 30, 2014, net sales and earnings from operations, excluding termination benefit charges included in other operating expenses, net, attributable to TXI operations were $273,573,000 and $18,755,000, respectively.</w:t>
      </w:r>
    </w:p>
    <w:p>
      <w:pPr>
        <w:spacing w:after="0" w:line="169" w:lineRule="exact"/>
        <w:rPr>
          <w:rFonts w:ascii="Arial" w:cs="Arial" w:eastAsia="Arial" w:hAnsi="Arial"/>
          <w:sz w:val="20"/>
          <w:szCs w:val="20"/>
          <w:b w:val="1"/>
          <w:bCs w:val="1"/>
          <w:color w:val="auto"/>
        </w:rPr>
      </w:pPr>
    </w:p>
    <w:p>
      <w:pPr>
        <w:jc w:val="both"/>
        <w:ind w:left="380" w:right="80"/>
        <w:spacing w:after="0" w:line="250" w:lineRule="auto"/>
        <w:rPr>
          <w:rFonts w:ascii="Arial" w:cs="Arial" w:eastAsia="Arial" w:hAnsi="Arial"/>
          <w:sz w:val="20"/>
          <w:szCs w:val="20"/>
          <w:b w:val="1"/>
          <w:bCs w:val="1"/>
          <w:color w:val="auto"/>
        </w:rPr>
      </w:pPr>
      <w:r>
        <w:rPr>
          <w:rFonts w:ascii="Arial" w:cs="Arial" w:eastAsia="Arial" w:hAnsi="Arial"/>
          <w:sz w:val="20"/>
          <w:szCs w:val="20"/>
          <w:color w:val="auto"/>
        </w:rPr>
        <w:t>Acquisition and integration expenses associated with TXI were $1,663,000 and $5,259,000 for the three and nine months ended September 30, 2015, respectively. For the three and nine months ended September 30, 2014, acquisition and integration expenses associated with TXI were $73,968,000 and $88,959,000, respectively.</w:t>
      </w:r>
    </w:p>
    <w:p>
      <w:pPr>
        <w:spacing w:after="0" w:line="186"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Page 13 of 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500"/>
          </w:cols>
          <w:pgMar w:left="240" w:top="122" w:right="159" w:bottom="1440" w:gutter="0" w:footer="0" w:header="0"/>
          <w:type w:val="continuous"/>
        </w:sectPr>
      </w:pPr>
    </w:p>
    <w:bookmarkStart w:id="13" w:name="page14"/>
    <w:bookmarkEnd w:id="13"/>
    <w:p>
      <w:pPr>
        <w:jc w:val="center"/>
        <w:ind w:right="-19"/>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FORM 10-Q</w:t>
      </w:r>
    </w:p>
    <w:p>
      <w:pPr>
        <w:jc w:val="center"/>
        <w:ind w:right="-19"/>
        <w:spacing w:after="0"/>
        <w:rPr>
          <w:sz w:val="20"/>
          <w:szCs w:val="20"/>
          <w:color w:val="auto"/>
        </w:rPr>
      </w:pPr>
      <w:r>
        <w:rPr>
          <w:rFonts w:ascii="Arial" w:cs="Arial" w:eastAsia="Arial" w:hAnsi="Arial"/>
          <w:sz w:val="20"/>
          <w:szCs w:val="20"/>
          <w:color w:val="auto"/>
        </w:rPr>
        <w:t>For the Quarter Ended September 30, 2015</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NOTES TO CONSOLIDATED FINANCIAL STATEMENTS</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(Continued)</w:t>
      </w:r>
    </w:p>
    <w:p>
      <w:pPr>
        <w:spacing w:after="0" w:line="207" w:lineRule="exact"/>
        <w:rPr>
          <w:sz w:val="20"/>
          <w:szCs w:val="20"/>
          <w:color w:val="auto"/>
        </w:rPr>
      </w:pPr>
    </w:p>
    <w:p>
      <w:pPr>
        <w:ind w:left="380" w:hanging="372"/>
        <w:spacing w:after="0"/>
        <w:tabs>
          <w:tab w:leader="none" w:pos="380" w:val="left"/>
        </w:tabs>
        <w:numPr>
          <w:ilvl w:val="0"/>
          <w:numId w:val="11"/>
        </w:numPr>
        <w:rPr>
          <w:rFonts w:ascii="Arial" w:cs="Arial" w:eastAsia="Arial" w:hAnsi="Arial"/>
          <w:sz w:val="20"/>
          <w:szCs w:val="20"/>
          <w:b w:val="1"/>
          <w:bCs w:val="1"/>
          <w:color w:val="auto"/>
        </w:rPr>
      </w:pPr>
      <w:r>
        <w:rPr>
          <w:rFonts w:ascii="Arial" w:cs="Arial" w:eastAsia="Arial" w:hAnsi="Arial"/>
          <w:sz w:val="20"/>
          <w:szCs w:val="20"/>
          <w:b w:val="1"/>
          <w:bCs w:val="1"/>
          <w:color w:val="auto"/>
        </w:rPr>
        <w:t>Business Combinations and Dispositions (continued)</w:t>
      </w:r>
    </w:p>
    <w:p>
      <w:pPr>
        <w:spacing w:after="0" w:line="221" w:lineRule="exact"/>
        <w:rPr>
          <w:rFonts w:ascii="Arial" w:cs="Arial" w:eastAsia="Arial" w:hAnsi="Arial"/>
          <w:sz w:val="20"/>
          <w:szCs w:val="20"/>
          <w:b w:val="1"/>
          <w:bCs w:val="1"/>
          <w:color w:val="auto"/>
        </w:rPr>
      </w:pPr>
    </w:p>
    <w:p>
      <w:pPr>
        <w:ind w:left="380"/>
        <w:spacing w:after="0"/>
        <w:rPr>
          <w:rFonts w:ascii="Arial" w:cs="Arial" w:eastAsia="Arial" w:hAnsi="Arial"/>
          <w:sz w:val="20"/>
          <w:szCs w:val="20"/>
          <w:b w:val="1"/>
          <w:bCs w:val="1"/>
          <w:color w:val="auto"/>
        </w:rPr>
      </w:pPr>
      <w:r>
        <w:rPr>
          <w:rFonts w:ascii="Arial" w:cs="Arial" w:eastAsia="Arial" w:hAnsi="Arial"/>
          <w:sz w:val="20"/>
          <w:szCs w:val="20"/>
          <w:u w:val="single" w:color="auto"/>
          <w:color w:val="auto"/>
        </w:rPr>
        <w:t>Unaudited Pro Forma Financial Information</w:t>
      </w:r>
    </w:p>
    <w:p>
      <w:pPr>
        <w:spacing w:after="0" w:line="107" w:lineRule="exact"/>
        <w:rPr>
          <w:rFonts w:ascii="Arial" w:cs="Arial" w:eastAsia="Arial" w:hAnsi="Arial"/>
          <w:sz w:val="20"/>
          <w:szCs w:val="20"/>
          <w:b w:val="1"/>
          <w:bCs w:val="1"/>
          <w:color w:val="auto"/>
        </w:rPr>
      </w:pPr>
    </w:p>
    <w:p>
      <w:pPr>
        <w:ind w:left="380"/>
        <w:spacing w:after="0" w:line="260" w:lineRule="auto"/>
        <w:rPr>
          <w:rFonts w:ascii="Arial" w:cs="Arial" w:eastAsia="Arial" w:hAnsi="Arial"/>
          <w:sz w:val="20"/>
          <w:szCs w:val="20"/>
          <w:b w:val="1"/>
          <w:bCs w:val="1"/>
          <w:color w:val="auto"/>
        </w:rPr>
      </w:pPr>
      <w:r>
        <w:rPr>
          <w:rFonts w:ascii="Arial" w:cs="Arial" w:eastAsia="Arial" w:hAnsi="Arial"/>
          <w:sz w:val="20"/>
          <w:szCs w:val="20"/>
          <w:color w:val="auto"/>
        </w:rPr>
        <w:t>The pro forma financial information for the nine months ended September 30, 2014 reflects the elimination of business development and acquisition integration expenses and the gain on the required divestiture of assets.</w:t>
      </w:r>
    </w:p>
    <w:p>
      <w:pPr>
        <w:spacing w:after="0" w:line="68" w:lineRule="exact"/>
        <w:rPr>
          <w:rFonts w:ascii="Arial" w:cs="Arial" w:eastAsia="Arial" w:hAnsi="Arial"/>
          <w:sz w:val="20"/>
          <w:szCs w:val="20"/>
          <w:b w:val="1"/>
          <w:bCs w:val="1"/>
          <w:color w:val="auto"/>
        </w:rPr>
      </w:pPr>
    </w:p>
    <w:p>
      <w:pPr>
        <w:jc w:val="both"/>
        <w:ind w:left="380"/>
        <w:spacing w:after="0" w:line="250" w:lineRule="auto"/>
        <w:rPr>
          <w:rFonts w:ascii="Arial" w:cs="Arial" w:eastAsia="Arial" w:hAnsi="Arial"/>
          <w:sz w:val="20"/>
          <w:szCs w:val="20"/>
          <w:b w:val="1"/>
          <w:bCs w:val="1"/>
          <w:color w:val="auto"/>
        </w:rPr>
      </w:pPr>
      <w:r>
        <w:rPr>
          <w:rFonts w:ascii="Arial" w:cs="Arial" w:eastAsia="Arial" w:hAnsi="Arial"/>
          <w:sz w:val="20"/>
          <w:szCs w:val="20"/>
          <w:color w:val="auto"/>
        </w:rPr>
        <w:t>The unaudited pro forma financial information for the nine months ended September 30, 2014 includes TXI’s historical operating results for the six months ended May 31, 2014 (due to a difference in TXI’s historical reporting periods) and the results of operations for the TXI locations from July 1, 2014, the acquisition date, to September 30, 2014.</w:t>
      </w:r>
    </w:p>
    <w:p>
      <w:pPr>
        <w:spacing w:after="0" w:line="78" w:lineRule="exact"/>
        <w:rPr>
          <w:rFonts w:ascii="Arial" w:cs="Arial" w:eastAsia="Arial" w:hAnsi="Arial"/>
          <w:sz w:val="20"/>
          <w:szCs w:val="20"/>
          <w:b w:val="1"/>
          <w:bCs w:val="1"/>
          <w:color w:val="auto"/>
        </w:rPr>
      </w:pPr>
    </w:p>
    <w:p>
      <w:pPr>
        <w:ind w:left="380" w:right="20"/>
        <w:spacing w:after="0" w:line="287" w:lineRule="auto"/>
        <w:rPr>
          <w:rFonts w:ascii="Arial" w:cs="Arial" w:eastAsia="Arial" w:hAnsi="Arial"/>
          <w:sz w:val="20"/>
          <w:szCs w:val="20"/>
          <w:b w:val="1"/>
          <w:bCs w:val="1"/>
          <w:color w:val="auto"/>
        </w:rPr>
      </w:pPr>
      <w:r>
        <w:rPr>
          <w:rFonts w:ascii="Arial" w:cs="Arial" w:eastAsia="Arial" w:hAnsi="Arial"/>
          <w:sz w:val="19"/>
          <w:szCs w:val="19"/>
          <w:color w:val="auto"/>
        </w:rPr>
        <w:t>The pro forma financial information presented below is for informational purposes only and is not indicative of the results of operations that would have been achieved if the acquisitions had taken place at the beginning of the earliest period presented.</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20"/>
          <w:szCs w:val="20"/>
          <w:color w:val="auto"/>
        </w:rPr>
        <w:t>Net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1543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Earnings from continuing operations attributable to</w:t>
      </w:r>
    </w:p>
    <w:p>
      <w:pPr>
        <w:spacing w:after="0" w:line="31" w:lineRule="exact"/>
        <w:rPr>
          <w:sz w:val="20"/>
          <w:szCs w:val="20"/>
          <w:color w:val="auto"/>
        </w:rPr>
      </w:pPr>
    </w:p>
    <w:p>
      <w:pPr>
        <w:ind w:left="260"/>
        <w:spacing w:after="0"/>
        <w:rPr>
          <w:sz w:val="20"/>
          <w:szCs w:val="20"/>
          <w:color w:val="auto"/>
        </w:rPr>
      </w:pPr>
      <w:r>
        <w:rPr>
          <w:rFonts w:ascii="Arial" w:cs="Arial" w:eastAsia="Arial" w:hAnsi="Arial"/>
          <w:sz w:val="20"/>
          <w:szCs w:val="20"/>
          <w:color w:val="auto"/>
        </w:rPr>
        <w:t>controlling interest</w:t>
      </w:r>
    </w:p>
    <w:p>
      <w:pPr>
        <w:spacing w:after="0" w:line="200" w:lineRule="exact"/>
        <w:rPr>
          <w:sz w:val="20"/>
          <w:szCs w:val="20"/>
          <w:color w:val="auto"/>
        </w:rPr>
      </w:pPr>
    </w:p>
    <w:p>
      <w:pPr>
        <w:ind w:left="380"/>
        <w:spacing w:after="0"/>
        <w:rPr>
          <w:sz w:val="20"/>
          <w:szCs w:val="20"/>
          <w:color w:val="auto"/>
        </w:rPr>
      </w:pPr>
      <w:r>
        <w:rPr>
          <w:rFonts w:ascii="Arial" w:cs="Arial" w:eastAsia="Arial" w:hAnsi="Arial"/>
          <w:sz w:val="20"/>
          <w:szCs w:val="20"/>
          <w:u w:val="single" w:color="auto"/>
          <w:color w:val="auto"/>
        </w:rPr>
        <w:t>Disposition of Assets</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ind w:left="360"/>
        <w:spacing w:after="0"/>
        <w:rPr>
          <w:sz w:val="20"/>
          <w:szCs w:val="20"/>
          <w:color w:val="auto"/>
        </w:rPr>
      </w:pPr>
      <w:r>
        <w:rPr>
          <w:rFonts w:ascii="Arial" w:cs="Arial" w:eastAsia="Arial" w:hAnsi="Arial"/>
          <w:sz w:val="20"/>
          <w:szCs w:val="20"/>
          <w:color w:val="auto"/>
        </w:rPr>
        <w:t>Nine Months Ended</w:t>
      </w:r>
    </w:p>
    <w:p>
      <w:pPr>
        <w:spacing w:after="0" w:line="20" w:lineRule="exact"/>
        <w:rPr>
          <w:sz w:val="20"/>
          <w:szCs w:val="20"/>
          <w:color w:val="auto"/>
        </w:rPr>
      </w:pPr>
    </w:p>
    <w:p>
      <w:pPr>
        <w:ind w:left="360"/>
        <w:spacing w:after="0"/>
        <w:rPr>
          <w:sz w:val="20"/>
          <w:szCs w:val="20"/>
          <w:color w:val="auto"/>
        </w:rPr>
      </w:pPr>
      <w:r>
        <w:rPr>
          <w:rFonts w:ascii="Arial" w:cs="Arial" w:eastAsia="Arial" w:hAnsi="Arial"/>
          <w:sz w:val="20"/>
          <w:szCs w:val="20"/>
          <w:color w:val="auto"/>
        </w:rPr>
        <w:t>September 30,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5715</wp:posOffset>
            </wp:positionV>
            <wp:extent cx="148336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483360" cy="8890"/>
                    </a:xfrm>
                    <a:prstGeom prst="rect">
                      <a:avLst/>
                    </a:prstGeom>
                    <a:noFill/>
                  </pic:spPr>
                </pic:pic>
              </a:graphicData>
            </a:graphic>
          </wp:anchor>
        </w:drawing>
      </w:r>
    </w:p>
    <w:p>
      <w:pPr>
        <w:jc w:val="center"/>
        <w:ind w:right="140"/>
        <w:spacing w:after="0"/>
        <w:rPr>
          <w:sz w:val="20"/>
          <w:szCs w:val="20"/>
          <w:color w:val="auto"/>
        </w:rPr>
      </w:pPr>
      <w:r>
        <w:rPr>
          <w:rFonts w:ascii="Arial" w:cs="Arial" w:eastAsia="Arial" w:hAnsi="Arial"/>
          <w:sz w:val="20"/>
          <w:szCs w:val="20"/>
          <w:i w:val="1"/>
          <w:iCs w:val="1"/>
          <w:color w:val="auto"/>
        </w:rPr>
        <w:t>(Dollars in Thousands)</w:t>
      </w:r>
    </w:p>
    <w:p>
      <w:pPr>
        <w:spacing w:after="0" w:line="20" w:lineRule="exact"/>
        <w:rPr>
          <w:sz w:val="20"/>
          <w:szCs w:val="20"/>
          <w:color w:val="auto"/>
        </w:rPr>
      </w:pPr>
    </w:p>
    <w:p>
      <w:pPr>
        <w:spacing w:after="0"/>
        <w:tabs>
          <w:tab w:leader="none" w:pos="152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2,309,104</w:t>
      </w:r>
    </w:p>
    <w:p>
      <w:pPr>
        <w:spacing w:after="0" w:line="160" w:lineRule="exact"/>
        <w:rPr>
          <w:sz w:val="20"/>
          <w:szCs w:val="20"/>
          <w:color w:val="auto"/>
        </w:rPr>
      </w:pPr>
    </w:p>
    <w:p>
      <w:pPr>
        <w:spacing w:after="0"/>
        <w:tabs>
          <w:tab w:leader="none" w:pos="176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84,267</w:t>
      </w:r>
    </w:p>
    <w:p>
      <w:pPr>
        <w:spacing w:after="0" w:line="721" w:lineRule="exact"/>
        <w:rPr>
          <w:sz w:val="20"/>
          <w:szCs w:val="20"/>
          <w:color w:val="auto"/>
        </w:rPr>
      </w:pPr>
    </w:p>
    <w:p>
      <w:pPr>
        <w:sectPr>
          <w:pgSz w:w="11900" w:h="16838" w:orient="portrait"/>
          <w:cols w:equalWidth="0" w:num="2">
            <w:col w:w="8240" w:space="720"/>
            <w:col w:w="2460"/>
          </w:cols>
          <w:pgMar w:left="240" w:top="122" w:right="239" w:bottom="1440" w:gutter="0" w:footer="0" w:header="0"/>
          <w:type w:val="continuous"/>
        </w:sectPr>
      </w:pPr>
    </w:p>
    <w:p>
      <w:pPr>
        <w:jc w:val="both"/>
        <w:ind w:left="380"/>
        <w:spacing w:after="0" w:line="250" w:lineRule="auto"/>
        <w:rPr>
          <w:sz w:val="20"/>
          <w:szCs w:val="20"/>
          <w:color w:val="auto"/>
        </w:rPr>
      </w:pPr>
      <w:r>
        <w:rPr>
          <w:rFonts w:ascii="Arial" w:cs="Arial" w:eastAsia="Arial" w:hAnsi="Arial"/>
          <w:sz w:val="20"/>
          <w:szCs w:val="20"/>
          <w:color w:val="auto"/>
        </w:rPr>
        <w:t>On September 30, 2015, the Corporation disposed of its California cement operations, which were reported in the Cement segment. These operations were not in close proximity to other core assets of the Corporation and, unlike other marketplace competitors, were not vertically integrated with ready mixed concrete production.</w:t>
      </w:r>
    </w:p>
    <w:p>
      <w:pPr>
        <w:spacing w:after="0" w:line="78" w:lineRule="exact"/>
        <w:rPr>
          <w:sz w:val="20"/>
          <w:szCs w:val="20"/>
          <w:color w:val="auto"/>
        </w:rPr>
      </w:pPr>
    </w:p>
    <w:p>
      <w:pPr>
        <w:jc w:val="both"/>
        <w:ind w:left="380"/>
        <w:spacing w:after="0" w:line="276" w:lineRule="auto"/>
        <w:rPr>
          <w:sz w:val="20"/>
          <w:szCs w:val="20"/>
          <w:color w:val="auto"/>
        </w:rPr>
      </w:pPr>
      <w:r>
        <w:rPr>
          <w:rFonts w:ascii="Arial" w:cs="Arial" w:eastAsia="Arial" w:hAnsi="Arial"/>
          <w:sz w:val="18"/>
          <w:szCs w:val="18"/>
          <w:color w:val="auto"/>
        </w:rPr>
        <w:t>The divestiture primarily included a cement plant, two distribution terminals, mobile equipment, intangible assets and inventory. In accordance with the asset purchase agreement, the liabilities assumed by the purchaser included asset retirement obligations. The Corporation received proceeds of $420,000,000 and recognized a loss of $25,106,000 on the sale, inclusive of transaction-related accruals, and other disposal-related expenses of $4,782,000, of which $3,603,000 was expensed in the three months ending September 30, 2015 and the remaining portion of the expenses was recognized in the quarter ended June 30, 2015. The loss and related expenses are included in other operating expenses, net, in the consolidated statements of earnings and comprehensive earnings.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14 of 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14" w:name="page15"/>
    <w:bookmarkEnd w:id="14"/>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September 30, 2015</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NOTES TO CONSOLIDATED FINANCIAL STATEMENTS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207" w:lineRule="exact"/>
        <w:rPr>
          <w:sz w:val="20"/>
          <w:szCs w:val="20"/>
          <w:color w:val="auto"/>
        </w:rPr>
      </w:pPr>
    </w:p>
    <w:p>
      <w:pPr>
        <w:ind w:left="380" w:hanging="372"/>
        <w:spacing w:after="0"/>
        <w:tabs>
          <w:tab w:leader="none" w:pos="380" w:val="left"/>
        </w:tabs>
        <w:numPr>
          <w:ilvl w:val="0"/>
          <w:numId w:val="12"/>
        </w:numPr>
        <w:rPr>
          <w:rFonts w:ascii="Arial" w:cs="Arial" w:eastAsia="Arial" w:hAnsi="Arial"/>
          <w:sz w:val="20"/>
          <w:szCs w:val="20"/>
          <w:b w:val="1"/>
          <w:bCs w:val="1"/>
          <w:color w:val="auto"/>
        </w:rPr>
      </w:pPr>
      <w:r>
        <w:rPr>
          <w:rFonts w:ascii="Arial" w:cs="Arial" w:eastAsia="Arial" w:hAnsi="Arial"/>
          <w:sz w:val="20"/>
          <w:szCs w:val="20"/>
          <w:b w:val="1"/>
          <w:bCs w:val="1"/>
          <w:color w:val="auto"/>
        </w:rPr>
        <w:t>Goodwill</w:t>
      </w:r>
    </w:p>
    <w:p>
      <w:pPr>
        <w:spacing w:after="0" w:line="235" w:lineRule="exact"/>
        <w:rPr>
          <w:rFonts w:ascii="Arial" w:cs="Arial" w:eastAsia="Arial" w:hAnsi="Arial"/>
          <w:sz w:val="20"/>
          <w:szCs w:val="20"/>
          <w:b w:val="1"/>
          <w:bCs w:val="1"/>
          <w:color w:val="auto"/>
        </w:rPr>
      </w:pPr>
    </w:p>
    <w:p>
      <w:pPr>
        <w:ind w:left="380"/>
        <w:spacing w:after="0"/>
        <w:rPr>
          <w:rFonts w:ascii="Arial" w:cs="Arial" w:eastAsia="Arial" w:hAnsi="Arial"/>
          <w:sz w:val="20"/>
          <w:szCs w:val="20"/>
          <w:b w:val="1"/>
          <w:bCs w:val="1"/>
          <w:color w:val="auto"/>
        </w:rPr>
      </w:pPr>
      <w:r>
        <w:rPr>
          <w:rFonts w:ascii="Arial" w:cs="Arial" w:eastAsia="Arial" w:hAnsi="Arial"/>
          <w:sz w:val="20"/>
          <w:szCs w:val="20"/>
          <w:color w:val="auto"/>
        </w:rPr>
        <w:t>The following table shows the changes in goodwill by reportable segment and in total:</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3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1920" w:type="dxa"/>
            <w:vAlign w:val="bottom"/>
            <w:tcBorders>
              <w:bottom w:val="single" w:sz="8" w:color="auto"/>
            </w:tcBorders>
            <w:gridSpan w:val="9"/>
          </w:tcPr>
          <w:p>
            <w:pPr>
              <w:jc w:val="center"/>
              <w:ind w:right="3"/>
              <w:spacing w:after="0"/>
              <w:rPr>
                <w:sz w:val="20"/>
                <w:szCs w:val="20"/>
                <w:color w:val="auto"/>
              </w:rPr>
            </w:pPr>
            <w:r>
              <w:rPr>
                <w:rFonts w:ascii="Arial" w:cs="Arial" w:eastAsia="Arial" w:hAnsi="Arial"/>
                <w:sz w:val="20"/>
                <w:szCs w:val="20"/>
                <w:i w:val="1"/>
                <w:iCs w:val="1"/>
                <w:color w:val="auto"/>
                <w:w w:val="91"/>
              </w:rPr>
              <w:t>(Dollars in Thousands)</w:t>
            </w:r>
          </w:p>
        </w:tc>
        <w:tc>
          <w:tcPr>
            <w:tcW w:w="9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4360" w:type="dxa"/>
            <w:vAlign w:val="bottom"/>
          </w:tcPr>
          <w:p>
            <w:pPr>
              <w:spacing w:after="0"/>
              <w:rPr>
                <w:sz w:val="19"/>
                <w:szCs w:val="19"/>
                <w:color w:val="auto"/>
              </w:rPr>
            </w:pPr>
          </w:p>
        </w:tc>
        <w:tc>
          <w:tcPr>
            <w:tcW w:w="1380" w:type="dxa"/>
            <w:vAlign w:val="bottom"/>
            <w:gridSpan w:val="3"/>
          </w:tcPr>
          <w:p>
            <w:pPr>
              <w:jc w:val="right"/>
              <w:ind w:right="180"/>
              <w:spacing w:after="0" w:line="228" w:lineRule="exact"/>
              <w:rPr>
                <w:sz w:val="20"/>
                <w:szCs w:val="20"/>
                <w:color w:val="auto"/>
              </w:rPr>
            </w:pPr>
            <w:r>
              <w:rPr>
                <w:rFonts w:ascii="Arial" w:cs="Arial" w:eastAsia="Arial" w:hAnsi="Arial"/>
                <w:sz w:val="20"/>
                <w:szCs w:val="20"/>
                <w:b w:val="1"/>
                <w:bCs w:val="1"/>
                <w:color w:val="auto"/>
                <w:w w:val="98"/>
              </w:rPr>
              <w:t>Mid-America</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141"/>
              <w:spacing w:after="0" w:line="228" w:lineRule="exact"/>
              <w:rPr>
                <w:sz w:val="20"/>
                <w:szCs w:val="20"/>
                <w:color w:val="auto"/>
              </w:rPr>
            </w:pPr>
            <w:r>
              <w:rPr>
                <w:rFonts w:ascii="Arial" w:cs="Arial" w:eastAsia="Arial" w:hAnsi="Arial"/>
                <w:sz w:val="20"/>
                <w:szCs w:val="20"/>
                <w:b w:val="1"/>
                <w:bCs w:val="1"/>
                <w:color w:val="auto"/>
                <w:w w:val="90"/>
              </w:rPr>
              <w:t>Southeast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center"/>
              <w:ind w:left="21"/>
              <w:spacing w:after="0" w:line="228" w:lineRule="exact"/>
              <w:rPr>
                <w:sz w:val="20"/>
                <w:szCs w:val="20"/>
                <w:color w:val="auto"/>
              </w:rPr>
            </w:pPr>
            <w:r>
              <w:rPr>
                <w:rFonts w:ascii="Arial" w:cs="Arial" w:eastAsia="Arial" w:hAnsi="Arial"/>
                <w:sz w:val="20"/>
                <w:szCs w:val="20"/>
                <w:b w:val="1"/>
                <w:bCs w:val="1"/>
                <w:color w:val="auto"/>
                <w:w w:val="87"/>
              </w:rPr>
              <w:t>West</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4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20"/>
                <w:szCs w:val="20"/>
                <w:b w:val="1"/>
                <w:bCs w:val="1"/>
                <w:color w:val="auto"/>
              </w:rPr>
              <w:t>Group</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gridSpan w:val="2"/>
          </w:tcPr>
          <w:p>
            <w:pPr>
              <w:jc w:val="right"/>
              <w:ind w:right="281"/>
              <w:spacing w:after="0"/>
              <w:rPr>
                <w:sz w:val="20"/>
                <w:szCs w:val="20"/>
                <w:color w:val="auto"/>
              </w:rPr>
            </w:pPr>
            <w:r>
              <w:rPr>
                <w:rFonts w:ascii="Arial" w:cs="Arial" w:eastAsia="Arial" w:hAnsi="Arial"/>
                <w:sz w:val="20"/>
                <w:szCs w:val="20"/>
                <w:b w:val="1"/>
                <w:bCs w:val="1"/>
                <w:color w:val="auto"/>
              </w:rPr>
              <w:t>Group</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center"/>
              <w:ind w:left="1"/>
              <w:spacing w:after="0"/>
              <w:rPr>
                <w:sz w:val="20"/>
                <w:szCs w:val="20"/>
                <w:color w:val="auto"/>
              </w:rPr>
            </w:pPr>
            <w:r>
              <w:rPr>
                <w:rFonts w:ascii="Arial" w:cs="Arial" w:eastAsia="Arial" w:hAnsi="Arial"/>
                <w:sz w:val="20"/>
                <w:szCs w:val="20"/>
                <w:b w:val="1"/>
                <w:bCs w:val="1"/>
                <w:color w:val="auto"/>
                <w:w w:val="93"/>
              </w:rPr>
              <w:t>Group</w:t>
            </w: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gridSpan w:val="3"/>
          </w:tcPr>
          <w:p>
            <w:pPr>
              <w:jc w:val="right"/>
              <w:ind w:right="420"/>
              <w:spacing w:after="0"/>
              <w:rPr>
                <w:sz w:val="20"/>
                <w:szCs w:val="20"/>
                <w:color w:val="auto"/>
              </w:rPr>
            </w:pPr>
            <w:r>
              <w:rPr>
                <w:rFonts w:ascii="Arial" w:cs="Arial" w:eastAsia="Arial" w:hAnsi="Arial"/>
                <w:sz w:val="20"/>
                <w:szCs w:val="20"/>
                <w:b w:val="1"/>
                <w:bCs w:val="1"/>
                <w:color w:val="auto"/>
                <w:w w:val="95"/>
              </w:rPr>
              <w:t>Cement</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20"/>
                <w:szCs w:val="20"/>
                <w:b w:val="1"/>
                <w:bCs w:val="1"/>
                <w:color w:val="auto"/>
                <w:w w:val="87"/>
              </w:rPr>
              <w:t>Total</w:t>
            </w:r>
          </w:p>
        </w:tc>
        <w:tc>
          <w:tcPr>
            <w:tcW w:w="0" w:type="dxa"/>
            <w:vAlign w:val="bottom"/>
          </w:tcPr>
          <w:p>
            <w:pPr>
              <w:spacing w:after="0"/>
              <w:rPr>
                <w:sz w:val="1"/>
                <w:szCs w:val="1"/>
                <w:color w:val="auto"/>
              </w:rPr>
            </w:pPr>
          </w:p>
        </w:tc>
      </w:tr>
      <w:tr>
        <w:trPr>
          <w:trHeight w:val="237"/>
        </w:trPr>
        <w:tc>
          <w:tcPr>
            <w:tcW w:w="4360" w:type="dxa"/>
            <w:vAlign w:val="bottom"/>
            <w:tcBorders>
              <w:bottom w:val="single" w:sz="8" w:color="CFF0FC"/>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4040" w:type="dxa"/>
            <w:vAlign w:val="bottom"/>
            <w:tcBorders>
              <w:top w:val="single" w:sz="8" w:color="auto"/>
              <w:bottom w:val="single" w:sz="8" w:color="auto"/>
            </w:tcBorders>
            <w:gridSpan w:val="13"/>
          </w:tcPr>
          <w:p>
            <w:pPr>
              <w:jc w:val="center"/>
              <w:ind w:right="240"/>
              <w:spacing w:after="0"/>
              <w:rPr>
                <w:sz w:val="20"/>
                <w:szCs w:val="20"/>
                <w:color w:val="auto"/>
              </w:rPr>
            </w:pPr>
            <w:r>
              <w:rPr>
                <w:rFonts w:ascii="Arial" w:cs="Arial" w:eastAsia="Arial" w:hAnsi="Arial"/>
                <w:sz w:val="20"/>
                <w:szCs w:val="20"/>
                <w:color w:val="auto"/>
                <w:w w:val="89"/>
              </w:rPr>
              <w:t>Nine Months Ended September 30, 2015</w:t>
            </w:r>
          </w:p>
        </w:tc>
        <w:tc>
          <w:tcPr>
            <w:tcW w:w="20" w:type="dxa"/>
            <w:vAlign w:val="bottom"/>
            <w:tcBorders>
              <w:top w:val="single" w:sz="8" w:color="auto"/>
              <w:bottom w:val="single" w:sz="8" w:color="auto"/>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spacing w:after="0"/>
              <w:rPr>
                <w:sz w:val="20"/>
                <w:szCs w:val="20"/>
                <w:color w:val="auto"/>
              </w:rPr>
            </w:pPr>
          </w:p>
        </w:tc>
        <w:tc>
          <w:tcPr>
            <w:tcW w:w="12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360" w:type="dxa"/>
            <w:vAlign w:val="bottom"/>
            <w:shd w:val="clear" w:color="auto" w:fill="CFF0FC"/>
          </w:tcPr>
          <w:p>
            <w:pPr>
              <w:spacing w:after="0"/>
              <w:rPr>
                <w:sz w:val="20"/>
                <w:szCs w:val="20"/>
                <w:color w:val="auto"/>
              </w:rPr>
            </w:pPr>
            <w:r>
              <w:rPr>
                <w:rFonts w:ascii="Arial" w:cs="Arial" w:eastAsia="Arial" w:hAnsi="Arial"/>
                <w:sz w:val="20"/>
                <w:szCs w:val="20"/>
                <w:color w:val="auto"/>
              </w:rPr>
              <w:t>Balance at January 1, 2015</w:t>
            </w:r>
          </w:p>
        </w:tc>
        <w:tc>
          <w:tcPr>
            <w:tcW w:w="22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282,117</w:t>
            </w:r>
          </w:p>
        </w:tc>
        <w:tc>
          <w:tcPr>
            <w:tcW w:w="80" w:type="dxa"/>
            <w:vAlign w:val="bottom"/>
            <w:shd w:val="clear" w:color="auto" w:fill="CFF0FC"/>
          </w:tcPr>
          <w:p>
            <w:pPr>
              <w:spacing w:after="0"/>
              <w:rPr>
                <w:sz w:val="20"/>
                <w:szCs w:val="20"/>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w w:val="89"/>
              </w:rPr>
              <w:t>$</w:t>
            </w: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50,346</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160" w:type="dxa"/>
            <w:vAlign w:val="bottom"/>
            <w:gridSpan w:val="3"/>
            <w:shd w:val="clear" w:color="auto" w:fill="CFF0FC"/>
          </w:tcPr>
          <w:p>
            <w:pPr>
              <w:jc w:val="right"/>
              <w:spacing w:after="0"/>
              <w:rPr>
                <w:sz w:val="20"/>
                <w:szCs w:val="20"/>
                <w:color w:val="auto"/>
              </w:rPr>
            </w:pPr>
            <w:r>
              <w:rPr>
                <w:rFonts w:ascii="Arial" w:cs="Arial" w:eastAsia="Arial" w:hAnsi="Arial"/>
                <w:sz w:val="20"/>
                <w:szCs w:val="20"/>
                <w:color w:val="auto"/>
              </w:rPr>
              <w:t>852,436</w:t>
            </w:r>
          </w:p>
        </w:tc>
        <w:tc>
          <w:tcPr>
            <w:tcW w:w="60" w:type="dxa"/>
            <w:vAlign w:val="bottom"/>
            <w:shd w:val="clear" w:color="auto" w:fill="CFF0FC"/>
          </w:tcPr>
          <w:p>
            <w:pPr>
              <w:spacing w:after="0"/>
              <w:rPr>
                <w:sz w:val="20"/>
                <w:szCs w:val="20"/>
                <w:color w:val="auto"/>
              </w:rPr>
            </w:pPr>
          </w:p>
        </w:tc>
        <w:tc>
          <w:tcPr>
            <w:tcW w:w="300" w:type="dxa"/>
            <w:vAlign w:val="bottom"/>
            <w:gridSpan w:val="2"/>
            <w:shd w:val="clear" w:color="auto" w:fill="CFF0FC"/>
          </w:tcPr>
          <w:p>
            <w:pPr>
              <w:jc w:val="right"/>
              <w:ind w:right="83"/>
              <w:spacing w:after="0"/>
              <w:rPr>
                <w:sz w:val="20"/>
                <w:szCs w:val="20"/>
                <w:color w:val="auto"/>
              </w:rPr>
            </w:pPr>
            <w:r>
              <w:rPr>
                <w:rFonts w:ascii="Arial" w:cs="Arial" w:eastAsia="Arial" w:hAnsi="Arial"/>
                <w:sz w:val="20"/>
                <w:szCs w:val="20"/>
                <w:color w:val="auto"/>
              </w:rPr>
              <w:t>$</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883,900</w:t>
            </w:r>
          </w:p>
        </w:tc>
        <w:tc>
          <w:tcPr>
            <w:tcW w:w="100" w:type="dxa"/>
            <w:vAlign w:val="bottom"/>
            <w:shd w:val="clear" w:color="auto" w:fill="CFF0FC"/>
          </w:tcPr>
          <w:p>
            <w:pPr>
              <w:spacing w:after="0"/>
              <w:rPr>
                <w:sz w:val="20"/>
                <w:szCs w:val="20"/>
                <w:color w:val="auto"/>
              </w:rPr>
            </w:pPr>
          </w:p>
        </w:tc>
        <w:tc>
          <w:tcPr>
            <w:tcW w:w="280" w:type="dxa"/>
            <w:vAlign w:val="bottom"/>
            <w:gridSpan w:val="2"/>
            <w:shd w:val="clear" w:color="auto" w:fill="CFF0FC"/>
          </w:tcPr>
          <w:p>
            <w:pPr>
              <w:jc w:val="right"/>
              <w:ind w:right="61"/>
              <w:spacing w:after="0"/>
              <w:rPr>
                <w:sz w:val="20"/>
                <w:szCs w:val="20"/>
                <w:color w:val="auto"/>
              </w:rPr>
            </w:pPr>
            <w:r>
              <w:rPr>
                <w:rFonts w:ascii="Arial" w:cs="Arial" w:eastAsia="Arial" w:hAnsi="Arial"/>
                <w:sz w:val="20"/>
                <w:szCs w:val="20"/>
                <w:color w:val="auto"/>
                <w:w w:val="8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2,068,799</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360" w:type="dxa"/>
            <w:vAlign w:val="bottom"/>
          </w:tcPr>
          <w:p>
            <w:pPr>
              <w:spacing w:after="0"/>
              <w:rPr>
                <w:sz w:val="20"/>
                <w:szCs w:val="20"/>
                <w:color w:val="auto"/>
              </w:rPr>
            </w:pPr>
            <w:r>
              <w:rPr>
                <w:rFonts w:ascii="Arial" w:cs="Arial" w:eastAsia="Arial" w:hAnsi="Arial"/>
                <w:sz w:val="20"/>
                <w:szCs w:val="20"/>
                <w:color w:val="auto"/>
              </w:rPr>
              <w:t>Adjustments to purchase price allocations</w:t>
            </w:r>
          </w:p>
        </w:tc>
        <w:tc>
          <w:tcPr>
            <w:tcW w:w="22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gridSpan w:val="3"/>
          </w:tcPr>
          <w:p>
            <w:pPr>
              <w:jc w:val="right"/>
              <w:spacing w:after="0"/>
              <w:rPr>
                <w:sz w:val="20"/>
                <w:szCs w:val="20"/>
                <w:color w:val="auto"/>
              </w:rPr>
            </w:pPr>
            <w:r>
              <w:rPr>
                <w:rFonts w:ascii="Arial" w:cs="Arial" w:eastAsia="Arial" w:hAnsi="Arial"/>
                <w:sz w:val="20"/>
                <w:szCs w:val="20"/>
                <w:color w:val="auto"/>
              </w:rPr>
              <w:t>15,538</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gridSpan w:val="3"/>
          </w:tcPr>
          <w:p>
            <w:pPr>
              <w:jc w:val="right"/>
              <w:ind w:right="20"/>
              <w:spacing w:after="0"/>
              <w:rPr>
                <w:sz w:val="20"/>
                <w:szCs w:val="20"/>
                <w:color w:val="auto"/>
              </w:rPr>
            </w:pPr>
            <w:r>
              <w:rPr>
                <w:rFonts w:ascii="Arial" w:cs="Arial" w:eastAsia="Arial" w:hAnsi="Arial"/>
                <w:sz w:val="20"/>
                <w:szCs w:val="20"/>
                <w:color w:val="auto"/>
              </w:rPr>
              <w:t>(18,634)</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20"/>
                <w:szCs w:val="20"/>
                <w:color w:val="auto"/>
              </w:rPr>
              <w:t>(3,096)</w:t>
            </w:r>
          </w:p>
        </w:tc>
        <w:tc>
          <w:tcPr>
            <w:tcW w:w="0" w:type="dxa"/>
            <w:vAlign w:val="bottom"/>
          </w:tcPr>
          <w:p>
            <w:pPr>
              <w:spacing w:after="0"/>
              <w:rPr>
                <w:sz w:val="1"/>
                <w:szCs w:val="1"/>
                <w:color w:val="auto"/>
              </w:rPr>
            </w:pPr>
          </w:p>
        </w:tc>
      </w:tr>
      <w:tr>
        <w:trPr>
          <w:trHeight w:val="243"/>
        </w:trPr>
        <w:tc>
          <w:tcPr>
            <w:tcW w:w="4360" w:type="dxa"/>
            <w:vAlign w:val="bottom"/>
            <w:shd w:val="clear" w:color="auto" w:fill="CFF0FC"/>
          </w:tcPr>
          <w:p>
            <w:pPr>
              <w:spacing w:after="0"/>
              <w:rPr>
                <w:sz w:val="20"/>
                <w:szCs w:val="20"/>
                <w:color w:val="auto"/>
              </w:rPr>
            </w:pPr>
            <w:r>
              <w:rPr>
                <w:rFonts w:ascii="Arial" w:cs="Arial" w:eastAsia="Arial" w:hAnsi="Arial"/>
                <w:sz w:val="20"/>
                <w:szCs w:val="20"/>
                <w:color w:val="auto"/>
              </w:rPr>
              <w:t>Acquisitions</w:t>
            </w:r>
          </w:p>
        </w:tc>
        <w:tc>
          <w:tcPr>
            <w:tcW w:w="22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20"/>
                <w:szCs w:val="20"/>
                <w:color w:val="auto"/>
              </w:rPr>
              <w:t>—</w:t>
            </w:r>
          </w:p>
        </w:tc>
        <w:tc>
          <w:tcPr>
            <w:tcW w:w="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60" w:type="dxa"/>
            <w:vAlign w:val="bottom"/>
            <w:gridSpan w:val="3"/>
            <w:shd w:val="clear" w:color="auto" w:fill="CFF0FC"/>
          </w:tcPr>
          <w:p>
            <w:pPr>
              <w:jc w:val="right"/>
              <w:spacing w:after="0"/>
              <w:rPr>
                <w:sz w:val="20"/>
                <w:szCs w:val="20"/>
                <w:color w:val="auto"/>
              </w:rPr>
            </w:pPr>
            <w:r>
              <w:rPr>
                <w:rFonts w:ascii="Arial" w:cs="Arial" w:eastAsia="Arial" w:hAnsi="Arial"/>
                <w:sz w:val="20"/>
                <w:szCs w:val="20"/>
                <w:color w:val="auto"/>
              </w:rPr>
              <w:t>655</w:t>
            </w:r>
          </w:p>
        </w:tc>
        <w:tc>
          <w:tcPr>
            <w:tcW w:w="6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40" w:type="dxa"/>
            <w:vAlign w:val="bottom"/>
            <w:gridSpan w:val="3"/>
            <w:shd w:val="clear" w:color="auto" w:fill="CFF0FC"/>
          </w:tcPr>
          <w:p>
            <w:pPr>
              <w:jc w:val="right"/>
              <w:ind w:right="100"/>
              <w:spacing w:after="0"/>
              <w:rPr>
                <w:sz w:val="20"/>
                <w:szCs w:val="20"/>
                <w:color w:val="auto"/>
              </w:rPr>
            </w:pPr>
            <w:r>
              <w:rPr>
                <w:rFonts w:ascii="Arial" w:cs="Arial" w:eastAsia="Arial" w:hAnsi="Arial"/>
                <w:sz w:val="20"/>
                <w:szCs w:val="20"/>
                <w:color w:val="auto"/>
              </w:rPr>
              <w:t>—</w:t>
            </w:r>
          </w:p>
        </w:tc>
        <w:tc>
          <w:tcPr>
            <w:tcW w:w="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655</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60" w:type="dxa"/>
            <w:vAlign w:val="bottom"/>
          </w:tcPr>
          <w:p>
            <w:pPr>
              <w:spacing w:after="0"/>
              <w:rPr>
                <w:sz w:val="20"/>
                <w:szCs w:val="20"/>
                <w:color w:val="auto"/>
              </w:rPr>
            </w:pPr>
            <w:r>
              <w:rPr>
                <w:rFonts w:ascii="Arial" w:cs="Arial" w:eastAsia="Arial" w:hAnsi="Arial"/>
                <w:sz w:val="20"/>
                <w:szCs w:val="20"/>
                <w:color w:val="auto"/>
              </w:rPr>
              <w:t>Divestitures</w:t>
            </w:r>
          </w:p>
        </w:tc>
        <w:tc>
          <w:tcPr>
            <w:tcW w:w="220" w:type="dxa"/>
            <w:vAlign w:val="bottom"/>
          </w:tcPr>
          <w:p>
            <w:pPr>
              <w:spacing w:after="0"/>
              <w:rPr>
                <w:sz w:val="21"/>
                <w:szCs w:val="21"/>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20"/>
                <w:szCs w:val="20"/>
                <w:color w:val="auto"/>
              </w:rPr>
              <w:t>(714)</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20" w:type="dxa"/>
            <w:vAlign w:val="bottom"/>
            <w:gridSpan w:val="3"/>
          </w:tcPr>
          <w:p>
            <w:pPr>
              <w:jc w:val="right"/>
              <w:ind w:right="80"/>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gridSpan w:val="3"/>
          </w:tcPr>
          <w:p>
            <w:pPr>
              <w:jc w:val="right"/>
              <w:ind w:right="100"/>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20"/>
                <w:szCs w:val="20"/>
                <w:color w:val="auto"/>
              </w:rPr>
              <w:t>(714)</w:t>
            </w:r>
          </w:p>
        </w:tc>
        <w:tc>
          <w:tcPr>
            <w:tcW w:w="0" w:type="dxa"/>
            <w:vAlign w:val="bottom"/>
          </w:tcPr>
          <w:p>
            <w:pPr>
              <w:spacing w:after="0"/>
              <w:rPr>
                <w:sz w:val="1"/>
                <w:szCs w:val="1"/>
                <w:color w:val="auto"/>
              </w:rPr>
            </w:pPr>
          </w:p>
        </w:tc>
      </w:tr>
      <w:tr>
        <w:trPr>
          <w:trHeight w:val="237"/>
        </w:trPr>
        <w:tc>
          <w:tcPr>
            <w:tcW w:w="43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Balance at September 30, 2015</w:t>
            </w:r>
          </w:p>
        </w:tc>
        <w:tc>
          <w:tcPr>
            <w:tcW w:w="220" w:type="dxa"/>
            <w:vAlign w:val="bottom"/>
            <w:tcBorders>
              <w:top w:val="single" w:sz="8" w:color="auto"/>
              <w:bottom w:val="single" w:sz="8" w:color="auto"/>
            </w:tcBorders>
            <w:shd w:val="clear" w:color="auto" w:fill="CFF0FC"/>
          </w:tcPr>
          <w:p>
            <w:pPr>
              <w:jc w:val="right"/>
              <w:ind w:right="21"/>
              <w:spacing w:after="0"/>
              <w:rPr>
                <w:sz w:val="20"/>
                <w:szCs w:val="20"/>
                <w:color w:val="auto"/>
              </w:rPr>
            </w:pPr>
            <w:r>
              <w:rPr>
                <w:rFonts w:ascii="Arial" w:cs="Arial" w:eastAsia="Arial" w:hAnsi="Arial"/>
                <w:sz w:val="20"/>
                <w:szCs w:val="20"/>
                <w:color w:val="auto"/>
                <w:w w:val="71"/>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281,403</w:t>
            </w:r>
          </w:p>
        </w:tc>
        <w:tc>
          <w:tcPr>
            <w:tcW w:w="80" w:type="dxa"/>
            <w:vAlign w:val="bottom"/>
            <w:tcBorders>
              <w:top w:val="single" w:sz="8" w:color="CFF0FC"/>
              <w:bottom w:val="single" w:sz="8" w:color="CFF0FC"/>
            </w:tcBorders>
            <w:shd w:val="clear" w:color="auto" w:fill="CFF0FC"/>
          </w:tcPr>
          <w:p>
            <w:pPr>
              <w:spacing w:after="0"/>
              <w:rPr>
                <w:sz w:val="20"/>
                <w:szCs w:val="20"/>
                <w:color w:val="auto"/>
              </w:rPr>
            </w:pPr>
          </w:p>
        </w:tc>
        <w:tc>
          <w:tcPr>
            <w:tcW w:w="20" w:type="dxa"/>
            <w:vAlign w:val="bottom"/>
            <w:tcBorders>
              <w:top w:val="single" w:sz="8" w:color="CFF0FC"/>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1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20"/>
                <w:szCs w:val="20"/>
                <w:color w:val="auto"/>
              </w:rPr>
              <w:t>50,346</w:t>
            </w: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16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Arial" w:cs="Arial" w:eastAsia="Arial" w:hAnsi="Arial"/>
                <w:sz w:val="20"/>
                <w:szCs w:val="20"/>
                <w:color w:val="auto"/>
              </w:rPr>
              <w:t>868,629</w:t>
            </w:r>
          </w:p>
        </w:tc>
        <w:tc>
          <w:tcPr>
            <w:tcW w:w="60" w:type="dxa"/>
            <w:vAlign w:val="bottom"/>
            <w:tcBorders>
              <w:top w:val="single" w:sz="8" w:color="CFF0FC"/>
              <w:bottom w:val="single" w:sz="8" w:color="CFF0FC"/>
            </w:tcBorders>
            <w:shd w:val="clear" w:color="auto" w:fill="CFF0FC"/>
          </w:tcPr>
          <w:p>
            <w:pPr>
              <w:spacing w:after="0"/>
              <w:rPr>
                <w:sz w:val="20"/>
                <w:szCs w:val="20"/>
                <w:color w:val="auto"/>
              </w:rPr>
            </w:pPr>
          </w:p>
        </w:tc>
        <w:tc>
          <w:tcPr>
            <w:tcW w:w="60" w:type="dxa"/>
            <w:vAlign w:val="bottom"/>
            <w:tcBorders>
              <w:top w:val="single" w:sz="8" w:color="CFF0FC"/>
              <w:bottom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jc w:val="right"/>
              <w:ind w:right="83"/>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20"/>
                <w:szCs w:val="20"/>
                <w:color w:val="auto"/>
              </w:rPr>
              <w:t>865,266</w:t>
            </w: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c>
          <w:tcPr>
            <w:tcW w:w="20" w:type="dxa"/>
            <w:vAlign w:val="bottom"/>
            <w:tcBorders>
              <w:top w:val="single" w:sz="8" w:color="CFF0FC"/>
              <w:bottom w:val="single" w:sz="8" w:color="CFF0FC"/>
            </w:tcBorders>
            <w:shd w:val="clear" w:color="auto" w:fill="CFF0FC"/>
          </w:tcPr>
          <w:p>
            <w:pPr>
              <w:spacing w:after="0"/>
              <w:rPr>
                <w:sz w:val="20"/>
                <w:szCs w:val="20"/>
                <w:color w:val="auto"/>
              </w:rPr>
            </w:pPr>
          </w:p>
        </w:tc>
        <w:tc>
          <w:tcPr>
            <w:tcW w:w="260" w:type="dxa"/>
            <w:vAlign w:val="bottom"/>
            <w:tcBorders>
              <w:top w:val="single" w:sz="8" w:color="auto"/>
              <w:bottom w:val="single" w:sz="8" w:color="auto"/>
            </w:tcBorders>
            <w:shd w:val="clear" w:color="auto" w:fill="CFF0FC"/>
          </w:tcPr>
          <w:p>
            <w:pPr>
              <w:jc w:val="right"/>
              <w:ind w:right="61"/>
              <w:spacing w:after="0"/>
              <w:rPr>
                <w:sz w:val="20"/>
                <w:szCs w:val="20"/>
                <w:color w:val="auto"/>
              </w:rPr>
            </w:pPr>
            <w:r>
              <w:rPr>
                <w:rFonts w:ascii="Arial" w:cs="Arial" w:eastAsia="Arial" w:hAnsi="Arial"/>
                <w:sz w:val="20"/>
                <w:szCs w:val="20"/>
                <w:color w:val="auto"/>
                <w:w w:val="71"/>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2,065,644</w:t>
            </w:r>
          </w:p>
        </w:tc>
        <w:tc>
          <w:tcPr>
            <w:tcW w:w="120" w:type="dxa"/>
            <w:vAlign w:val="bottom"/>
            <w:tcBorders>
              <w:top w:val="single" w:sz="8" w:color="CFF0FC"/>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360" w:type="dxa"/>
            <w:vAlign w:val="bottom"/>
            <w:vMerge w:val="restart"/>
          </w:tcPr>
          <w:p>
            <w:pPr>
              <w:spacing w:after="0"/>
              <w:rPr>
                <w:sz w:val="20"/>
                <w:szCs w:val="20"/>
                <w:color w:val="auto"/>
              </w:rPr>
            </w:pPr>
            <w:r>
              <w:rPr>
                <w:rFonts w:ascii="Arial" w:cs="Arial" w:eastAsia="Arial" w:hAnsi="Arial"/>
                <w:sz w:val="20"/>
                <w:szCs w:val="20"/>
                <w:b w:val="1"/>
                <w:bCs w:val="1"/>
                <w:color w:val="auto"/>
              </w:rPr>
              <w:t>4.  Inventories, Net</w:t>
            </w: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3"/>
        </w:trPr>
        <w:tc>
          <w:tcPr>
            <w:tcW w:w="43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5"/>
        </w:trPr>
        <w:tc>
          <w:tcPr>
            <w:tcW w:w="4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300" w:type="dxa"/>
            <w:vAlign w:val="bottom"/>
            <w:gridSpan w:val="4"/>
          </w:tcPr>
          <w:p>
            <w:pPr>
              <w:jc w:val="right"/>
              <w:spacing w:after="0"/>
              <w:rPr>
                <w:sz w:val="20"/>
                <w:szCs w:val="20"/>
                <w:color w:val="auto"/>
              </w:rPr>
            </w:pPr>
            <w:r>
              <w:rPr>
                <w:rFonts w:ascii="Arial" w:cs="Arial" w:eastAsia="Arial" w:hAnsi="Arial"/>
                <w:sz w:val="20"/>
                <w:szCs w:val="20"/>
                <w:color w:val="auto"/>
                <w:w w:val="91"/>
              </w:rPr>
              <w:t>September 30,</w:t>
            </w: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40" w:type="dxa"/>
            <w:vAlign w:val="bottom"/>
            <w:gridSpan w:val="5"/>
          </w:tcPr>
          <w:p>
            <w:pPr>
              <w:jc w:val="center"/>
              <w:ind w:right="320"/>
              <w:spacing w:after="0"/>
              <w:rPr>
                <w:sz w:val="20"/>
                <w:szCs w:val="20"/>
                <w:color w:val="auto"/>
              </w:rPr>
            </w:pPr>
            <w:r>
              <w:rPr>
                <w:rFonts w:ascii="Arial" w:cs="Arial" w:eastAsia="Arial" w:hAnsi="Arial"/>
                <w:sz w:val="20"/>
                <w:szCs w:val="20"/>
                <w:color w:val="auto"/>
                <w:w w:val="89"/>
              </w:rPr>
              <w:t>December 31,</w:t>
            </w:r>
          </w:p>
        </w:tc>
        <w:tc>
          <w:tcPr>
            <w:tcW w:w="20" w:type="dxa"/>
            <w:vAlign w:val="bottom"/>
          </w:tcPr>
          <w:p>
            <w:pPr>
              <w:spacing w:after="0"/>
              <w:rPr>
                <w:sz w:val="24"/>
                <w:szCs w:val="24"/>
                <w:color w:val="auto"/>
              </w:rPr>
            </w:pPr>
          </w:p>
        </w:tc>
        <w:tc>
          <w:tcPr>
            <w:tcW w:w="1440" w:type="dxa"/>
            <w:vAlign w:val="bottom"/>
            <w:gridSpan w:val="3"/>
          </w:tcPr>
          <w:p>
            <w:pPr>
              <w:jc w:val="center"/>
              <w:ind w:right="140"/>
              <w:spacing w:after="0"/>
              <w:rPr>
                <w:sz w:val="20"/>
                <w:szCs w:val="20"/>
                <w:color w:val="auto"/>
              </w:rPr>
            </w:pPr>
            <w:r>
              <w:rPr>
                <w:rFonts w:ascii="Arial" w:cs="Arial" w:eastAsia="Arial" w:hAnsi="Arial"/>
                <w:sz w:val="20"/>
                <w:szCs w:val="20"/>
                <w:color w:val="auto"/>
                <w:w w:val="86"/>
              </w:rPr>
              <w:t>September 30,</w:t>
            </w:r>
          </w:p>
        </w:tc>
        <w:tc>
          <w:tcPr>
            <w:tcW w:w="0" w:type="dxa"/>
            <w:vAlign w:val="bottom"/>
          </w:tcPr>
          <w:p>
            <w:pPr>
              <w:spacing w:after="0"/>
              <w:rPr>
                <w:sz w:val="1"/>
                <w:szCs w:val="1"/>
                <w:color w:val="auto"/>
              </w:rPr>
            </w:pPr>
          </w:p>
        </w:tc>
      </w:tr>
      <w:tr>
        <w:trPr>
          <w:trHeight w:val="246"/>
        </w:trPr>
        <w:tc>
          <w:tcPr>
            <w:tcW w:w="4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61"/>
              <w:spacing w:after="0"/>
              <w:rPr>
                <w:sz w:val="20"/>
                <w:szCs w:val="20"/>
                <w:color w:val="auto"/>
              </w:rPr>
            </w:pPr>
            <w:r>
              <w:rPr>
                <w:rFonts w:ascii="Arial" w:cs="Arial" w:eastAsia="Arial" w:hAnsi="Arial"/>
                <w:sz w:val="20"/>
                <w:szCs w:val="20"/>
                <w:color w:val="auto"/>
                <w:w w:val="94"/>
              </w:rPr>
              <w:t>2015</w:t>
            </w:r>
          </w:p>
        </w:tc>
        <w:tc>
          <w:tcPr>
            <w:tcW w:w="22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center"/>
              <w:ind w:right="301"/>
              <w:spacing w:after="0"/>
              <w:rPr>
                <w:sz w:val="20"/>
                <w:szCs w:val="20"/>
                <w:color w:val="auto"/>
              </w:rPr>
            </w:pPr>
            <w:r>
              <w:rPr>
                <w:rFonts w:ascii="Arial" w:cs="Arial" w:eastAsia="Arial" w:hAnsi="Arial"/>
                <w:sz w:val="20"/>
                <w:szCs w:val="20"/>
                <w:color w:val="auto"/>
                <w:w w:val="89"/>
              </w:rPr>
              <w:t>2014</w:t>
            </w:r>
          </w:p>
        </w:tc>
        <w:tc>
          <w:tcPr>
            <w:tcW w:w="1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center"/>
              <w:ind w:right="201"/>
              <w:spacing w:after="0"/>
              <w:rPr>
                <w:sz w:val="20"/>
                <w:szCs w:val="20"/>
                <w:color w:val="auto"/>
              </w:rPr>
            </w:pPr>
            <w:r>
              <w:rPr>
                <w:rFonts w:ascii="Arial" w:cs="Arial" w:eastAsia="Arial" w:hAnsi="Arial"/>
                <w:sz w:val="20"/>
                <w:szCs w:val="20"/>
                <w:color w:val="auto"/>
                <w:w w:val="89"/>
              </w:rPr>
              <w:t>2014</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940" w:type="dxa"/>
            <w:vAlign w:val="bottom"/>
            <w:gridSpan w:val="11"/>
          </w:tcPr>
          <w:p>
            <w:pPr>
              <w:jc w:val="center"/>
              <w:ind w:left="541"/>
              <w:spacing w:after="0"/>
              <w:rPr>
                <w:sz w:val="20"/>
                <w:szCs w:val="20"/>
                <w:color w:val="auto"/>
              </w:rPr>
            </w:pPr>
            <w:r>
              <w:rPr>
                <w:rFonts w:ascii="Arial" w:cs="Arial" w:eastAsia="Arial" w:hAnsi="Arial"/>
                <w:sz w:val="20"/>
                <w:szCs w:val="20"/>
                <w:i w:val="1"/>
                <w:iCs w:val="1"/>
                <w:color w:val="auto"/>
                <w:w w:val="92"/>
              </w:rPr>
              <w:t>(Dollars in Thousands)</w:t>
            </w: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360" w:type="dxa"/>
            <w:vAlign w:val="bottom"/>
            <w:shd w:val="clear" w:color="auto" w:fill="CFF0FC"/>
          </w:tcPr>
          <w:p>
            <w:pPr>
              <w:spacing w:after="0"/>
              <w:rPr>
                <w:sz w:val="20"/>
                <w:szCs w:val="20"/>
                <w:color w:val="auto"/>
              </w:rPr>
            </w:pPr>
            <w:r>
              <w:rPr>
                <w:rFonts w:ascii="Arial" w:cs="Arial" w:eastAsia="Arial" w:hAnsi="Arial"/>
                <w:sz w:val="20"/>
                <w:szCs w:val="20"/>
                <w:color w:val="auto"/>
              </w:rPr>
              <w:t>Finished products</w:t>
            </w:r>
          </w:p>
        </w:tc>
        <w:tc>
          <w:tcPr>
            <w:tcW w:w="22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420,027</w:t>
            </w:r>
          </w:p>
        </w:tc>
        <w:tc>
          <w:tcPr>
            <w:tcW w:w="320" w:type="dxa"/>
            <w:vAlign w:val="bottom"/>
            <w:gridSpan w:val="3"/>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413,766</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80" w:type="dxa"/>
            <w:vAlign w:val="bottom"/>
            <w:gridSpan w:val="2"/>
            <w:shd w:val="clear" w:color="auto" w:fill="CFF0FC"/>
          </w:tcPr>
          <w:p>
            <w:pPr>
              <w:jc w:val="right"/>
              <w:ind w:right="81"/>
              <w:spacing w:after="0"/>
              <w:rPr>
                <w:sz w:val="20"/>
                <w:szCs w:val="20"/>
                <w:color w:val="auto"/>
              </w:rPr>
            </w:pPr>
            <w:r>
              <w:rPr>
                <w:rFonts w:ascii="Arial" w:cs="Arial" w:eastAsia="Arial" w:hAnsi="Arial"/>
                <w:sz w:val="20"/>
                <w:szCs w:val="20"/>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397,684</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60" w:type="dxa"/>
            <w:vAlign w:val="bottom"/>
          </w:tcPr>
          <w:p>
            <w:pPr>
              <w:spacing w:after="0"/>
              <w:rPr>
                <w:sz w:val="20"/>
                <w:szCs w:val="20"/>
                <w:color w:val="auto"/>
              </w:rPr>
            </w:pPr>
            <w:r>
              <w:rPr>
                <w:rFonts w:ascii="Arial" w:cs="Arial" w:eastAsia="Arial" w:hAnsi="Arial"/>
                <w:sz w:val="20"/>
                <w:szCs w:val="20"/>
                <w:color w:val="auto"/>
              </w:rPr>
              <w:t>Products in process and raw materials</w:t>
            </w: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59,005</w:t>
            </w: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65,250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58,678</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60" w:type="dxa"/>
            <w:vAlign w:val="bottom"/>
            <w:shd w:val="clear" w:color="auto" w:fill="CFF0FC"/>
          </w:tcPr>
          <w:p>
            <w:pPr>
              <w:spacing w:after="0"/>
              <w:rPr>
                <w:sz w:val="20"/>
                <w:szCs w:val="20"/>
                <w:color w:val="auto"/>
              </w:rPr>
            </w:pPr>
            <w:r>
              <w:rPr>
                <w:rFonts w:ascii="Arial" w:cs="Arial" w:eastAsia="Arial" w:hAnsi="Arial"/>
                <w:sz w:val="20"/>
                <w:szCs w:val="20"/>
                <w:color w:val="auto"/>
              </w:rPr>
              <w:t>Supplies and expendable parts</w:t>
            </w:r>
          </w:p>
        </w:tc>
        <w:tc>
          <w:tcPr>
            <w:tcW w:w="22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108,759</w:t>
            </w:r>
          </w:p>
        </w:tc>
        <w:tc>
          <w:tcPr>
            <w:tcW w:w="220" w:type="dxa"/>
            <w:vAlign w:val="bottom"/>
            <w:shd w:val="clear" w:color="auto" w:fill="CFF0FC"/>
          </w:tcPr>
          <w:p>
            <w:pPr>
              <w:spacing w:after="0"/>
              <w:rPr>
                <w:sz w:val="21"/>
                <w:szCs w:val="21"/>
                <w:color w:val="auto"/>
              </w:rPr>
            </w:pPr>
          </w:p>
        </w:tc>
        <w:tc>
          <w:tcPr>
            <w:tcW w:w="40" w:type="dxa"/>
            <w:vAlign w:val="bottom"/>
            <w:tcBorders>
              <w:bottom w:val="single" w:sz="8" w:color="auto"/>
            </w:tcBorders>
            <w:shd w:val="clear" w:color="auto" w:fill="CFF0FC"/>
          </w:tcPr>
          <w:p>
            <w:pPr>
              <w:spacing w:after="0"/>
              <w:rPr>
                <w:sz w:val="21"/>
                <w:szCs w:val="21"/>
                <w:color w:val="auto"/>
              </w:rPr>
            </w:pPr>
          </w:p>
        </w:tc>
        <w:tc>
          <w:tcPr>
            <w:tcW w:w="60" w:type="dxa"/>
            <w:vAlign w:val="bottom"/>
            <w:tcBorders>
              <w:bottom w:val="single" w:sz="8" w:color="auto"/>
            </w:tcBorders>
            <w:shd w:val="clear" w:color="auto" w:fill="CFF0FC"/>
          </w:tcPr>
          <w:p>
            <w:pPr>
              <w:spacing w:after="0"/>
              <w:rPr>
                <w:sz w:val="21"/>
                <w:szCs w:val="21"/>
                <w:color w:val="auto"/>
              </w:rPr>
            </w:pPr>
          </w:p>
        </w:tc>
        <w:tc>
          <w:tcPr>
            <w:tcW w:w="60" w:type="dxa"/>
            <w:vAlign w:val="bottom"/>
            <w:tcBorders>
              <w:bottom w:val="single" w:sz="8" w:color="auto"/>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125,092</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0" w:type="dxa"/>
            <w:vAlign w:val="bottom"/>
            <w:tcBorders>
              <w:bottom w:val="single" w:sz="8" w:color="auto"/>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127,319</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587,791</w:t>
            </w: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604,108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583,681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360" w:type="dxa"/>
            <w:vAlign w:val="bottom"/>
            <w:shd w:val="clear" w:color="auto" w:fill="CFF0FC"/>
          </w:tcPr>
          <w:p>
            <w:pPr>
              <w:spacing w:after="0"/>
              <w:rPr>
                <w:sz w:val="20"/>
                <w:szCs w:val="20"/>
                <w:color w:val="auto"/>
              </w:rPr>
            </w:pPr>
            <w:r>
              <w:rPr>
                <w:rFonts w:ascii="Arial" w:cs="Arial" w:eastAsia="Arial" w:hAnsi="Arial"/>
                <w:sz w:val="20"/>
                <w:szCs w:val="20"/>
                <w:color w:val="auto"/>
              </w:rPr>
              <w:t>Less: Allowances</w:t>
            </w:r>
          </w:p>
        </w:tc>
        <w:tc>
          <w:tcPr>
            <w:tcW w:w="22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41"/>
              <w:spacing w:after="0"/>
              <w:rPr>
                <w:sz w:val="20"/>
                <w:szCs w:val="20"/>
                <w:color w:val="auto"/>
              </w:rPr>
            </w:pPr>
            <w:r>
              <w:rPr>
                <w:rFonts w:ascii="Arial" w:cs="Arial" w:eastAsia="Arial" w:hAnsi="Arial"/>
                <w:sz w:val="20"/>
                <w:szCs w:val="20"/>
                <w:color w:val="auto"/>
              </w:rPr>
              <w:t>(123,266)</w:t>
            </w:r>
          </w:p>
        </w:tc>
        <w:tc>
          <w:tcPr>
            <w:tcW w:w="4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20"/>
                <w:szCs w:val="20"/>
                <w:color w:val="auto"/>
              </w:rPr>
              <w:t>(119,189)</w:t>
            </w:r>
          </w:p>
        </w:tc>
        <w:tc>
          <w:tcPr>
            <w:tcW w:w="1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20"/>
                <w:szCs w:val="20"/>
                <w:color w:val="auto"/>
              </w:rPr>
              <w:t>(108,388)</w:t>
            </w:r>
          </w:p>
        </w:tc>
        <w:tc>
          <w:tcPr>
            <w:tcW w:w="0" w:type="dxa"/>
            <w:vAlign w:val="bottom"/>
          </w:tcPr>
          <w:p>
            <w:pPr>
              <w:spacing w:after="0"/>
              <w:rPr>
                <w:sz w:val="1"/>
                <w:szCs w:val="1"/>
                <w:color w:val="auto"/>
              </w:rPr>
            </w:pPr>
          </w:p>
        </w:tc>
      </w:tr>
      <w:tr>
        <w:trPr>
          <w:trHeight w:val="237"/>
        </w:trPr>
        <w:tc>
          <w:tcPr>
            <w:tcW w:w="4360" w:type="dxa"/>
            <w:vAlign w:val="bottom"/>
          </w:tcPr>
          <w:p>
            <w:pPr>
              <w:spacing w:after="0"/>
              <w:rPr>
                <w:sz w:val="20"/>
                <w:szCs w:val="20"/>
                <w:color w:val="auto"/>
              </w:rPr>
            </w:pPr>
            <w:r>
              <w:rPr>
                <w:rFonts w:ascii="Arial" w:cs="Arial" w:eastAsia="Arial" w:hAnsi="Arial"/>
                <w:sz w:val="20"/>
                <w:szCs w:val="20"/>
                <w:color w:val="auto"/>
              </w:rPr>
              <w:t>Total</w:t>
            </w: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100" w:type="dxa"/>
            <w:vAlign w:val="bottom"/>
            <w:tcBorders>
              <w:top w:val="single" w:sz="8" w:color="auto"/>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464,525</w:t>
            </w: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20"/>
                <w:szCs w:val="20"/>
                <w:color w:val="auto"/>
                <w:w w:val="71"/>
              </w:rPr>
              <w:t>$</w:t>
            </w:r>
          </w:p>
        </w:tc>
        <w:tc>
          <w:tcPr>
            <w:tcW w:w="60" w:type="dxa"/>
            <w:vAlign w:val="bottom"/>
            <w:tcBorders>
              <w:top w:val="single" w:sz="8" w:color="auto"/>
              <w:bottom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484,919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bottom w:val="single" w:sz="8" w:color="auto"/>
            </w:tcBorders>
            <w:gridSpan w:val="2"/>
          </w:tcPr>
          <w:p>
            <w:pPr>
              <w:jc w:val="right"/>
              <w:ind w:right="81"/>
              <w:spacing w:after="0"/>
              <w:rPr>
                <w:sz w:val="20"/>
                <w:szCs w:val="20"/>
                <w:color w:val="auto"/>
              </w:rPr>
            </w:pPr>
            <w:r>
              <w:rPr>
                <w:rFonts w:ascii="Arial" w:cs="Arial" w:eastAsia="Arial" w:hAnsi="Arial"/>
                <w:sz w:val="20"/>
                <w:szCs w:val="20"/>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475,293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15 of 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September 30, 2015</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NOTES TO CONSOLIDATED FINANCIAL STATEMENTS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6940" w:type="dxa"/>
            <w:vAlign w:val="bottom"/>
          </w:tcPr>
          <w:p>
            <w:pPr>
              <w:spacing w:after="0"/>
              <w:rPr>
                <w:sz w:val="20"/>
                <w:szCs w:val="20"/>
                <w:color w:val="auto"/>
              </w:rPr>
            </w:pPr>
            <w:r>
              <w:rPr>
                <w:rFonts w:ascii="Arial" w:cs="Arial" w:eastAsia="Arial" w:hAnsi="Arial"/>
                <w:sz w:val="20"/>
                <w:szCs w:val="20"/>
                <w:b w:val="1"/>
                <w:bCs w:val="1"/>
                <w:color w:val="auto"/>
              </w:rPr>
              <w:t>5.  Long-Term Debt</w:t>
            </w: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452"/>
        </w:trPr>
        <w:tc>
          <w:tcPr>
            <w:tcW w:w="6940" w:type="dxa"/>
            <w:vAlign w:val="bottom"/>
          </w:tcPr>
          <w:p>
            <w:pPr>
              <w:spacing w:after="0"/>
              <w:rPr>
                <w:sz w:val="24"/>
                <w:szCs w:val="24"/>
                <w:color w:val="auto"/>
              </w:rPr>
            </w:pPr>
          </w:p>
        </w:tc>
        <w:tc>
          <w:tcPr>
            <w:tcW w:w="1520" w:type="dxa"/>
            <w:vAlign w:val="bottom"/>
            <w:gridSpan w:val="3"/>
          </w:tcPr>
          <w:p>
            <w:pPr>
              <w:jc w:val="right"/>
              <w:ind w:right="300"/>
              <w:spacing w:after="0"/>
              <w:rPr>
                <w:sz w:val="20"/>
                <w:szCs w:val="20"/>
                <w:color w:val="auto"/>
              </w:rPr>
            </w:pPr>
            <w:r>
              <w:rPr>
                <w:rFonts w:ascii="Arial" w:cs="Arial" w:eastAsia="Arial" w:hAnsi="Arial"/>
                <w:sz w:val="20"/>
                <w:szCs w:val="20"/>
                <w:color w:val="auto"/>
                <w:w w:val="91"/>
              </w:rPr>
              <w:t>September 30,</w:t>
            </w:r>
          </w:p>
        </w:tc>
        <w:tc>
          <w:tcPr>
            <w:tcW w:w="1440" w:type="dxa"/>
            <w:vAlign w:val="bottom"/>
            <w:gridSpan w:val="3"/>
          </w:tcPr>
          <w:p>
            <w:pPr>
              <w:jc w:val="center"/>
              <w:ind w:right="160"/>
              <w:spacing w:after="0"/>
              <w:rPr>
                <w:sz w:val="20"/>
                <w:szCs w:val="20"/>
                <w:color w:val="auto"/>
              </w:rPr>
            </w:pPr>
            <w:r>
              <w:rPr>
                <w:rFonts w:ascii="Arial" w:cs="Arial" w:eastAsia="Arial" w:hAnsi="Arial"/>
                <w:sz w:val="20"/>
                <w:szCs w:val="20"/>
                <w:color w:val="auto"/>
                <w:w w:val="89"/>
              </w:rPr>
              <w:t>December 31,</w:t>
            </w:r>
          </w:p>
        </w:tc>
        <w:tc>
          <w:tcPr>
            <w:tcW w:w="80" w:type="dxa"/>
            <w:vAlign w:val="bottom"/>
          </w:tcPr>
          <w:p>
            <w:pPr>
              <w:spacing w:after="0"/>
              <w:rPr>
                <w:sz w:val="24"/>
                <w:szCs w:val="24"/>
                <w:color w:val="auto"/>
              </w:rPr>
            </w:pPr>
          </w:p>
        </w:tc>
        <w:tc>
          <w:tcPr>
            <w:tcW w:w="1440" w:type="dxa"/>
            <w:vAlign w:val="bottom"/>
            <w:gridSpan w:val="3"/>
          </w:tcPr>
          <w:p>
            <w:pPr>
              <w:jc w:val="right"/>
              <w:ind w:right="220"/>
              <w:spacing w:after="0"/>
              <w:rPr>
                <w:sz w:val="20"/>
                <w:szCs w:val="20"/>
                <w:color w:val="auto"/>
              </w:rPr>
            </w:pPr>
            <w:r>
              <w:rPr>
                <w:rFonts w:ascii="Arial" w:cs="Arial" w:eastAsia="Arial" w:hAnsi="Arial"/>
                <w:sz w:val="20"/>
                <w:szCs w:val="20"/>
                <w:color w:val="auto"/>
                <w:w w:val="91"/>
              </w:rPr>
              <w:t>September 30,</w:t>
            </w:r>
          </w:p>
        </w:tc>
      </w:tr>
      <w:tr>
        <w:trPr>
          <w:trHeight w:val="246"/>
        </w:trPr>
        <w:tc>
          <w:tcPr>
            <w:tcW w:w="69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61"/>
              <w:spacing w:after="0"/>
              <w:rPr>
                <w:sz w:val="20"/>
                <w:szCs w:val="20"/>
                <w:color w:val="auto"/>
              </w:rPr>
            </w:pPr>
            <w:r>
              <w:rPr>
                <w:rFonts w:ascii="Arial" w:cs="Arial" w:eastAsia="Arial" w:hAnsi="Arial"/>
                <w:sz w:val="20"/>
                <w:szCs w:val="20"/>
                <w:color w:val="auto"/>
              </w:rPr>
              <w:t>2015</w:t>
            </w:r>
          </w:p>
        </w:tc>
        <w:tc>
          <w:tcPr>
            <w:tcW w:w="2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201"/>
              <w:spacing w:after="0"/>
              <w:rPr>
                <w:sz w:val="20"/>
                <w:szCs w:val="20"/>
                <w:color w:val="auto"/>
              </w:rPr>
            </w:pPr>
            <w:r>
              <w:rPr>
                <w:rFonts w:ascii="Arial" w:cs="Arial" w:eastAsia="Arial" w:hAnsi="Arial"/>
                <w:sz w:val="20"/>
                <w:szCs w:val="20"/>
                <w:color w:val="auto"/>
                <w:w w:val="89"/>
              </w:rPr>
              <w:t>2014</w:t>
            </w:r>
          </w:p>
        </w:tc>
        <w:tc>
          <w:tcPr>
            <w:tcW w:w="1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81"/>
              <w:spacing w:after="0"/>
              <w:rPr>
                <w:sz w:val="20"/>
                <w:szCs w:val="20"/>
                <w:color w:val="auto"/>
              </w:rPr>
            </w:pPr>
            <w:r>
              <w:rPr>
                <w:rFonts w:ascii="Arial" w:cs="Arial" w:eastAsia="Arial" w:hAnsi="Arial"/>
                <w:sz w:val="20"/>
                <w:szCs w:val="20"/>
                <w:color w:val="auto"/>
              </w:rPr>
              <w:t>2014</w:t>
            </w:r>
          </w:p>
        </w:tc>
        <w:tc>
          <w:tcPr>
            <w:tcW w:w="120" w:type="dxa"/>
            <w:vAlign w:val="bottom"/>
          </w:tcPr>
          <w:p>
            <w:pPr>
              <w:spacing w:after="0"/>
              <w:rPr>
                <w:sz w:val="21"/>
                <w:szCs w:val="21"/>
                <w:color w:val="auto"/>
              </w:rPr>
            </w:pPr>
          </w:p>
        </w:tc>
      </w:tr>
      <w:tr>
        <w:trPr>
          <w:trHeight w:val="237"/>
        </w:trPr>
        <w:tc>
          <w:tcPr>
            <w:tcW w:w="6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40" w:type="dxa"/>
            <w:vAlign w:val="bottom"/>
            <w:gridSpan w:val="7"/>
          </w:tcPr>
          <w:p>
            <w:pPr>
              <w:jc w:val="center"/>
              <w:ind w:left="661"/>
              <w:spacing w:after="0"/>
              <w:rPr>
                <w:sz w:val="20"/>
                <w:szCs w:val="20"/>
                <w:color w:val="auto"/>
              </w:rPr>
            </w:pPr>
            <w:r>
              <w:rPr>
                <w:rFonts w:ascii="Arial" w:cs="Arial" w:eastAsia="Arial" w:hAnsi="Arial"/>
                <w:sz w:val="20"/>
                <w:szCs w:val="20"/>
                <w:i w:val="1"/>
                <w:iCs w:val="1"/>
                <w:color w:val="auto"/>
                <w:w w:val="91"/>
              </w:rPr>
              <w:t>(Dollars in Thousands)</w:t>
            </w: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43"/>
        </w:trPr>
        <w:tc>
          <w:tcPr>
            <w:tcW w:w="6940" w:type="dxa"/>
            <w:vAlign w:val="bottom"/>
            <w:shd w:val="clear" w:color="auto" w:fill="CFF0FC"/>
          </w:tcPr>
          <w:p>
            <w:pPr>
              <w:spacing w:after="0"/>
              <w:rPr>
                <w:sz w:val="20"/>
                <w:szCs w:val="20"/>
                <w:color w:val="auto"/>
              </w:rPr>
            </w:pPr>
            <w:r>
              <w:rPr>
                <w:rFonts w:ascii="Arial" w:cs="Arial" w:eastAsia="Arial" w:hAnsi="Arial"/>
                <w:sz w:val="20"/>
                <w:szCs w:val="20"/>
                <w:color w:val="auto"/>
              </w:rPr>
              <w:t>6.6% Senior Notes, due 2018</w:t>
            </w:r>
          </w:p>
        </w:tc>
        <w:tc>
          <w:tcPr>
            <w:tcW w:w="28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299,305</w:t>
            </w:r>
          </w:p>
        </w:tc>
        <w:tc>
          <w:tcPr>
            <w:tcW w:w="220" w:type="dxa"/>
            <w:vAlign w:val="bottom"/>
            <w:shd w:val="clear" w:color="auto" w:fill="CFF0FC"/>
          </w:tcPr>
          <w:p>
            <w:pPr>
              <w:spacing w:after="0"/>
              <w:rPr>
                <w:sz w:val="21"/>
                <w:szCs w:val="21"/>
                <w:color w:val="auto"/>
              </w:rPr>
            </w:pPr>
          </w:p>
        </w:tc>
        <w:tc>
          <w:tcPr>
            <w:tcW w:w="28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299,123</w:t>
            </w:r>
          </w:p>
        </w:tc>
        <w:tc>
          <w:tcPr>
            <w:tcW w:w="140" w:type="dxa"/>
            <w:vAlign w:val="bottom"/>
            <w:shd w:val="clear" w:color="auto" w:fill="CFF0FC"/>
          </w:tcPr>
          <w:p>
            <w:pPr>
              <w:spacing w:after="0"/>
              <w:rPr>
                <w:sz w:val="21"/>
                <w:szCs w:val="21"/>
                <w:color w:val="auto"/>
              </w:rPr>
            </w:pPr>
          </w:p>
        </w:tc>
        <w:tc>
          <w:tcPr>
            <w:tcW w:w="360" w:type="dxa"/>
            <w:vAlign w:val="bottom"/>
            <w:gridSpan w:val="2"/>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299,063</w:t>
            </w:r>
          </w:p>
        </w:tc>
        <w:tc>
          <w:tcPr>
            <w:tcW w:w="120" w:type="dxa"/>
            <w:vAlign w:val="bottom"/>
            <w:shd w:val="clear" w:color="auto" w:fill="CFF0FC"/>
          </w:tcPr>
          <w:p>
            <w:pPr>
              <w:spacing w:after="0"/>
              <w:rPr>
                <w:sz w:val="21"/>
                <w:szCs w:val="21"/>
                <w:color w:val="auto"/>
              </w:rPr>
            </w:pPr>
          </w:p>
        </w:tc>
      </w:tr>
      <w:tr>
        <w:trPr>
          <w:trHeight w:val="243"/>
        </w:trPr>
        <w:tc>
          <w:tcPr>
            <w:tcW w:w="6940" w:type="dxa"/>
            <w:vAlign w:val="bottom"/>
          </w:tcPr>
          <w:p>
            <w:pPr>
              <w:spacing w:after="0"/>
              <w:rPr>
                <w:sz w:val="20"/>
                <w:szCs w:val="20"/>
                <w:color w:val="auto"/>
              </w:rPr>
            </w:pPr>
            <w:r>
              <w:rPr>
                <w:rFonts w:ascii="Arial" w:cs="Arial" w:eastAsia="Arial" w:hAnsi="Arial"/>
                <w:sz w:val="20"/>
                <w:szCs w:val="20"/>
                <w:color w:val="auto"/>
              </w:rPr>
              <w:t>7% Debentures, due 2025</w:t>
            </w: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124,524</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124,500</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124,493</w:t>
            </w:r>
          </w:p>
        </w:tc>
        <w:tc>
          <w:tcPr>
            <w:tcW w:w="120" w:type="dxa"/>
            <w:vAlign w:val="bottom"/>
          </w:tcPr>
          <w:p>
            <w:pPr>
              <w:spacing w:after="0"/>
              <w:rPr>
                <w:sz w:val="21"/>
                <w:szCs w:val="21"/>
                <w:color w:val="auto"/>
              </w:rPr>
            </w:pPr>
          </w:p>
        </w:tc>
      </w:tr>
      <w:tr>
        <w:trPr>
          <w:trHeight w:val="243"/>
        </w:trPr>
        <w:tc>
          <w:tcPr>
            <w:tcW w:w="6940" w:type="dxa"/>
            <w:vAlign w:val="bottom"/>
            <w:shd w:val="clear" w:color="auto" w:fill="CFF0FC"/>
          </w:tcPr>
          <w:p>
            <w:pPr>
              <w:spacing w:after="0"/>
              <w:rPr>
                <w:sz w:val="20"/>
                <w:szCs w:val="20"/>
                <w:color w:val="auto"/>
              </w:rPr>
            </w:pPr>
            <w:r>
              <w:rPr>
                <w:rFonts w:ascii="Arial" w:cs="Arial" w:eastAsia="Arial" w:hAnsi="Arial"/>
                <w:sz w:val="20"/>
                <w:szCs w:val="20"/>
                <w:color w:val="auto"/>
              </w:rPr>
              <w:t>6.25% Senior Notes, due 2037</w:t>
            </w:r>
          </w:p>
        </w:tc>
        <w:tc>
          <w:tcPr>
            <w:tcW w:w="28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228,213</w:t>
            </w:r>
          </w:p>
        </w:tc>
        <w:tc>
          <w:tcPr>
            <w:tcW w:w="2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228,184</w:t>
            </w:r>
          </w:p>
        </w:tc>
        <w:tc>
          <w:tcPr>
            <w:tcW w:w="1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228,175</w:t>
            </w:r>
          </w:p>
        </w:tc>
        <w:tc>
          <w:tcPr>
            <w:tcW w:w="120" w:type="dxa"/>
            <w:vAlign w:val="bottom"/>
            <w:shd w:val="clear" w:color="auto" w:fill="CFF0FC"/>
          </w:tcPr>
          <w:p>
            <w:pPr>
              <w:spacing w:after="0"/>
              <w:rPr>
                <w:sz w:val="21"/>
                <w:szCs w:val="21"/>
                <w:color w:val="auto"/>
              </w:rPr>
            </w:pPr>
          </w:p>
        </w:tc>
      </w:tr>
      <w:tr>
        <w:trPr>
          <w:trHeight w:val="243"/>
        </w:trPr>
        <w:tc>
          <w:tcPr>
            <w:tcW w:w="6940" w:type="dxa"/>
            <w:vAlign w:val="bottom"/>
          </w:tcPr>
          <w:p>
            <w:pPr>
              <w:spacing w:after="0"/>
              <w:rPr>
                <w:sz w:val="20"/>
                <w:szCs w:val="20"/>
                <w:color w:val="auto"/>
              </w:rPr>
            </w:pPr>
            <w:r>
              <w:rPr>
                <w:rFonts w:ascii="Arial" w:cs="Arial" w:eastAsia="Arial" w:hAnsi="Arial"/>
                <w:sz w:val="20"/>
                <w:szCs w:val="20"/>
                <w:color w:val="auto"/>
              </w:rPr>
              <w:t>4.25 % Senior Notes, due 2024</w:t>
            </w: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395,614</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395,309</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395,211</w:t>
            </w:r>
          </w:p>
        </w:tc>
        <w:tc>
          <w:tcPr>
            <w:tcW w:w="120" w:type="dxa"/>
            <w:vAlign w:val="bottom"/>
          </w:tcPr>
          <w:p>
            <w:pPr>
              <w:spacing w:after="0"/>
              <w:rPr>
                <w:sz w:val="21"/>
                <w:szCs w:val="21"/>
                <w:color w:val="auto"/>
              </w:rPr>
            </w:pPr>
          </w:p>
        </w:tc>
      </w:tr>
      <w:tr>
        <w:trPr>
          <w:trHeight w:val="226"/>
        </w:trPr>
        <w:tc>
          <w:tcPr>
            <w:tcW w:w="694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rPr>
              <w:t>Floating Rate Notes, due 2017, interest rate of 1.38%,</w:t>
            </w: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9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1.33% and 1.34% at September 30, 2015, December 31, 2014</w:t>
            </w: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46"/>
        </w:trPr>
        <w:tc>
          <w:tcPr>
            <w:tcW w:w="69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and September 30, 2014, respectively</w:t>
            </w:r>
          </w:p>
        </w:tc>
        <w:tc>
          <w:tcPr>
            <w:tcW w:w="28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299,251</w:t>
            </w:r>
          </w:p>
        </w:tc>
        <w:tc>
          <w:tcPr>
            <w:tcW w:w="2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298,869</w:t>
            </w:r>
          </w:p>
        </w:tc>
        <w:tc>
          <w:tcPr>
            <w:tcW w:w="1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298,760</w:t>
            </w:r>
          </w:p>
        </w:tc>
        <w:tc>
          <w:tcPr>
            <w:tcW w:w="120" w:type="dxa"/>
            <w:vAlign w:val="bottom"/>
            <w:shd w:val="clear" w:color="auto" w:fill="CFF0FC"/>
          </w:tcPr>
          <w:p>
            <w:pPr>
              <w:spacing w:after="0"/>
              <w:rPr>
                <w:sz w:val="21"/>
                <w:szCs w:val="21"/>
                <w:color w:val="auto"/>
              </w:rPr>
            </w:pPr>
          </w:p>
        </w:tc>
      </w:tr>
      <w:tr>
        <w:trPr>
          <w:trHeight w:val="226"/>
        </w:trPr>
        <w:tc>
          <w:tcPr>
            <w:tcW w:w="6940" w:type="dxa"/>
            <w:vAlign w:val="bottom"/>
          </w:tcPr>
          <w:p>
            <w:pPr>
              <w:spacing w:after="0" w:line="227" w:lineRule="exact"/>
              <w:rPr>
                <w:sz w:val="20"/>
                <w:szCs w:val="20"/>
                <w:color w:val="auto"/>
              </w:rPr>
            </w:pPr>
            <w:r>
              <w:rPr>
                <w:rFonts w:ascii="Arial" w:cs="Arial" w:eastAsia="Arial" w:hAnsi="Arial"/>
                <w:sz w:val="20"/>
                <w:szCs w:val="20"/>
                <w:color w:val="auto"/>
              </w:rPr>
              <w:t>Term Loan Facility, due 2018, interest rate of 1.72% at September 30,</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46"/>
        </w:trPr>
        <w:tc>
          <w:tcPr>
            <w:tcW w:w="6940" w:type="dxa"/>
            <w:vAlign w:val="bottom"/>
          </w:tcPr>
          <w:p>
            <w:pPr>
              <w:ind w:left="260"/>
              <w:spacing w:after="0"/>
              <w:rPr>
                <w:sz w:val="20"/>
                <w:szCs w:val="20"/>
                <w:color w:val="auto"/>
              </w:rPr>
            </w:pPr>
            <w:r>
              <w:rPr>
                <w:rFonts w:ascii="Arial" w:cs="Arial" w:eastAsia="Arial" w:hAnsi="Arial"/>
                <w:sz w:val="20"/>
                <w:szCs w:val="20"/>
                <w:color w:val="auto"/>
              </w:rPr>
              <w:t>2015; 1.67% at December 31, 2014; and 1.65% at September 30, 2014</w:t>
            </w: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227,121</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236,258</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239,304</w:t>
            </w:r>
          </w:p>
        </w:tc>
        <w:tc>
          <w:tcPr>
            <w:tcW w:w="120" w:type="dxa"/>
            <w:vAlign w:val="bottom"/>
          </w:tcPr>
          <w:p>
            <w:pPr>
              <w:spacing w:after="0"/>
              <w:rPr>
                <w:sz w:val="21"/>
                <w:szCs w:val="21"/>
                <w:color w:val="auto"/>
              </w:rPr>
            </w:pPr>
          </w:p>
        </w:tc>
      </w:tr>
      <w:tr>
        <w:trPr>
          <w:trHeight w:val="226"/>
        </w:trPr>
        <w:tc>
          <w:tcPr>
            <w:tcW w:w="694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rPr>
              <w:t>Trade Receivable Facility, interest rate of 0.90% and 0.76% at</w:t>
            </w: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46"/>
        </w:trPr>
        <w:tc>
          <w:tcPr>
            <w:tcW w:w="69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September 30, 3015 and 2014, respectively</w:t>
            </w:r>
          </w:p>
        </w:tc>
        <w:tc>
          <w:tcPr>
            <w:tcW w:w="28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130,000</w:t>
            </w:r>
          </w:p>
        </w:tc>
        <w:tc>
          <w:tcPr>
            <w:tcW w:w="2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20"/>
                <w:szCs w:val="20"/>
                <w:color w:val="auto"/>
              </w:rPr>
              <w:t>—</w:t>
            </w:r>
          </w:p>
        </w:tc>
        <w:tc>
          <w:tcPr>
            <w:tcW w:w="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30,000</w:t>
            </w:r>
          </w:p>
        </w:tc>
        <w:tc>
          <w:tcPr>
            <w:tcW w:w="120" w:type="dxa"/>
            <w:vAlign w:val="bottom"/>
            <w:shd w:val="clear" w:color="auto" w:fill="CFF0FC"/>
          </w:tcPr>
          <w:p>
            <w:pPr>
              <w:spacing w:after="0"/>
              <w:rPr>
                <w:sz w:val="21"/>
                <w:szCs w:val="21"/>
                <w:color w:val="auto"/>
              </w:rPr>
            </w:pPr>
          </w:p>
        </w:tc>
      </w:tr>
      <w:tr>
        <w:trPr>
          <w:trHeight w:val="243"/>
        </w:trPr>
        <w:tc>
          <w:tcPr>
            <w:tcW w:w="6940" w:type="dxa"/>
            <w:vAlign w:val="bottom"/>
            <w:tcBorders>
              <w:bottom w:val="single" w:sz="8" w:color="CFF0FC"/>
            </w:tcBorders>
          </w:tcPr>
          <w:p>
            <w:pPr>
              <w:spacing w:after="0"/>
              <w:rPr>
                <w:sz w:val="20"/>
                <w:szCs w:val="20"/>
                <w:color w:val="auto"/>
              </w:rPr>
            </w:pPr>
            <w:r>
              <w:rPr>
                <w:rFonts w:ascii="Arial" w:cs="Arial" w:eastAsia="Arial" w:hAnsi="Arial"/>
                <w:sz w:val="20"/>
                <w:szCs w:val="20"/>
                <w:color w:val="auto"/>
              </w:rPr>
              <w:t>Other notes</w:t>
            </w:r>
          </w:p>
        </w:tc>
        <w:tc>
          <w:tcPr>
            <w:tcW w:w="2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1,124</w:t>
            </w:r>
          </w:p>
        </w:tc>
        <w:tc>
          <w:tcPr>
            <w:tcW w:w="220" w:type="dxa"/>
            <w:vAlign w:val="bottom"/>
            <w:tcBorders>
              <w:bottom w:val="single" w:sz="8" w:color="CFF0FC"/>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3,152</w:t>
            </w:r>
          </w:p>
        </w:tc>
        <w:tc>
          <w:tcPr>
            <w:tcW w:w="14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3,269</w:t>
            </w:r>
          </w:p>
        </w:tc>
        <w:tc>
          <w:tcPr>
            <w:tcW w:w="120" w:type="dxa"/>
            <w:vAlign w:val="bottom"/>
            <w:tcBorders>
              <w:bottom w:val="single" w:sz="8" w:color="CFF0FC"/>
            </w:tcBorders>
          </w:tcPr>
          <w:p>
            <w:pPr>
              <w:spacing w:after="0"/>
              <w:rPr>
                <w:sz w:val="21"/>
                <w:szCs w:val="21"/>
                <w:color w:val="auto"/>
              </w:rPr>
            </w:pPr>
          </w:p>
        </w:tc>
      </w:tr>
      <w:tr>
        <w:trPr>
          <w:trHeight w:val="237"/>
        </w:trPr>
        <w:tc>
          <w:tcPr>
            <w:tcW w:w="6940" w:type="dxa"/>
            <w:vAlign w:val="bottom"/>
            <w:shd w:val="clear" w:color="auto" w:fill="CFF0FC"/>
          </w:tcPr>
          <w:p>
            <w:pPr>
              <w:spacing w:after="0"/>
              <w:rPr>
                <w:sz w:val="20"/>
                <w:szCs w:val="20"/>
                <w:color w:val="auto"/>
              </w:rPr>
            </w:pPr>
            <w:r>
              <w:rPr>
                <w:rFonts w:ascii="Arial" w:cs="Arial" w:eastAsia="Arial" w:hAnsi="Arial"/>
                <w:sz w:val="20"/>
                <w:szCs w:val="20"/>
                <w:color w:val="auto"/>
              </w:rPr>
              <w:t>Total debt</w:t>
            </w:r>
          </w:p>
        </w:tc>
        <w:tc>
          <w:tcPr>
            <w:tcW w:w="28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1,705,152</w:t>
            </w:r>
          </w:p>
        </w:tc>
        <w:tc>
          <w:tcPr>
            <w:tcW w:w="2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1,585,395</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1,618,275</w:t>
            </w:r>
          </w:p>
        </w:tc>
        <w:tc>
          <w:tcPr>
            <w:tcW w:w="120" w:type="dxa"/>
            <w:vAlign w:val="bottom"/>
            <w:shd w:val="clear" w:color="auto" w:fill="CFF0FC"/>
          </w:tcPr>
          <w:p>
            <w:pPr>
              <w:spacing w:after="0"/>
              <w:rPr>
                <w:sz w:val="20"/>
                <w:szCs w:val="20"/>
                <w:color w:val="auto"/>
              </w:rPr>
            </w:pPr>
          </w:p>
        </w:tc>
      </w:tr>
      <w:tr>
        <w:trPr>
          <w:trHeight w:val="243"/>
        </w:trPr>
        <w:tc>
          <w:tcPr>
            <w:tcW w:w="6940" w:type="dxa"/>
            <w:vAlign w:val="bottom"/>
          </w:tcPr>
          <w:p>
            <w:pPr>
              <w:spacing w:after="0"/>
              <w:rPr>
                <w:sz w:val="20"/>
                <w:szCs w:val="20"/>
                <w:color w:val="auto"/>
              </w:rPr>
            </w:pPr>
            <w:r>
              <w:rPr>
                <w:rFonts w:ascii="Arial" w:cs="Arial" w:eastAsia="Arial" w:hAnsi="Arial"/>
                <w:sz w:val="20"/>
                <w:szCs w:val="20"/>
                <w:color w:val="auto"/>
              </w:rPr>
              <w:t>Less: Current maturities</w:t>
            </w:r>
          </w:p>
        </w:tc>
        <w:tc>
          <w:tcPr>
            <w:tcW w:w="280" w:type="dxa"/>
            <w:vAlign w:val="bottom"/>
          </w:tcPr>
          <w:p>
            <w:pPr>
              <w:spacing w:after="0"/>
              <w:rPr>
                <w:sz w:val="21"/>
                <w:szCs w:val="21"/>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20"/>
                <w:szCs w:val="20"/>
                <w:color w:val="auto"/>
              </w:rPr>
              <w:t>(147,536)</w:t>
            </w:r>
          </w:p>
        </w:tc>
        <w:tc>
          <w:tcPr>
            <w:tcW w:w="280" w:type="dxa"/>
            <w:vAlign w:val="bottom"/>
          </w:tcPr>
          <w:p>
            <w:pPr>
              <w:spacing w:after="0"/>
              <w:rPr>
                <w:sz w:val="21"/>
                <w:szCs w:val="21"/>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20"/>
                <w:szCs w:val="20"/>
                <w:color w:val="auto"/>
              </w:rPr>
              <w:t>(14,336)</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20"/>
                <w:szCs w:val="20"/>
                <w:color w:val="auto"/>
              </w:rPr>
              <w:t>(14,331)</w:t>
            </w:r>
          </w:p>
        </w:tc>
      </w:tr>
      <w:tr>
        <w:trPr>
          <w:trHeight w:val="237"/>
        </w:trPr>
        <w:tc>
          <w:tcPr>
            <w:tcW w:w="69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Long-term debt</w:t>
            </w:r>
          </w:p>
        </w:tc>
        <w:tc>
          <w:tcPr>
            <w:tcW w:w="280" w:type="dxa"/>
            <w:vAlign w:val="bottom"/>
            <w:tcBorders>
              <w:top w:val="single" w:sz="8" w:color="auto"/>
              <w:bottom w:val="single" w:sz="8" w:color="auto"/>
            </w:tcBorders>
            <w:shd w:val="clear" w:color="auto" w:fill="CFF0FC"/>
          </w:tcPr>
          <w:p>
            <w:pPr>
              <w:jc w:val="right"/>
              <w:ind w:right="81"/>
              <w:spacing w:after="0"/>
              <w:rPr>
                <w:sz w:val="20"/>
                <w:szCs w:val="20"/>
                <w:color w:val="auto"/>
              </w:rPr>
            </w:pPr>
            <w:r>
              <w:rPr>
                <w:rFonts w:ascii="Arial" w:cs="Arial" w:eastAsia="Arial" w:hAnsi="Arial"/>
                <w:sz w:val="20"/>
                <w:szCs w:val="20"/>
                <w:color w:val="auto"/>
                <w:w w:val="71"/>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1,557,616</w:t>
            </w:r>
          </w:p>
        </w:tc>
        <w:tc>
          <w:tcPr>
            <w:tcW w:w="220" w:type="dxa"/>
            <w:vAlign w:val="bottom"/>
            <w:tcBorders>
              <w:top w:val="single" w:sz="8" w:color="CFF0FC"/>
              <w:bottom w:val="single" w:sz="8" w:color="CFF0FC"/>
            </w:tcBorders>
            <w:shd w:val="clear" w:color="auto" w:fill="CFF0FC"/>
          </w:tcPr>
          <w:p>
            <w:pPr>
              <w:spacing w:after="0"/>
              <w:rPr>
                <w:sz w:val="20"/>
                <w:szCs w:val="20"/>
                <w:color w:val="auto"/>
              </w:rPr>
            </w:pPr>
          </w:p>
        </w:tc>
        <w:tc>
          <w:tcPr>
            <w:tcW w:w="280" w:type="dxa"/>
            <w:vAlign w:val="bottom"/>
            <w:tcBorders>
              <w:top w:val="single" w:sz="8" w:color="auto"/>
              <w:bottom w:val="single" w:sz="8" w:color="auto"/>
            </w:tcBorders>
            <w:shd w:val="clear" w:color="auto" w:fill="CFF0FC"/>
          </w:tcPr>
          <w:p>
            <w:pPr>
              <w:jc w:val="right"/>
              <w:ind w:right="81"/>
              <w:spacing w:after="0"/>
              <w:rPr>
                <w:sz w:val="20"/>
                <w:szCs w:val="20"/>
                <w:color w:val="auto"/>
              </w:rPr>
            </w:pPr>
            <w:r>
              <w:rPr>
                <w:rFonts w:ascii="Arial" w:cs="Arial" w:eastAsia="Arial" w:hAnsi="Arial"/>
                <w:sz w:val="20"/>
                <w:szCs w:val="20"/>
                <w:color w:val="auto"/>
                <w:w w:val="71"/>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1,571,059</w:t>
            </w:r>
          </w:p>
        </w:tc>
        <w:tc>
          <w:tcPr>
            <w:tcW w:w="140" w:type="dxa"/>
            <w:vAlign w:val="bottom"/>
            <w:tcBorders>
              <w:top w:val="single" w:sz="8" w:color="CFF0FC"/>
              <w:bottom w:val="single" w:sz="8" w:color="CFF0FC"/>
            </w:tcBorders>
            <w:shd w:val="clear" w:color="auto" w:fill="CFF0FC"/>
          </w:tcPr>
          <w:p>
            <w:pPr>
              <w:spacing w:after="0"/>
              <w:rPr>
                <w:sz w:val="20"/>
                <w:szCs w:val="20"/>
                <w:color w:val="auto"/>
              </w:rPr>
            </w:pPr>
          </w:p>
        </w:tc>
        <w:tc>
          <w:tcPr>
            <w:tcW w:w="80" w:type="dxa"/>
            <w:vAlign w:val="bottom"/>
            <w:tcBorders>
              <w:top w:val="single" w:sz="8" w:color="CFF0FC"/>
              <w:bottom w:val="single" w:sz="8" w:color="CFF0FC"/>
            </w:tcBorders>
            <w:shd w:val="clear" w:color="auto" w:fill="CFF0FC"/>
          </w:tcPr>
          <w:p>
            <w:pPr>
              <w:spacing w:after="0"/>
              <w:rPr>
                <w:sz w:val="20"/>
                <w:szCs w:val="20"/>
                <w:color w:val="auto"/>
              </w:rPr>
            </w:pPr>
          </w:p>
        </w:tc>
        <w:tc>
          <w:tcPr>
            <w:tcW w:w="280" w:type="dxa"/>
            <w:vAlign w:val="bottom"/>
            <w:tcBorders>
              <w:top w:val="single" w:sz="8" w:color="auto"/>
              <w:bottom w:val="single" w:sz="8" w:color="auto"/>
            </w:tcBorders>
            <w:shd w:val="clear" w:color="auto" w:fill="CFF0FC"/>
          </w:tcPr>
          <w:p>
            <w:pPr>
              <w:jc w:val="right"/>
              <w:ind w:right="81"/>
              <w:spacing w:after="0"/>
              <w:rPr>
                <w:sz w:val="20"/>
                <w:szCs w:val="20"/>
                <w:color w:val="auto"/>
              </w:rPr>
            </w:pPr>
            <w:r>
              <w:rPr>
                <w:rFonts w:ascii="Arial" w:cs="Arial" w:eastAsia="Arial" w:hAnsi="Arial"/>
                <w:sz w:val="20"/>
                <w:szCs w:val="20"/>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1,603,944</w:t>
            </w:r>
          </w:p>
        </w:tc>
        <w:tc>
          <w:tcPr>
            <w:tcW w:w="120" w:type="dxa"/>
            <w:vAlign w:val="bottom"/>
            <w:tcBorders>
              <w:top w:val="single" w:sz="8" w:color="CFF0FC"/>
              <w:bottom w:val="single" w:sz="8" w:color="CFF0FC"/>
            </w:tcBorders>
            <w:shd w:val="clear" w:color="auto" w:fill="CFF0FC"/>
          </w:tcPr>
          <w:p>
            <w:pPr>
              <w:spacing w:after="0"/>
              <w:rPr>
                <w:sz w:val="20"/>
                <w:szCs w:val="20"/>
                <w:color w:val="auto"/>
              </w:rPr>
            </w:pPr>
          </w:p>
        </w:tc>
      </w:tr>
      <w:tr>
        <w:trPr>
          <w:trHeight w:val="20"/>
        </w:trPr>
        <w:tc>
          <w:tcPr>
            <w:tcW w:w="69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34" w:lineRule="exact"/>
        <w:rPr>
          <w:sz w:val="20"/>
          <w:szCs w:val="20"/>
          <w:color w:val="auto"/>
        </w:rPr>
      </w:pPr>
    </w:p>
    <w:p>
      <w:pPr>
        <w:jc w:val="both"/>
        <w:ind w:left="380"/>
        <w:spacing w:after="0" w:line="271" w:lineRule="auto"/>
        <w:rPr>
          <w:sz w:val="20"/>
          <w:szCs w:val="20"/>
          <w:color w:val="auto"/>
        </w:rPr>
      </w:pPr>
      <w:r>
        <w:rPr>
          <w:rFonts w:ascii="Arial" w:cs="Arial" w:eastAsia="Arial" w:hAnsi="Arial"/>
          <w:sz w:val="18"/>
          <w:szCs w:val="18"/>
          <w:color w:val="auto"/>
        </w:rPr>
        <w:t>The Corporation, through a wholly-owned special purpose subsidiary, has a $250,000,000 trade receivable securitization facility (the “Trade Receivable Facility”), which matures on September 30, 2016. The Trade Receivable Facility, with SunTrust Bank, Regions Bank, PNC Bank, N.A. and certain other lenders that may become a party to the facility from time to time, is backed by eligible trade receivables, as defined, of $517,404,000, $369,575,000 and $477,535,000 at September 30, 2015, December 31, 2014 and September 30, 2014, respectively. These receivables are originated by the Corporation and then sold to the wholly-owned special purpose subsidiary by the Corporation. The Corporation continues to be responsible for the servicing and administration of the receivables purchased by the wholly-owned special purpose subsidiary. Borrowings under the Trade Receivable Facility bear interest at a rate equal to one-month LIBOR plus 0.7% and are limited to the lesser of the facility limit or the borrowing base, as defined, of $425,733,000, $313,428,000 and $405,904,000 at September 30, 2015, December 31, 2014 and September 30, 2014, respectively. The Trade Receivable Facility contains a cross-default provision to the Corporation’s other debt agreements.</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16 of 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September 30, 2015</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NOTES TO CONSOLIDATED FINANCIAL STATEMENTS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207" w:lineRule="exact"/>
        <w:rPr>
          <w:sz w:val="20"/>
          <w:szCs w:val="20"/>
          <w:color w:val="auto"/>
        </w:rPr>
      </w:pPr>
    </w:p>
    <w:p>
      <w:pPr>
        <w:ind w:left="380" w:hanging="372"/>
        <w:spacing w:after="0"/>
        <w:tabs>
          <w:tab w:leader="none" w:pos="380" w:val="left"/>
        </w:tabs>
        <w:numPr>
          <w:ilvl w:val="0"/>
          <w:numId w:val="13"/>
        </w:numPr>
        <w:rPr>
          <w:rFonts w:ascii="Arial" w:cs="Arial" w:eastAsia="Arial" w:hAnsi="Arial"/>
          <w:sz w:val="20"/>
          <w:szCs w:val="20"/>
          <w:b w:val="1"/>
          <w:bCs w:val="1"/>
          <w:color w:val="auto"/>
        </w:rPr>
      </w:pPr>
      <w:r>
        <w:rPr>
          <w:rFonts w:ascii="Arial" w:cs="Arial" w:eastAsia="Arial" w:hAnsi="Arial"/>
          <w:sz w:val="20"/>
          <w:szCs w:val="20"/>
          <w:b w:val="1"/>
          <w:bCs w:val="1"/>
          <w:color w:val="auto"/>
        </w:rPr>
        <w:t>Long-Term Debt (continued)</w:t>
      </w:r>
    </w:p>
    <w:p>
      <w:pPr>
        <w:spacing w:after="0" w:line="181" w:lineRule="exact"/>
        <w:rPr>
          <w:rFonts w:ascii="Arial" w:cs="Arial" w:eastAsia="Arial" w:hAnsi="Arial"/>
          <w:sz w:val="20"/>
          <w:szCs w:val="20"/>
          <w:b w:val="1"/>
          <w:bCs w:val="1"/>
          <w:color w:val="auto"/>
        </w:rPr>
      </w:pPr>
    </w:p>
    <w:p>
      <w:pPr>
        <w:jc w:val="both"/>
        <w:ind w:left="380"/>
        <w:spacing w:after="0" w:line="256" w:lineRule="auto"/>
        <w:rPr>
          <w:rFonts w:ascii="Arial" w:cs="Arial" w:eastAsia="Arial" w:hAnsi="Arial"/>
          <w:sz w:val="20"/>
          <w:szCs w:val="20"/>
          <w:b w:val="1"/>
          <w:bCs w:val="1"/>
          <w:color w:val="auto"/>
        </w:rPr>
      </w:pPr>
      <w:r>
        <w:rPr>
          <w:rFonts w:ascii="Arial" w:cs="Arial" w:eastAsia="Arial" w:hAnsi="Arial"/>
          <w:sz w:val="19"/>
          <w:szCs w:val="19"/>
          <w:color w:val="auto"/>
        </w:rPr>
        <w:t>The Corporation’s Credit Agreement, which provides a $250,000,000 senior unsecured term loan (the “Term Loan Facility”) and a $350,000,000 five-year senior unsecured revolving facility (the “Revolving Facility”), requires the Corporation’s ratio of consolidated debt to consolidated earnings before interest, taxes, depreciation, depletion and amortization (“EBITDA”), as defined by the Credit Agreement, for the trailing twelve months (the “Ratio”) to not exceed 3.50x as of the end of any fiscal quarter, provided that the Corporation may exclude from the Ratio debt incurred in connection with certain acquisitions for a period of 180 days so long as the Corporation, as a consequence of such specified acquisition, does not have its rating on long-term unsecured debt fall below BBB by Standard &amp; Poor’s or Baa2 by Moody’s and the Ratio calculated without such exclusion does not exceed 3.75x. Additionally, if no amounts are outstanding under both the Revolving Facility and the Trade Receivable Facility, consolidated debt, including debt for which the Corporation is a co-borrower, may be reduced by the Corporation’s unrestricted cash and cash equivalents in excess of $50,000,000, such reduction not to exceed $200,000,000, for purposes of the covenant calculation.</w:t>
      </w:r>
    </w:p>
    <w:p>
      <w:pPr>
        <w:spacing w:after="0" w:line="154" w:lineRule="exact"/>
        <w:rPr>
          <w:rFonts w:ascii="Arial" w:cs="Arial" w:eastAsia="Arial" w:hAnsi="Arial"/>
          <w:sz w:val="20"/>
          <w:szCs w:val="20"/>
          <w:b w:val="1"/>
          <w:bCs w:val="1"/>
          <w:color w:val="auto"/>
        </w:rPr>
      </w:pPr>
    </w:p>
    <w:p>
      <w:pPr>
        <w:jc w:val="both"/>
        <w:ind w:left="380"/>
        <w:spacing w:after="0" w:line="243" w:lineRule="auto"/>
        <w:rPr>
          <w:rFonts w:ascii="Arial" w:cs="Arial" w:eastAsia="Arial" w:hAnsi="Arial"/>
          <w:sz w:val="20"/>
          <w:szCs w:val="20"/>
          <w:b w:val="1"/>
          <w:bCs w:val="1"/>
          <w:color w:val="auto"/>
        </w:rPr>
      </w:pPr>
      <w:r>
        <w:rPr>
          <w:rFonts w:ascii="Arial" w:cs="Arial" w:eastAsia="Arial" w:hAnsi="Arial"/>
          <w:sz w:val="20"/>
          <w:szCs w:val="20"/>
          <w:color w:val="auto"/>
        </w:rPr>
        <w:t>In 2014, the Corporation amended the Credit Agreement to ensure the impact of the business combination with TXI does not impair liquidity available under the Term Loan Facility and the Revolving Facility. The amendment adjusts consolidated EBITDA to add back fees, costs or expenses relating to the TXI business combination incurred on or prior to the closing of the combination not to exceed $95,000,000 and any integration or similar costs or expenses related to the TXI business combination incurred in any period prior to the second anniversary of the closing of the TXI business combination not to exceed $70,000,000. The Corporation was in compliance with this Ratio at September 30, 2015.</w:t>
      </w:r>
    </w:p>
    <w:p>
      <w:pPr>
        <w:spacing w:after="0" w:line="155" w:lineRule="exact"/>
        <w:rPr>
          <w:rFonts w:ascii="Arial" w:cs="Arial" w:eastAsia="Arial" w:hAnsi="Arial"/>
          <w:sz w:val="20"/>
          <w:szCs w:val="20"/>
          <w:b w:val="1"/>
          <w:bCs w:val="1"/>
          <w:color w:val="auto"/>
        </w:rPr>
      </w:pPr>
    </w:p>
    <w:p>
      <w:pPr>
        <w:jc w:val="both"/>
        <w:ind w:left="380"/>
        <w:spacing w:after="0" w:line="250" w:lineRule="auto"/>
        <w:rPr>
          <w:rFonts w:ascii="Arial" w:cs="Arial" w:eastAsia="Arial" w:hAnsi="Arial"/>
          <w:sz w:val="20"/>
          <w:szCs w:val="20"/>
          <w:b w:val="1"/>
          <w:bCs w:val="1"/>
          <w:color w:val="auto"/>
        </w:rPr>
      </w:pPr>
      <w:r>
        <w:rPr>
          <w:rFonts w:ascii="Arial" w:cs="Arial" w:eastAsia="Arial" w:hAnsi="Arial"/>
          <w:sz w:val="20"/>
          <w:szCs w:val="20"/>
          <w:color w:val="auto"/>
        </w:rPr>
        <w:t>Available borrowings under the Revolving Facility are reduced by any outstanding letters of credit issued by the Corporation under the Revolving Facility. At September 30, 2015, December 31, 2014 and September 30, 2014, the Corporation had $2,507,000 of outstanding letters of credit issued under the Revolving Facility.</w:t>
      </w:r>
    </w:p>
    <w:p>
      <w:pPr>
        <w:spacing w:after="0" w:line="145" w:lineRule="exact"/>
        <w:rPr>
          <w:rFonts w:ascii="Arial" w:cs="Arial" w:eastAsia="Arial" w:hAnsi="Arial"/>
          <w:sz w:val="20"/>
          <w:szCs w:val="20"/>
          <w:b w:val="1"/>
          <w:bCs w:val="1"/>
          <w:color w:val="auto"/>
        </w:rPr>
      </w:pPr>
    </w:p>
    <w:p>
      <w:pPr>
        <w:jc w:val="both"/>
        <w:ind w:left="380"/>
        <w:spacing w:after="0" w:line="278" w:lineRule="auto"/>
        <w:rPr>
          <w:rFonts w:ascii="Arial" w:cs="Arial" w:eastAsia="Arial" w:hAnsi="Arial"/>
          <w:sz w:val="20"/>
          <w:szCs w:val="20"/>
          <w:b w:val="1"/>
          <w:bCs w:val="1"/>
          <w:color w:val="auto"/>
        </w:rPr>
      </w:pPr>
      <w:r>
        <w:rPr>
          <w:rFonts w:ascii="Arial" w:cs="Arial" w:eastAsia="Arial" w:hAnsi="Arial"/>
          <w:sz w:val="18"/>
          <w:szCs w:val="18"/>
          <w:color w:val="auto"/>
        </w:rPr>
        <w:t>Accumulated other comprehensive loss includes the unamortized value of terminated forward starting interest rate swap agreements. For the three and nine months ended September 30, 2015, the Corporation recognized $318,000 and $942,000, respectively, as additional interest expense. For the three and nine months ended September 30, 2014, the Corporation recognized $300,000 and $883,000, respectively, as additional interest expense. The ongoing amortization of the terminated value of the forward starting interest rate swap agreements will increase annual interest expense by approximately $1,200,000 until the maturity of the 6.6% Senior Notes in 2018.</w:t>
      </w:r>
    </w:p>
    <w:p>
      <w:pPr>
        <w:spacing w:after="0" w:line="159" w:lineRule="exact"/>
        <w:rPr>
          <w:rFonts w:ascii="Arial" w:cs="Arial" w:eastAsia="Arial" w:hAnsi="Arial"/>
          <w:sz w:val="20"/>
          <w:szCs w:val="20"/>
          <w:b w:val="1"/>
          <w:bCs w:val="1"/>
          <w:color w:val="auto"/>
        </w:rPr>
      </w:pPr>
    </w:p>
    <w:p>
      <w:pPr>
        <w:ind w:left="380" w:hanging="372"/>
        <w:spacing w:after="0"/>
        <w:tabs>
          <w:tab w:leader="none" w:pos="380" w:val="left"/>
        </w:tabs>
        <w:numPr>
          <w:ilvl w:val="0"/>
          <w:numId w:val="13"/>
        </w:numPr>
        <w:rPr>
          <w:rFonts w:ascii="Arial" w:cs="Arial" w:eastAsia="Arial" w:hAnsi="Arial"/>
          <w:sz w:val="20"/>
          <w:szCs w:val="20"/>
          <w:b w:val="1"/>
          <w:bCs w:val="1"/>
          <w:color w:val="auto"/>
        </w:rPr>
      </w:pPr>
      <w:r>
        <w:rPr>
          <w:rFonts w:ascii="Arial" w:cs="Arial" w:eastAsia="Arial" w:hAnsi="Arial"/>
          <w:sz w:val="20"/>
          <w:szCs w:val="20"/>
          <w:b w:val="1"/>
          <w:bCs w:val="1"/>
          <w:color w:val="auto"/>
        </w:rPr>
        <w:t>Financial Instruments</w:t>
      </w:r>
    </w:p>
    <w:p>
      <w:pPr>
        <w:spacing w:after="0" w:line="113" w:lineRule="exact"/>
        <w:rPr>
          <w:rFonts w:ascii="Arial" w:cs="Arial" w:eastAsia="Arial" w:hAnsi="Arial"/>
          <w:sz w:val="20"/>
          <w:szCs w:val="20"/>
          <w:b w:val="1"/>
          <w:bCs w:val="1"/>
          <w:color w:val="auto"/>
        </w:rPr>
      </w:pPr>
    </w:p>
    <w:p>
      <w:pPr>
        <w:ind w:left="380"/>
        <w:spacing w:after="0" w:line="260" w:lineRule="auto"/>
        <w:rPr>
          <w:rFonts w:ascii="Arial" w:cs="Arial" w:eastAsia="Arial" w:hAnsi="Arial"/>
          <w:sz w:val="20"/>
          <w:szCs w:val="20"/>
          <w:b w:val="1"/>
          <w:bCs w:val="1"/>
          <w:color w:val="auto"/>
        </w:rPr>
      </w:pPr>
      <w:r>
        <w:rPr>
          <w:rFonts w:ascii="Arial" w:cs="Arial" w:eastAsia="Arial" w:hAnsi="Arial"/>
          <w:sz w:val="20"/>
          <w:szCs w:val="20"/>
          <w:color w:val="auto"/>
        </w:rPr>
        <w:t>The Corporation’s financial instruments include cash equivalents, accounts receivable, notes receivable, bank overdraft, accounts payable, publicly-registered long-term notes, debentures and other long-term debt.</w:t>
      </w:r>
    </w:p>
    <w:p>
      <w:pPr>
        <w:spacing w:after="0" w:line="177" w:lineRule="exact"/>
        <w:rPr>
          <w:sz w:val="20"/>
          <w:szCs w:val="20"/>
          <w:color w:val="auto"/>
        </w:rPr>
      </w:pPr>
    </w:p>
    <w:p>
      <w:pPr>
        <w:jc w:val="both"/>
        <w:ind w:left="380"/>
        <w:spacing w:after="0" w:line="250" w:lineRule="auto"/>
        <w:rPr>
          <w:sz w:val="20"/>
          <w:szCs w:val="20"/>
          <w:color w:val="auto"/>
        </w:rPr>
      </w:pPr>
      <w:r>
        <w:rPr>
          <w:rFonts w:ascii="Arial" w:cs="Arial" w:eastAsia="Arial" w:hAnsi="Arial"/>
          <w:sz w:val="20"/>
          <w:szCs w:val="20"/>
          <w:color w:val="auto"/>
        </w:rPr>
        <w:t>Cash equivalents are placed primarily in money market funds, money market demand deposit accounts and Eurodollar time deposits. The Corporation’s cash equivalents have maturities of less than three months. Due to the short maturity of these investments, they are carried on the consolidated balance sheets at cost, which approximates fair value.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17 of 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September 30, 2015</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NOTES TO CONSOLIDATED FINANCIAL STATEMENTS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200" w:lineRule="exact"/>
        <w:rPr>
          <w:sz w:val="20"/>
          <w:szCs w:val="20"/>
          <w:color w:val="auto"/>
        </w:rPr>
      </w:pPr>
    </w:p>
    <w:p>
      <w:pPr>
        <w:spacing w:after="0" w:line="223" w:lineRule="exact"/>
        <w:rPr>
          <w:sz w:val="20"/>
          <w:szCs w:val="20"/>
          <w:color w:val="auto"/>
        </w:rPr>
      </w:pPr>
    </w:p>
    <w:p>
      <w:pPr>
        <w:ind w:left="380" w:hanging="372"/>
        <w:spacing w:after="0"/>
        <w:tabs>
          <w:tab w:leader="none" w:pos="380" w:val="left"/>
        </w:tabs>
        <w:numPr>
          <w:ilvl w:val="0"/>
          <w:numId w:val="14"/>
        </w:numPr>
        <w:rPr>
          <w:rFonts w:ascii="Arial" w:cs="Arial" w:eastAsia="Arial" w:hAnsi="Arial"/>
          <w:sz w:val="20"/>
          <w:szCs w:val="20"/>
          <w:b w:val="1"/>
          <w:bCs w:val="1"/>
          <w:color w:val="auto"/>
        </w:rPr>
      </w:pPr>
      <w:r>
        <w:rPr>
          <w:rFonts w:ascii="Arial" w:cs="Arial" w:eastAsia="Arial" w:hAnsi="Arial"/>
          <w:sz w:val="20"/>
          <w:szCs w:val="20"/>
          <w:b w:val="1"/>
          <w:bCs w:val="1"/>
          <w:color w:val="auto"/>
        </w:rPr>
        <w:t>Financial Instruments (continued)</w:t>
      </w:r>
    </w:p>
    <w:p>
      <w:pPr>
        <w:spacing w:after="0" w:line="221" w:lineRule="exact"/>
        <w:rPr>
          <w:rFonts w:ascii="Arial" w:cs="Arial" w:eastAsia="Arial" w:hAnsi="Arial"/>
          <w:sz w:val="20"/>
          <w:szCs w:val="20"/>
          <w:b w:val="1"/>
          <w:bCs w:val="1"/>
          <w:color w:val="auto"/>
        </w:rPr>
      </w:pPr>
    </w:p>
    <w:p>
      <w:pPr>
        <w:jc w:val="both"/>
        <w:ind w:left="380"/>
        <w:spacing w:after="0" w:line="246" w:lineRule="auto"/>
        <w:rPr>
          <w:rFonts w:ascii="Arial" w:cs="Arial" w:eastAsia="Arial" w:hAnsi="Arial"/>
          <w:sz w:val="20"/>
          <w:szCs w:val="20"/>
          <w:b w:val="1"/>
          <w:bCs w:val="1"/>
          <w:color w:val="auto"/>
        </w:rPr>
      </w:pPr>
      <w:r>
        <w:rPr>
          <w:rFonts w:ascii="Arial" w:cs="Arial" w:eastAsia="Arial" w:hAnsi="Arial"/>
          <w:sz w:val="20"/>
          <w:szCs w:val="20"/>
          <w:color w:val="auto"/>
        </w:rPr>
        <w:t>Accounts receivable are due from a large number of customers, primarily in the construction industry, and are dispersed across wide geographic and economic regions. However, accounts receivable are more heavily concentrated in certain states (namely, Texas, Colorado, North Carolina, Iowa and Georgia). The estimated fair values of accounts receivable approximate their carrying amounts due to the short-term nature of the receivables.</w:t>
      </w:r>
    </w:p>
    <w:p>
      <w:pPr>
        <w:spacing w:after="0" w:line="191" w:lineRule="exact"/>
        <w:rPr>
          <w:rFonts w:ascii="Arial" w:cs="Arial" w:eastAsia="Arial" w:hAnsi="Arial"/>
          <w:sz w:val="20"/>
          <w:szCs w:val="20"/>
          <w:b w:val="1"/>
          <w:bCs w:val="1"/>
          <w:color w:val="auto"/>
        </w:rPr>
      </w:pPr>
    </w:p>
    <w:p>
      <w:pPr>
        <w:ind w:left="380"/>
        <w:spacing w:after="0" w:line="260" w:lineRule="auto"/>
        <w:rPr>
          <w:rFonts w:ascii="Arial" w:cs="Arial" w:eastAsia="Arial" w:hAnsi="Arial"/>
          <w:sz w:val="20"/>
          <w:szCs w:val="20"/>
          <w:b w:val="1"/>
          <w:bCs w:val="1"/>
          <w:color w:val="auto"/>
        </w:rPr>
      </w:pPr>
      <w:r>
        <w:rPr>
          <w:rFonts w:ascii="Arial" w:cs="Arial" w:eastAsia="Arial" w:hAnsi="Arial"/>
          <w:sz w:val="20"/>
          <w:szCs w:val="20"/>
          <w:color w:val="auto"/>
        </w:rPr>
        <w:t>Notes receivable are not publicly traded. Management estimates that the fair value of notes receivable approximates the carrying amount due to the short-term nature of the receivables.</w:t>
      </w:r>
    </w:p>
    <w:p>
      <w:pPr>
        <w:spacing w:after="0" w:line="176" w:lineRule="exact"/>
        <w:rPr>
          <w:rFonts w:ascii="Arial" w:cs="Arial" w:eastAsia="Arial" w:hAnsi="Arial"/>
          <w:sz w:val="20"/>
          <w:szCs w:val="20"/>
          <w:b w:val="1"/>
          <w:bCs w:val="1"/>
          <w:color w:val="auto"/>
        </w:rPr>
      </w:pPr>
    </w:p>
    <w:p>
      <w:pPr>
        <w:ind w:left="380"/>
        <w:spacing w:after="0" w:line="260" w:lineRule="auto"/>
        <w:rPr>
          <w:rFonts w:ascii="Arial" w:cs="Arial" w:eastAsia="Arial" w:hAnsi="Arial"/>
          <w:sz w:val="20"/>
          <w:szCs w:val="20"/>
          <w:b w:val="1"/>
          <w:bCs w:val="1"/>
          <w:color w:val="auto"/>
        </w:rPr>
      </w:pPr>
      <w:r>
        <w:rPr>
          <w:rFonts w:ascii="Arial" w:cs="Arial" w:eastAsia="Arial" w:hAnsi="Arial"/>
          <w:sz w:val="20"/>
          <w:szCs w:val="20"/>
          <w:color w:val="auto"/>
        </w:rPr>
        <w:t>The bank overdraft represents amounts to be funded to financial institutions for checks that have cleared the bank. The estimated fair value of the bank overdraft approximates its carrying value due to the short-term nature of the overdraft.</w:t>
      </w:r>
    </w:p>
    <w:p>
      <w:pPr>
        <w:spacing w:after="0" w:line="176" w:lineRule="exact"/>
        <w:rPr>
          <w:rFonts w:ascii="Arial" w:cs="Arial" w:eastAsia="Arial" w:hAnsi="Arial"/>
          <w:sz w:val="20"/>
          <w:szCs w:val="20"/>
          <w:b w:val="1"/>
          <w:bCs w:val="1"/>
          <w:color w:val="auto"/>
        </w:rPr>
      </w:pPr>
    </w:p>
    <w:p>
      <w:pPr>
        <w:ind w:left="380"/>
        <w:spacing w:after="0" w:line="260" w:lineRule="auto"/>
        <w:rPr>
          <w:rFonts w:ascii="Arial" w:cs="Arial" w:eastAsia="Arial" w:hAnsi="Arial"/>
          <w:sz w:val="20"/>
          <w:szCs w:val="20"/>
          <w:b w:val="1"/>
          <w:bCs w:val="1"/>
          <w:color w:val="auto"/>
        </w:rPr>
      </w:pPr>
      <w:r>
        <w:rPr>
          <w:rFonts w:ascii="Arial" w:cs="Arial" w:eastAsia="Arial" w:hAnsi="Arial"/>
          <w:sz w:val="20"/>
          <w:szCs w:val="20"/>
          <w:color w:val="auto"/>
        </w:rPr>
        <w:t>Accounts payable represent amounts owed to suppliers and vendors. The estimated fair value of accounts payable approximates its carrying amount due to the short-term nature of the payables.</w:t>
      </w:r>
    </w:p>
    <w:p>
      <w:pPr>
        <w:spacing w:after="0" w:line="176" w:lineRule="exact"/>
        <w:rPr>
          <w:rFonts w:ascii="Arial" w:cs="Arial" w:eastAsia="Arial" w:hAnsi="Arial"/>
          <w:sz w:val="20"/>
          <w:szCs w:val="20"/>
          <w:b w:val="1"/>
          <w:bCs w:val="1"/>
          <w:color w:val="auto"/>
        </w:rPr>
      </w:pPr>
    </w:p>
    <w:p>
      <w:pPr>
        <w:jc w:val="both"/>
        <w:ind w:left="380"/>
        <w:spacing w:after="0" w:line="259" w:lineRule="auto"/>
        <w:rPr>
          <w:rFonts w:ascii="Arial" w:cs="Arial" w:eastAsia="Arial" w:hAnsi="Arial"/>
          <w:sz w:val="20"/>
          <w:szCs w:val="20"/>
          <w:b w:val="1"/>
          <w:bCs w:val="1"/>
          <w:color w:val="auto"/>
        </w:rPr>
      </w:pPr>
      <w:r>
        <w:rPr>
          <w:rFonts w:ascii="Arial" w:cs="Arial" w:eastAsia="Arial" w:hAnsi="Arial"/>
          <w:sz w:val="19"/>
          <w:szCs w:val="19"/>
          <w:color w:val="auto"/>
        </w:rPr>
        <w:t>The carrying values and fair values of the Corporation’s long-term debt were $1,705,152,000 and $1,781,152,000, respectively, at September 30, 2015; $1,585,395,000 and $1,680,584,000, respectively, at December 31, 2014; and $1,618,275,000 and $1,707,920,000, respectively, at September 30, 2014. The estimated fair value of the publicly-registered long-term notes was estimated based on Level 1 of the fair value hierarchy using quoted market prices. The fair value of the Notes was based on Level 2 of the fair value hierarchy using quoted market prices for similar debt instruments. The estimated fair value of other borrowings, which primarily represents variable-rate debt, approximates its carrying amount as the interest rates reset periodically.</w:t>
      </w:r>
    </w:p>
    <w:p>
      <w:pPr>
        <w:spacing w:after="0" w:line="172" w:lineRule="exact"/>
        <w:rPr>
          <w:rFonts w:ascii="Arial" w:cs="Arial" w:eastAsia="Arial" w:hAnsi="Arial"/>
          <w:sz w:val="20"/>
          <w:szCs w:val="20"/>
          <w:b w:val="1"/>
          <w:bCs w:val="1"/>
          <w:color w:val="auto"/>
        </w:rPr>
      </w:pPr>
    </w:p>
    <w:p>
      <w:pPr>
        <w:ind w:left="380" w:hanging="372"/>
        <w:spacing w:after="0"/>
        <w:tabs>
          <w:tab w:leader="none" w:pos="380" w:val="left"/>
        </w:tabs>
        <w:numPr>
          <w:ilvl w:val="0"/>
          <w:numId w:val="14"/>
        </w:numPr>
        <w:rPr>
          <w:rFonts w:ascii="Arial" w:cs="Arial" w:eastAsia="Arial" w:hAnsi="Arial"/>
          <w:sz w:val="20"/>
          <w:szCs w:val="20"/>
          <w:b w:val="1"/>
          <w:bCs w:val="1"/>
          <w:color w:val="auto"/>
        </w:rPr>
      </w:pPr>
      <w:r>
        <w:rPr>
          <w:rFonts w:ascii="Arial" w:cs="Arial" w:eastAsia="Arial" w:hAnsi="Arial"/>
          <w:sz w:val="20"/>
          <w:szCs w:val="20"/>
          <w:b w:val="1"/>
          <w:bCs w:val="1"/>
          <w:color w:val="auto"/>
        </w:rPr>
        <w:t>Income Taxes</w:t>
      </w:r>
    </w:p>
    <w:p>
      <w:pPr>
        <w:spacing w:after="0" w:line="249" w:lineRule="exact"/>
        <w:rPr>
          <w:sz w:val="20"/>
          <w:szCs w:val="20"/>
          <w:color w:val="auto"/>
        </w:rPr>
      </w:pPr>
    </w:p>
    <w:p>
      <w:pPr>
        <w:ind w:left="8980"/>
        <w:spacing w:after="0"/>
        <w:rPr>
          <w:sz w:val="20"/>
          <w:szCs w:val="20"/>
          <w:color w:val="auto"/>
        </w:rPr>
      </w:pPr>
      <w:r>
        <w:rPr>
          <w:rFonts w:ascii="Arial" w:cs="Arial" w:eastAsia="Arial" w:hAnsi="Arial"/>
          <w:sz w:val="20"/>
          <w:szCs w:val="20"/>
          <w:color w:val="auto"/>
        </w:rPr>
        <w:t>September 30,</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900" w:type="dxa"/>
            <w:vAlign w:val="bottom"/>
          </w:tcPr>
          <w:p>
            <w:pPr>
              <w:spacing w:after="0"/>
              <w:rPr>
                <w:sz w:val="20"/>
                <w:szCs w:val="20"/>
                <w:color w:val="auto"/>
              </w:rPr>
            </w:pPr>
          </w:p>
        </w:tc>
        <w:tc>
          <w:tcPr>
            <w:tcW w:w="104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20"/>
                <w:szCs w:val="20"/>
                <w:color w:val="auto"/>
              </w:rPr>
              <w:t>2015</w:t>
            </w:r>
          </w:p>
        </w:tc>
        <w:tc>
          <w:tcPr>
            <w:tcW w:w="460" w:type="dxa"/>
            <w:vAlign w:val="bottom"/>
            <w:tcBorders>
              <w:top w:val="single" w:sz="8" w:color="auto"/>
              <w:bottom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520" w:type="dxa"/>
            <w:vAlign w:val="bottom"/>
            <w:tcBorders>
              <w:top w:val="single" w:sz="8" w:color="auto"/>
              <w:bottom w:val="single" w:sz="8" w:color="auto"/>
            </w:tcBorders>
          </w:tcPr>
          <w:p>
            <w:pPr>
              <w:jc w:val="right"/>
              <w:ind w:right="461"/>
              <w:spacing w:after="0"/>
              <w:rPr>
                <w:sz w:val="20"/>
                <w:szCs w:val="20"/>
                <w:color w:val="auto"/>
              </w:rPr>
            </w:pPr>
            <w:r>
              <w:rPr>
                <w:rFonts w:ascii="Arial" w:cs="Arial" w:eastAsia="Arial" w:hAnsi="Arial"/>
                <w:sz w:val="20"/>
                <w:szCs w:val="20"/>
                <w:color w:val="auto"/>
              </w:rPr>
              <w:t>2014</w:t>
            </w:r>
          </w:p>
        </w:tc>
        <w:tc>
          <w:tcPr>
            <w:tcW w:w="160" w:type="dxa"/>
            <w:vAlign w:val="bottom"/>
          </w:tcPr>
          <w:p>
            <w:pPr>
              <w:spacing w:after="0"/>
              <w:rPr>
                <w:sz w:val="20"/>
                <w:szCs w:val="20"/>
                <w:color w:val="auto"/>
              </w:rPr>
            </w:pPr>
          </w:p>
        </w:tc>
      </w:tr>
      <w:tr>
        <w:trPr>
          <w:trHeight w:val="233"/>
        </w:trPr>
        <w:tc>
          <w:tcPr>
            <w:tcW w:w="7900" w:type="dxa"/>
            <w:vAlign w:val="bottom"/>
          </w:tcPr>
          <w:p>
            <w:pPr>
              <w:spacing w:after="0"/>
              <w:rPr>
                <w:sz w:val="20"/>
                <w:szCs w:val="20"/>
                <w:color w:val="auto"/>
              </w:rPr>
            </w:pPr>
            <w:r>
              <w:rPr>
                <w:rFonts w:ascii="Arial" w:cs="Arial" w:eastAsia="Arial" w:hAnsi="Arial"/>
                <w:sz w:val="20"/>
                <w:szCs w:val="20"/>
                <w:color w:val="auto"/>
              </w:rPr>
              <w:t>Estimated effective income tax rate:</w:t>
            </w:r>
          </w:p>
        </w:tc>
        <w:tc>
          <w:tcPr>
            <w:tcW w:w="10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46"/>
        </w:trPr>
        <w:tc>
          <w:tcPr>
            <w:tcW w:w="7900" w:type="dxa"/>
            <w:vAlign w:val="bottom"/>
          </w:tcPr>
          <w:p>
            <w:pPr>
              <w:ind w:left="260"/>
              <w:spacing w:after="0"/>
              <w:rPr>
                <w:sz w:val="20"/>
                <w:szCs w:val="20"/>
                <w:color w:val="auto"/>
              </w:rPr>
            </w:pPr>
            <w:r>
              <w:rPr>
                <w:rFonts w:ascii="Arial" w:cs="Arial" w:eastAsia="Arial" w:hAnsi="Arial"/>
                <w:sz w:val="20"/>
                <w:szCs w:val="20"/>
                <w:color w:val="auto"/>
              </w:rPr>
              <w:t>Continuing operations</w:t>
            </w:r>
          </w:p>
        </w:tc>
        <w:tc>
          <w:tcPr>
            <w:tcW w:w="1040" w:type="dxa"/>
            <w:vAlign w:val="bottom"/>
          </w:tcPr>
          <w:p>
            <w:pPr>
              <w:spacing w:after="0"/>
              <w:rPr>
                <w:sz w:val="21"/>
                <w:szCs w:val="21"/>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20"/>
                <w:szCs w:val="20"/>
                <w:color w:val="auto"/>
              </w:rPr>
              <w:t>29.4%</w:t>
            </w:r>
          </w:p>
        </w:tc>
        <w:tc>
          <w:tcPr>
            <w:tcW w:w="1680" w:type="dxa"/>
            <w:vAlign w:val="bottom"/>
            <w:gridSpan w:val="2"/>
          </w:tcPr>
          <w:p>
            <w:pPr>
              <w:jc w:val="right"/>
              <w:spacing w:after="0"/>
              <w:rPr>
                <w:sz w:val="20"/>
                <w:szCs w:val="20"/>
                <w:color w:val="auto"/>
              </w:rPr>
            </w:pPr>
            <w:r>
              <w:rPr>
                <w:rFonts w:ascii="Arial" w:cs="Arial" w:eastAsia="Arial" w:hAnsi="Arial"/>
                <w:sz w:val="20"/>
                <w:szCs w:val="20"/>
                <w:color w:val="auto"/>
              </w:rPr>
              <w:t>39.7%</w:t>
            </w:r>
          </w:p>
        </w:tc>
      </w:tr>
      <w:tr>
        <w:trPr>
          <w:trHeight w:val="20"/>
        </w:trPr>
        <w:tc>
          <w:tcPr>
            <w:tcW w:w="79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24"/>
        </w:trPr>
        <w:tc>
          <w:tcPr>
            <w:tcW w:w="7900" w:type="dxa"/>
            <w:vAlign w:val="bottom"/>
          </w:tcPr>
          <w:p>
            <w:pPr>
              <w:ind w:left="260"/>
              <w:spacing w:after="0" w:line="224" w:lineRule="exact"/>
              <w:rPr>
                <w:sz w:val="20"/>
                <w:szCs w:val="20"/>
                <w:color w:val="auto"/>
              </w:rPr>
            </w:pPr>
            <w:r>
              <w:rPr>
                <w:rFonts w:ascii="Arial" w:cs="Arial" w:eastAsia="Arial" w:hAnsi="Arial"/>
                <w:sz w:val="20"/>
                <w:szCs w:val="20"/>
                <w:color w:val="auto"/>
              </w:rPr>
              <w:t>Consolidated overall</w:t>
            </w:r>
          </w:p>
        </w:tc>
        <w:tc>
          <w:tcPr>
            <w:tcW w:w="1040" w:type="dxa"/>
            <w:vAlign w:val="bottom"/>
          </w:tcPr>
          <w:p>
            <w:pPr>
              <w:spacing w:after="0"/>
              <w:rPr>
                <w:sz w:val="19"/>
                <w:szCs w:val="19"/>
                <w:color w:val="auto"/>
              </w:rPr>
            </w:pPr>
          </w:p>
        </w:tc>
        <w:tc>
          <w:tcPr>
            <w:tcW w:w="760" w:type="dxa"/>
            <w:vAlign w:val="bottom"/>
            <w:gridSpan w:val="2"/>
          </w:tcPr>
          <w:p>
            <w:pPr>
              <w:jc w:val="right"/>
              <w:ind w:right="120"/>
              <w:spacing w:after="0" w:line="224" w:lineRule="exact"/>
              <w:rPr>
                <w:sz w:val="20"/>
                <w:szCs w:val="20"/>
                <w:color w:val="auto"/>
              </w:rPr>
            </w:pPr>
            <w:r>
              <w:rPr>
                <w:rFonts w:ascii="Arial" w:cs="Arial" w:eastAsia="Arial" w:hAnsi="Arial"/>
                <w:sz w:val="20"/>
                <w:szCs w:val="20"/>
                <w:color w:val="auto"/>
              </w:rPr>
              <w:t>29.4%</w:t>
            </w:r>
          </w:p>
        </w:tc>
        <w:tc>
          <w:tcPr>
            <w:tcW w:w="1680" w:type="dxa"/>
            <w:vAlign w:val="bottom"/>
            <w:gridSpan w:val="2"/>
          </w:tcPr>
          <w:p>
            <w:pPr>
              <w:jc w:val="right"/>
              <w:spacing w:after="0" w:line="224" w:lineRule="exact"/>
              <w:rPr>
                <w:sz w:val="20"/>
                <w:szCs w:val="20"/>
                <w:color w:val="auto"/>
              </w:rPr>
            </w:pPr>
            <w:r>
              <w:rPr>
                <w:rFonts w:ascii="Arial" w:cs="Arial" w:eastAsia="Arial" w:hAnsi="Arial"/>
                <w:sz w:val="20"/>
                <w:szCs w:val="20"/>
                <w:color w:val="auto"/>
              </w:rPr>
              <w:t>39.7%</w:t>
            </w:r>
          </w:p>
        </w:tc>
      </w:tr>
      <w:tr>
        <w:trPr>
          <w:trHeight w:val="20"/>
        </w:trPr>
        <w:tc>
          <w:tcPr>
            <w:tcW w:w="79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9" w:lineRule="exact"/>
        <w:rPr>
          <w:sz w:val="20"/>
          <w:szCs w:val="20"/>
          <w:color w:val="auto"/>
        </w:rPr>
      </w:pPr>
    </w:p>
    <w:p>
      <w:pPr>
        <w:jc w:val="both"/>
        <w:ind w:left="380"/>
        <w:spacing w:after="0" w:line="246" w:lineRule="auto"/>
        <w:rPr>
          <w:sz w:val="20"/>
          <w:szCs w:val="20"/>
          <w:color w:val="auto"/>
        </w:rPr>
      </w:pPr>
      <w:r>
        <w:rPr>
          <w:rFonts w:ascii="Arial" w:cs="Arial" w:eastAsia="Arial" w:hAnsi="Arial"/>
          <w:sz w:val="20"/>
          <w:szCs w:val="20"/>
          <w:color w:val="auto"/>
        </w:rPr>
        <w:t>The Corporation’s effective income tax rate reflects the effect of federal and state income taxes and the impact of differences in book and tax accounting arising from the net permanent benefits associated with the statutory depletion deduction for mineral reserves and the domestic production deduction. The prior year rate reflects the impact of acquisition-related expenses, net, which includes the gain on the required divestiture.</w:t>
      </w:r>
    </w:p>
    <w:p>
      <w:pPr>
        <w:spacing w:after="0" w:line="192" w:lineRule="exact"/>
        <w:rPr>
          <w:sz w:val="20"/>
          <w:szCs w:val="20"/>
          <w:color w:val="auto"/>
        </w:rPr>
      </w:pPr>
    </w:p>
    <w:p>
      <w:pPr>
        <w:jc w:val="both"/>
        <w:ind w:left="380"/>
        <w:spacing w:after="0" w:line="260" w:lineRule="auto"/>
        <w:rPr>
          <w:sz w:val="20"/>
          <w:szCs w:val="20"/>
          <w:color w:val="auto"/>
        </w:rPr>
      </w:pPr>
      <w:r>
        <w:rPr>
          <w:rFonts w:ascii="Arial" w:cs="Arial" w:eastAsia="Arial" w:hAnsi="Arial"/>
          <w:sz w:val="20"/>
          <w:szCs w:val="20"/>
          <w:color w:val="auto"/>
        </w:rPr>
        <w:t>The Corporation records interest accrued in relation to unrecognized tax benefits as income tax expense. Penalties, if incurred, are recorded as operating expenses in the consolidated statements of earnings and comprehensive earnings.</w:t>
      </w:r>
    </w:p>
    <w:p>
      <w:pPr>
        <w:spacing w:after="0" w:line="177" w:lineRule="exact"/>
        <w:rPr>
          <w:sz w:val="20"/>
          <w:szCs w:val="20"/>
          <w:color w:val="auto"/>
        </w:rPr>
      </w:pPr>
    </w:p>
    <w:p>
      <w:pPr>
        <w:jc w:val="both"/>
        <w:ind w:left="380" w:right="20"/>
        <w:spacing w:after="0" w:line="260" w:lineRule="auto"/>
        <w:rPr>
          <w:sz w:val="20"/>
          <w:szCs w:val="20"/>
          <w:color w:val="auto"/>
        </w:rPr>
      </w:pPr>
      <w:r>
        <w:rPr>
          <w:rFonts w:ascii="Arial" w:cs="Arial" w:eastAsia="Arial" w:hAnsi="Arial"/>
          <w:sz w:val="20"/>
          <w:szCs w:val="20"/>
          <w:color w:val="auto"/>
        </w:rPr>
        <w:t>As of September 30, 2015, the Corporation recorded a $3,176,000 valuation reserve for certain state net operating loss carry forwards, which was driven by the sale of the California cement operations.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18 of 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September 30, 2015</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NOTES TO CONSOLIDATED FINANCIAL STATEMENTS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329" w:lineRule="exact"/>
        <w:rPr>
          <w:sz w:val="20"/>
          <w:szCs w:val="20"/>
          <w:color w:val="auto"/>
        </w:rPr>
      </w:pPr>
    </w:p>
    <w:p>
      <w:pPr>
        <w:ind w:left="380" w:hanging="372"/>
        <w:spacing w:after="0"/>
        <w:tabs>
          <w:tab w:leader="none" w:pos="380" w:val="left"/>
        </w:tabs>
        <w:numPr>
          <w:ilvl w:val="0"/>
          <w:numId w:val="15"/>
        </w:numPr>
        <w:rPr>
          <w:rFonts w:ascii="Arial" w:cs="Arial" w:eastAsia="Arial" w:hAnsi="Arial"/>
          <w:sz w:val="20"/>
          <w:szCs w:val="20"/>
          <w:b w:val="1"/>
          <w:bCs w:val="1"/>
          <w:color w:val="auto"/>
        </w:rPr>
      </w:pPr>
      <w:r>
        <w:rPr>
          <w:rFonts w:ascii="Arial" w:cs="Arial" w:eastAsia="Arial" w:hAnsi="Arial"/>
          <w:sz w:val="20"/>
          <w:szCs w:val="20"/>
          <w:b w:val="1"/>
          <w:bCs w:val="1"/>
          <w:color w:val="auto"/>
        </w:rPr>
        <w:t>Pension and Postretirement Benefits</w:t>
      </w:r>
    </w:p>
    <w:p>
      <w:pPr>
        <w:spacing w:after="0" w:line="113" w:lineRule="exact"/>
        <w:rPr>
          <w:rFonts w:ascii="Arial" w:cs="Arial" w:eastAsia="Arial" w:hAnsi="Arial"/>
          <w:sz w:val="20"/>
          <w:szCs w:val="20"/>
          <w:b w:val="1"/>
          <w:bCs w:val="1"/>
          <w:color w:val="auto"/>
        </w:rPr>
      </w:pPr>
    </w:p>
    <w:p>
      <w:pPr>
        <w:ind w:left="380"/>
        <w:spacing w:after="0"/>
        <w:rPr>
          <w:rFonts w:ascii="Arial" w:cs="Arial" w:eastAsia="Arial" w:hAnsi="Arial"/>
          <w:sz w:val="20"/>
          <w:szCs w:val="20"/>
          <w:b w:val="1"/>
          <w:bCs w:val="1"/>
          <w:color w:val="auto"/>
        </w:rPr>
      </w:pPr>
      <w:r>
        <w:rPr>
          <w:rFonts w:ascii="Arial" w:cs="Arial" w:eastAsia="Arial" w:hAnsi="Arial"/>
          <w:sz w:val="19"/>
          <w:szCs w:val="19"/>
          <w:color w:val="auto"/>
        </w:rPr>
        <w:t>The estimated components of the recorded net periodic benefit cost (credit) for pension and postretirement benefits are as follows: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26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880" w:type="dxa"/>
            <w:vAlign w:val="bottom"/>
            <w:tcBorders>
              <w:bottom w:val="single" w:sz="8" w:color="auto"/>
            </w:tcBorders>
            <w:gridSpan w:val="8"/>
          </w:tcPr>
          <w:p>
            <w:pPr>
              <w:jc w:val="right"/>
              <w:ind w:right="20"/>
              <w:spacing w:after="0"/>
              <w:rPr>
                <w:sz w:val="20"/>
                <w:szCs w:val="20"/>
                <w:color w:val="auto"/>
              </w:rPr>
            </w:pPr>
            <w:r>
              <w:rPr>
                <w:rFonts w:ascii="Arial" w:cs="Arial" w:eastAsia="Arial" w:hAnsi="Arial"/>
                <w:sz w:val="20"/>
                <w:szCs w:val="20"/>
                <w:color w:val="auto"/>
                <w:w w:val="87"/>
              </w:rPr>
              <w:t>Three Months Ended September 30,</w:t>
            </w:r>
          </w:p>
        </w:tc>
        <w:tc>
          <w:tcPr>
            <w:tcW w:w="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r>
      <w:tr>
        <w:trPr>
          <w:trHeight w:val="237"/>
        </w:trPr>
        <w:tc>
          <w:tcPr>
            <w:tcW w:w="42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4"/>
          </w:tcPr>
          <w:p>
            <w:pPr>
              <w:jc w:val="right"/>
              <w:spacing w:after="0"/>
              <w:rPr>
                <w:sz w:val="20"/>
                <w:szCs w:val="20"/>
                <w:color w:val="auto"/>
              </w:rPr>
            </w:pPr>
            <w:r>
              <w:rPr>
                <w:rFonts w:ascii="Arial" w:cs="Arial" w:eastAsia="Arial" w:hAnsi="Arial"/>
                <w:sz w:val="20"/>
                <w:szCs w:val="20"/>
                <w:color w:val="auto"/>
              </w:rPr>
              <w:t>Pension</w:t>
            </w:r>
          </w:p>
        </w:tc>
        <w:tc>
          <w:tcPr>
            <w:tcW w:w="8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5"/>
          </w:tcPr>
          <w:p>
            <w:pPr>
              <w:jc w:val="right"/>
              <w:ind w:right="281"/>
              <w:spacing w:after="0"/>
              <w:rPr>
                <w:sz w:val="20"/>
                <w:szCs w:val="20"/>
                <w:color w:val="auto"/>
              </w:rPr>
            </w:pPr>
            <w:r>
              <w:rPr>
                <w:rFonts w:ascii="Arial" w:cs="Arial" w:eastAsia="Arial" w:hAnsi="Arial"/>
                <w:sz w:val="20"/>
                <w:szCs w:val="20"/>
                <w:color w:val="auto"/>
                <w:w w:val="94"/>
              </w:rPr>
              <w:t>Postretirement Benefits</w:t>
            </w:r>
          </w:p>
        </w:tc>
        <w:tc>
          <w:tcPr>
            <w:tcW w:w="120" w:type="dxa"/>
            <w:vAlign w:val="bottom"/>
          </w:tcPr>
          <w:p>
            <w:pPr>
              <w:spacing w:after="0"/>
              <w:rPr>
                <w:sz w:val="20"/>
                <w:szCs w:val="20"/>
                <w:color w:val="auto"/>
              </w:rPr>
            </w:pPr>
          </w:p>
        </w:tc>
      </w:tr>
      <w:tr>
        <w:trPr>
          <w:trHeight w:val="237"/>
        </w:trPr>
        <w:tc>
          <w:tcPr>
            <w:tcW w:w="42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01"/>
              <w:spacing w:after="0"/>
              <w:rPr>
                <w:sz w:val="20"/>
                <w:szCs w:val="20"/>
                <w:color w:val="auto"/>
              </w:rPr>
            </w:pPr>
            <w:r>
              <w:rPr>
                <w:rFonts w:ascii="Arial" w:cs="Arial" w:eastAsia="Arial" w:hAnsi="Arial"/>
                <w:sz w:val="20"/>
                <w:szCs w:val="20"/>
                <w:color w:val="auto"/>
              </w:rPr>
              <w:t>2015</w:t>
            </w: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81"/>
              <w:spacing w:after="0"/>
              <w:rPr>
                <w:sz w:val="20"/>
                <w:szCs w:val="20"/>
                <w:color w:val="auto"/>
              </w:rPr>
            </w:pPr>
            <w:r>
              <w:rPr>
                <w:rFonts w:ascii="Arial" w:cs="Arial" w:eastAsia="Arial" w:hAnsi="Arial"/>
                <w:sz w:val="20"/>
                <w:szCs w:val="20"/>
                <w:color w:val="auto"/>
              </w:rPr>
              <w:t>2014</w:t>
            </w:r>
          </w:p>
        </w:tc>
        <w:tc>
          <w:tcPr>
            <w:tcW w:w="1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01"/>
              <w:spacing w:after="0"/>
              <w:rPr>
                <w:sz w:val="20"/>
                <w:szCs w:val="20"/>
                <w:color w:val="auto"/>
              </w:rPr>
            </w:pPr>
            <w:r>
              <w:rPr>
                <w:rFonts w:ascii="Arial" w:cs="Arial" w:eastAsia="Arial" w:hAnsi="Arial"/>
                <w:sz w:val="20"/>
                <w:szCs w:val="20"/>
                <w:color w:val="auto"/>
              </w:rPr>
              <w:t>2015</w:t>
            </w:r>
          </w:p>
        </w:tc>
        <w:tc>
          <w:tcPr>
            <w:tcW w:w="1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21"/>
              <w:spacing w:after="0"/>
              <w:rPr>
                <w:sz w:val="20"/>
                <w:szCs w:val="20"/>
                <w:color w:val="auto"/>
              </w:rPr>
            </w:pPr>
            <w:r>
              <w:rPr>
                <w:rFonts w:ascii="Arial" w:cs="Arial" w:eastAsia="Arial" w:hAnsi="Arial"/>
                <w:sz w:val="20"/>
                <w:szCs w:val="20"/>
                <w:color w:val="auto"/>
              </w:rPr>
              <w:t>2014</w:t>
            </w:r>
          </w:p>
        </w:tc>
        <w:tc>
          <w:tcPr>
            <w:tcW w:w="120" w:type="dxa"/>
            <w:vAlign w:val="bottom"/>
          </w:tcPr>
          <w:p>
            <w:pPr>
              <w:spacing w:after="0"/>
              <w:rPr>
                <w:sz w:val="20"/>
                <w:szCs w:val="20"/>
                <w:color w:val="auto"/>
              </w:rPr>
            </w:pPr>
          </w:p>
        </w:tc>
      </w:tr>
      <w:tr>
        <w:trPr>
          <w:trHeight w:val="233"/>
        </w:trPr>
        <w:tc>
          <w:tcPr>
            <w:tcW w:w="42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60" w:type="dxa"/>
            <w:vAlign w:val="bottom"/>
            <w:gridSpan w:val="6"/>
          </w:tcPr>
          <w:p>
            <w:pPr>
              <w:jc w:val="right"/>
              <w:ind w:right="520"/>
              <w:spacing w:after="0"/>
              <w:rPr>
                <w:sz w:val="20"/>
                <w:szCs w:val="20"/>
                <w:color w:val="auto"/>
              </w:rPr>
            </w:pPr>
            <w:r>
              <w:rPr>
                <w:rFonts w:ascii="Arial" w:cs="Arial" w:eastAsia="Arial" w:hAnsi="Arial"/>
                <w:sz w:val="20"/>
                <w:szCs w:val="20"/>
                <w:i w:val="1"/>
                <w:iCs w:val="1"/>
                <w:color w:val="auto"/>
                <w:w w:val="95"/>
              </w:rPr>
              <w:t>(Dollars in Thousands)</w:t>
            </w: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46"/>
        </w:trPr>
        <w:tc>
          <w:tcPr>
            <w:tcW w:w="4260" w:type="dxa"/>
            <w:vAlign w:val="bottom"/>
          </w:tcPr>
          <w:p>
            <w:pPr>
              <w:spacing w:after="0"/>
              <w:rPr>
                <w:sz w:val="20"/>
                <w:szCs w:val="20"/>
                <w:color w:val="auto"/>
              </w:rPr>
            </w:pPr>
            <w:r>
              <w:rPr>
                <w:rFonts w:ascii="Arial" w:cs="Arial" w:eastAsia="Arial" w:hAnsi="Arial"/>
                <w:sz w:val="20"/>
                <w:szCs w:val="20"/>
                <w:color w:val="auto"/>
              </w:rPr>
              <w:t>Service cost</w:t>
            </w:r>
          </w:p>
        </w:tc>
        <w:tc>
          <w:tcPr>
            <w:tcW w:w="1920" w:type="dxa"/>
            <w:vAlign w:val="bottom"/>
            <w:gridSpan w:val="2"/>
          </w:tcPr>
          <w:p>
            <w:pPr>
              <w:jc w:val="right"/>
              <w:ind w:right="41"/>
              <w:spacing w:after="0"/>
              <w:rPr>
                <w:sz w:val="20"/>
                <w:szCs w:val="20"/>
                <w:color w:val="auto"/>
              </w:rPr>
            </w:pPr>
            <w:r>
              <w:rPr>
                <w:rFonts w:ascii="Arial" w:cs="Arial" w:eastAsia="Arial" w:hAnsi="Arial"/>
                <w:sz w:val="20"/>
                <w:szCs w:val="20"/>
                <w:color w:val="auto"/>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5,752</w:t>
            </w:r>
          </w:p>
        </w:tc>
        <w:tc>
          <w:tcPr>
            <w:tcW w:w="80" w:type="dxa"/>
            <w:vAlign w:val="bottom"/>
          </w:tcPr>
          <w:p>
            <w:pPr>
              <w:spacing w:after="0"/>
              <w:rPr>
                <w:sz w:val="21"/>
                <w:szCs w:val="21"/>
                <w:color w:val="auto"/>
              </w:rPr>
            </w:pPr>
          </w:p>
        </w:tc>
        <w:tc>
          <w:tcPr>
            <w:tcW w:w="420" w:type="dxa"/>
            <w:vAlign w:val="bottom"/>
            <w:gridSpan w:val="2"/>
          </w:tcPr>
          <w:p>
            <w:pPr>
              <w:jc w:val="right"/>
              <w:ind w:right="81"/>
              <w:spacing w:after="0"/>
              <w:rPr>
                <w:sz w:val="20"/>
                <w:szCs w:val="20"/>
                <w:color w:val="auto"/>
              </w:rPr>
            </w:pPr>
            <w:r>
              <w:rPr>
                <w:rFonts w:ascii="Arial" w:cs="Arial" w:eastAsia="Arial" w:hAnsi="Arial"/>
                <w:sz w:val="20"/>
                <w:szCs w:val="20"/>
                <w:color w:val="auto"/>
              </w:rPr>
              <w:t>$</w:t>
            </w:r>
          </w:p>
        </w:tc>
        <w:tc>
          <w:tcPr>
            <w:tcW w:w="880" w:type="dxa"/>
            <w:vAlign w:val="bottom"/>
          </w:tcPr>
          <w:p>
            <w:pPr>
              <w:jc w:val="right"/>
              <w:spacing w:after="0"/>
              <w:rPr>
                <w:sz w:val="20"/>
                <w:szCs w:val="20"/>
                <w:color w:val="auto"/>
              </w:rPr>
            </w:pPr>
            <w:r>
              <w:rPr>
                <w:rFonts w:ascii="Arial" w:cs="Arial" w:eastAsia="Arial" w:hAnsi="Arial"/>
                <w:sz w:val="20"/>
                <w:szCs w:val="20"/>
                <w:color w:val="auto"/>
              </w:rPr>
              <w:t>4,996</w:t>
            </w:r>
          </w:p>
        </w:tc>
        <w:tc>
          <w:tcPr>
            <w:tcW w:w="160" w:type="dxa"/>
            <w:vAlign w:val="bottom"/>
          </w:tcPr>
          <w:p>
            <w:pPr>
              <w:spacing w:after="0"/>
              <w:rPr>
                <w:sz w:val="21"/>
                <w:szCs w:val="21"/>
                <w:color w:val="auto"/>
              </w:rPr>
            </w:pPr>
          </w:p>
        </w:tc>
        <w:tc>
          <w:tcPr>
            <w:tcW w:w="300" w:type="dxa"/>
            <w:vAlign w:val="bottom"/>
            <w:gridSpan w:val="2"/>
          </w:tcPr>
          <w:p>
            <w:pPr>
              <w:jc w:val="right"/>
              <w:ind w:right="41"/>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34</w:t>
            </w:r>
          </w:p>
        </w:tc>
        <w:tc>
          <w:tcPr>
            <w:tcW w:w="180" w:type="dxa"/>
            <w:vAlign w:val="bottom"/>
          </w:tcPr>
          <w:p>
            <w:pPr>
              <w:spacing w:after="0"/>
              <w:rPr>
                <w:sz w:val="21"/>
                <w:szCs w:val="21"/>
                <w:color w:val="auto"/>
              </w:rPr>
            </w:pPr>
          </w:p>
        </w:tc>
        <w:tc>
          <w:tcPr>
            <w:tcW w:w="280" w:type="dxa"/>
            <w:vAlign w:val="bottom"/>
            <w:gridSpan w:val="2"/>
          </w:tcPr>
          <w:p>
            <w:pPr>
              <w:jc w:val="right"/>
              <w:ind w:right="41"/>
              <w:spacing w:after="0"/>
              <w:rPr>
                <w:sz w:val="20"/>
                <w:szCs w:val="20"/>
                <w:color w:val="auto"/>
              </w:rPr>
            </w:pPr>
            <w:r>
              <w:rPr>
                <w:rFonts w:ascii="Arial" w:cs="Arial" w:eastAsia="Arial" w:hAnsi="Arial"/>
                <w:sz w:val="20"/>
                <w:szCs w:val="20"/>
                <w:color w:val="auto"/>
              </w:rPr>
              <w:t>$</w:t>
            </w:r>
          </w:p>
        </w:tc>
        <w:tc>
          <w:tcPr>
            <w:tcW w:w="960" w:type="dxa"/>
            <w:vAlign w:val="bottom"/>
          </w:tcPr>
          <w:p>
            <w:pPr>
              <w:jc w:val="right"/>
              <w:spacing w:after="0"/>
              <w:rPr>
                <w:sz w:val="20"/>
                <w:szCs w:val="20"/>
                <w:color w:val="auto"/>
              </w:rPr>
            </w:pPr>
            <w:r>
              <w:rPr>
                <w:rFonts w:ascii="Arial" w:cs="Arial" w:eastAsia="Arial" w:hAnsi="Arial"/>
                <w:sz w:val="20"/>
                <w:szCs w:val="20"/>
                <w:color w:val="auto"/>
              </w:rPr>
              <w:t>57</w:t>
            </w:r>
          </w:p>
        </w:tc>
        <w:tc>
          <w:tcPr>
            <w:tcW w:w="120" w:type="dxa"/>
            <w:vAlign w:val="bottom"/>
          </w:tcPr>
          <w:p>
            <w:pPr>
              <w:spacing w:after="0"/>
              <w:rPr>
                <w:sz w:val="21"/>
                <w:szCs w:val="21"/>
                <w:color w:val="auto"/>
              </w:rPr>
            </w:pPr>
          </w:p>
        </w:tc>
      </w:tr>
      <w:tr>
        <w:trPr>
          <w:trHeight w:val="243"/>
        </w:trPr>
        <w:tc>
          <w:tcPr>
            <w:tcW w:w="4260" w:type="dxa"/>
            <w:vAlign w:val="bottom"/>
            <w:shd w:val="clear" w:color="auto" w:fill="CFF0FC"/>
          </w:tcPr>
          <w:p>
            <w:pPr>
              <w:spacing w:after="0"/>
              <w:rPr>
                <w:sz w:val="20"/>
                <w:szCs w:val="20"/>
                <w:color w:val="auto"/>
              </w:rPr>
            </w:pPr>
            <w:r>
              <w:rPr>
                <w:rFonts w:ascii="Arial" w:cs="Arial" w:eastAsia="Arial" w:hAnsi="Arial"/>
                <w:sz w:val="20"/>
                <w:szCs w:val="20"/>
                <w:color w:val="auto"/>
              </w:rPr>
              <w:t>Interest cost</w:t>
            </w:r>
          </w:p>
        </w:tc>
        <w:tc>
          <w:tcPr>
            <w:tcW w:w="16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8,287</w:t>
            </w:r>
          </w:p>
        </w:tc>
        <w:tc>
          <w:tcPr>
            <w:tcW w:w="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7,979</w:t>
            </w:r>
          </w:p>
        </w:tc>
        <w:tc>
          <w:tcPr>
            <w:tcW w:w="16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232</w:t>
            </w:r>
          </w:p>
        </w:tc>
        <w:tc>
          <w:tcPr>
            <w:tcW w:w="18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302</w:t>
            </w:r>
          </w:p>
        </w:tc>
        <w:tc>
          <w:tcPr>
            <w:tcW w:w="120" w:type="dxa"/>
            <w:vAlign w:val="bottom"/>
            <w:shd w:val="clear" w:color="auto" w:fill="CFF0FC"/>
          </w:tcPr>
          <w:p>
            <w:pPr>
              <w:spacing w:after="0"/>
              <w:rPr>
                <w:sz w:val="21"/>
                <w:szCs w:val="21"/>
                <w:color w:val="auto"/>
              </w:rPr>
            </w:pPr>
          </w:p>
        </w:tc>
      </w:tr>
      <w:tr>
        <w:trPr>
          <w:trHeight w:val="243"/>
        </w:trPr>
        <w:tc>
          <w:tcPr>
            <w:tcW w:w="4260" w:type="dxa"/>
            <w:vAlign w:val="bottom"/>
          </w:tcPr>
          <w:p>
            <w:pPr>
              <w:spacing w:after="0"/>
              <w:rPr>
                <w:sz w:val="20"/>
                <w:szCs w:val="20"/>
                <w:color w:val="auto"/>
              </w:rPr>
            </w:pPr>
            <w:r>
              <w:rPr>
                <w:rFonts w:ascii="Arial" w:cs="Arial" w:eastAsia="Arial" w:hAnsi="Arial"/>
                <w:sz w:val="20"/>
                <w:szCs w:val="20"/>
                <w:color w:val="auto"/>
              </w:rPr>
              <w:t>Expected return on assets</w:t>
            </w:r>
          </w:p>
        </w:tc>
        <w:tc>
          <w:tcPr>
            <w:tcW w:w="1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20"/>
                <w:szCs w:val="20"/>
                <w:color w:val="auto"/>
              </w:rPr>
              <w:t>(9,095)</w:t>
            </w: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20"/>
                <w:szCs w:val="20"/>
                <w:color w:val="auto"/>
              </w:rPr>
              <w:t>(8,627)</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20"/>
                <w:szCs w:val="20"/>
                <w:color w:val="auto"/>
              </w:rPr>
              <w:t>—</w:t>
            </w: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r>
      <w:tr>
        <w:trPr>
          <w:trHeight w:val="243"/>
        </w:trPr>
        <w:tc>
          <w:tcPr>
            <w:tcW w:w="4260" w:type="dxa"/>
            <w:vAlign w:val="bottom"/>
            <w:shd w:val="clear" w:color="auto" w:fill="CFF0FC"/>
          </w:tcPr>
          <w:p>
            <w:pPr>
              <w:spacing w:after="0"/>
              <w:rPr>
                <w:sz w:val="20"/>
                <w:szCs w:val="20"/>
                <w:color w:val="auto"/>
              </w:rPr>
            </w:pPr>
            <w:r>
              <w:rPr>
                <w:rFonts w:ascii="Arial" w:cs="Arial" w:eastAsia="Arial" w:hAnsi="Arial"/>
                <w:sz w:val="20"/>
                <w:szCs w:val="20"/>
                <w:color w:val="auto"/>
              </w:rPr>
              <w:t>Amortization of:</w:t>
            </w:r>
          </w:p>
        </w:tc>
        <w:tc>
          <w:tcPr>
            <w:tcW w:w="16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r>
      <w:tr>
        <w:trPr>
          <w:trHeight w:val="243"/>
        </w:trPr>
        <w:tc>
          <w:tcPr>
            <w:tcW w:w="4260" w:type="dxa"/>
            <w:vAlign w:val="bottom"/>
          </w:tcPr>
          <w:p>
            <w:pPr>
              <w:ind w:left="260"/>
              <w:spacing w:after="0"/>
              <w:rPr>
                <w:sz w:val="20"/>
                <w:szCs w:val="20"/>
                <w:color w:val="auto"/>
              </w:rPr>
            </w:pPr>
            <w:r>
              <w:rPr>
                <w:rFonts w:ascii="Arial" w:cs="Arial" w:eastAsia="Arial" w:hAnsi="Arial"/>
                <w:sz w:val="20"/>
                <w:szCs w:val="20"/>
                <w:color w:val="auto"/>
              </w:rPr>
              <w:t>Prior service cost (credit)</w:t>
            </w:r>
          </w:p>
        </w:tc>
        <w:tc>
          <w:tcPr>
            <w:tcW w:w="1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106</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111</w:t>
            </w: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20"/>
                <w:szCs w:val="20"/>
                <w:color w:val="auto"/>
              </w:rPr>
              <w:t>(574)</w:t>
            </w: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20"/>
                <w:szCs w:val="20"/>
                <w:color w:val="auto"/>
              </w:rPr>
              <w:t>(814)</w:t>
            </w:r>
          </w:p>
        </w:tc>
      </w:tr>
      <w:tr>
        <w:trPr>
          <w:trHeight w:val="243"/>
        </w:trPr>
        <w:tc>
          <w:tcPr>
            <w:tcW w:w="42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Actuarial loss (gain)</w:t>
            </w:r>
          </w:p>
        </w:tc>
        <w:tc>
          <w:tcPr>
            <w:tcW w:w="16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3,223</w:t>
            </w:r>
          </w:p>
        </w:tc>
        <w:tc>
          <w:tcPr>
            <w:tcW w:w="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1,011</w:t>
            </w:r>
          </w:p>
        </w:tc>
        <w:tc>
          <w:tcPr>
            <w:tcW w:w="16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20"/>
                <w:szCs w:val="20"/>
                <w:color w:val="auto"/>
              </w:rPr>
              <w:t>(77)</w:t>
            </w:r>
          </w:p>
        </w:tc>
        <w:tc>
          <w:tcPr>
            <w:tcW w:w="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20"/>
                <w:szCs w:val="20"/>
                <w:color w:val="auto"/>
              </w:rPr>
              <w:t>(66)</w:t>
            </w:r>
          </w:p>
        </w:tc>
      </w:tr>
      <w:tr>
        <w:trPr>
          <w:trHeight w:val="243"/>
        </w:trPr>
        <w:tc>
          <w:tcPr>
            <w:tcW w:w="4260" w:type="dxa"/>
            <w:vAlign w:val="bottom"/>
          </w:tcPr>
          <w:p>
            <w:pPr>
              <w:ind w:left="260"/>
              <w:spacing w:after="0"/>
              <w:rPr>
                <w:sz w:val="20"/>
                <w:szCs w:val="20"/>
                <w:color w:val="auto"/>
              </w:rPr>
            </w:pPr>
            <w:r>
              <w:rPr>
                <w:rFonts w:ascii="Arial" w:cs="Arial" w:eastAsia="Arial" w:hAnsi="Arial"/>
                <w:sz w:val="20"/>
                <w:szCs w:val="20"/>
                <w:color w:val="auto"/>
              </w:rPr>
              <w:t>Special termination benefit</w:t>
            </w:r>
          </w:p>
        </w:tc>
        <w:tc>
          <w:tcPr>
            <w:tcW w:w="1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382</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13,680</w:t>
            </w: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20"/>
                <w:szCs w:val="20"/>
                <w:color w:val="auto"/>
              </w:rPr>
              <w:t>—</w:t>
            </w: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r>
      <w:tr>
        <w:trPr>
          <w:trHeight w:val="237"/>
        </w:trPr>
        <w:tc>
          <w:tcPr>
            <w:tcW w:w="42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Net periodic benefit cost (credit)</w:t>
            </w:r>
          </w:p>
        </w:tc>
        <w:tc>
          <w:tcPr>
            <w:tcW w:w="1680" w:type="dxa"/>
            <w:vAlign w:val="bottom"/>
            <w:tcBorders>
              <w:top w:val="single" w:sz="8" w:color="CFF0FC"/>
              <w:bottom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jc w:val="right"/>
              <w:ind w:right="41"/>
              <w:spacing w:after="0"/>
              <w:rPr>
                <w:sz w:val="20"/>
                <w:szCs w:val="20"/>
                <w:color w:val="auto"/>
              </w:rPr>
            </w:pPr>
            <w:r>
              <w:rPr>
                <w:rFonts w:ascii="Arial" w:cs="Arial" w:eastAsia="Arial" w:hAnsi="Arial"/>
                <w:sz w:val="20"/>
                <w:szCs w:val="20"/>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8,655</w:t>
            </w:r>
          </w:p>
        </w:tc>
        <w:tc>
          <w:tcPr>
            <w:tcW w:w="80" w:type="dxa"/>
            <w:vAlign w:val="bottom"/>
            <w:tcBorders>
              <w:top w:val="single" w:sz="8" w:color="CFF0FC"/>
              <w:bottom w:val="single" w:sz="8" w:color="CFF0FC"/>
            </w:tcBorders>
            <w:shd w:val="clear" w:color="auto" w:fill="CFF0FC"/>
          </w:tcPr>
          <w:p>
            <w:pPr>
              <w:spacing w:after="0"/>
              <w:rPr>
                <w:sz w:val="20"/>
                <w:szCs w:val="20"/>
                <w:color w:val="auto"/>
              </w:rPr>
            </w:pPr>
          </w:p>
        </w:tc>
        <w:tc>
          <w:tcPr>
            <w:tcW w:w="140" w:type="dxa"/>
            <w:vAlign w:val="bottom"/>
            <w:tcBorders>
              <w:top w:val="single" w:sz="8" w:color="CFF0FC"/>
              <w:bottom w:val="single" w:sz="8" w:color="CFF0FC"/>
            </w:tcBorders>
            <w:shd w:val="clear" w:color="auto" w:fill="CFF0FC"/>
          </w:tcPr>
          <w:p>
            <w:pPr>
              <w:spacing w:after="0"/>
              <w:rPr>
                <w:sz w:val="20"/>
                <w:szCs w:val="20"/>
                <w:color w:val="auto"/>
              </w:rPr>
            </w:pPr>
          </w:p>
        </w:tc>
        <w:tc>
          <w:tcPr>
            <w:tcW w:w="280" w:type="dxa"/>
            <w:vAlign w:val="bottom"/>
            <w:tcBorders>
              <w:top w:val="single" w:sz="8" w:color="auto"/>
              <w:bottom w:val="single" w:sz="8" w:color="auto"/>
            </w:tcBorders>
            <w:shd w:val="clear" w:color="auto" w:fill="CFF0FC"/>
          </w:tcPr>
          <w:p>
            <w:pPr>
              <w:jc w:val="right"/>
              <w:ind w:right="81"/>
              <w:spacing w:after="0"/>
              <w:rPr>
                <w:sz w:val="20"/>
                <w:szCs w:val="20"/>
                <w:color w:val="auto"/>
              </w:rPr>
            </w:pPr>
            <w:r>
              <w:rPr>
                <w:rFonts w:ascii="Arial" w:cs="Arial" w:eastAsia="Arial" w:hAnsi="Arial"/>
                <w:sz w:val="20"/>
                <w:szCs w:val="20"/>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19,150</w:t>
            </w:r>
          </w:p>
        </w:tc>
        <w:tc>
          <w:tcPr>
            <w:tcW w:w="160" w:type="dxa"/>
            <w:vAlign w:val="bottom"/>
            <w:tcBorders>
              <w:top w:val="single" w:sz="8" w:color="CFF0FC"/>
              <w:bottom w:val="single" w:sz="8" w:color="CFF0FC"/>
            </w:tcBorders>
            <w:shd w:val="clear" w:color="auto" w:fill="CFF0FC"/>
          </w:tcPr>
          <w:p>
            <w:pPr>
              <w:spacing w:after="0"/>
              <w:rPr>
                <w:sz w:val="20"/>
                <w:szCs w:val="20"/>
                <w:color w:val="auto"/>
              </w:rPr>
            </w:pPr>
          </w:p>
        </w:tc>
        <w:tc>
          <w:tcPr>
            <w:tcW w:w="60" w:type="dxa"/>
            <w:vAlign w:val="bottom"/>
            <w:tcBorders>
              <w:top w:val="single" w:sz="8" w:color="CFF0FC"/>
              <w:bottom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jc w:val="right"/>
              <w:ind w:right="41"/>
              <w:spacing w:after="0"/>
              <w:rPr>
                <w:sz w:val="20"/>
                <w:szCs w:val="20"/>
                <w:color w:val="auto"/>
              </w:rPr>
            </w:pPr>
            <w:r>
              <w:rPr>
                <w:rFonts w:ascii="Arial" w:cs="Arial" w:eastAsia="Arial" w:hAnsi="Arial"/>
                <w:sz w:val="20"/>
                <w:szCs w:val="20"/>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(385)</w:t>
            </w:r>
          </w:p>
        </w:tc>
        <w:tc>
          <w:tcPr>
            <w:tcW w:w="180" w:type="dxa"/>
            <w:vAlign w:val="bottom"/>
            <w:tcBorders>
              <w:top w:val="single" w:sz="8" w:color="CFF0FC"/>
              <w:bottom w:val="single" w:sz="8" w:color="CFF0FC"/>
            </w:tcBorders>
            <w:shd w:val="clear" w:color="auto" w:fill="CFF0FC"/>
          </w:tcPr>
          <w:p>
            <w:pPr>
              <w:spacing w:after="0"/>
              <w:rPr>
                <w:sz w:val="20"/>
                <w:szCs w:val="20"/>
                <w:color w:val="auto"/>
              </w:rPr>
            </w:pPr>
          </w:p>
        </w:tc>
        <w:tc>
          <w:tcPr>
            <w:tcW w:w="40" w:type="dxa"/>
            <w:vAlign w:val="bottom"/>
            <w:tcBorders>
              <w:top w:val="single" w:sz="8" w:color="CFF0FC"/>
              <w:bottom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jc w:val="right"/>
              <w:ind w:right="41"/>
              <w:spacing w:after="0"/>
              <w:rPr>
                <w:sz w:val="20"/>
                <w:szCs w:val="20"/>
                <w:color w:val="auto"/>
              </w:rPr>
            </w:pPr>
            <w:r>
              <w:rPr>
                <w:rFonts w:ascii="Arial" w:cs="Arial" w:eastAsia="Arial" w:hAnsi="Arial"/>
                <w:sz w:val="20"/>
                <w:szCs w:val="20"/>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(521)</w:t>
            </w:r>
          </w:p>
        </w:tc>
        <w:tc>
          <w:tcPr>
            <w:tcW w:w="120" w:type="dxa"/>
            <w:vAlign w:val="bottom"/>
            <w:tcBorders>
              <w:top w:val="single" w:sz="8" w:color="CFF0FC"/>
              <w:bottom w:val="single" w:sz="8" w:color="CFF0FC"/>
            </w:tcBorders>
            <w:shd w:val="clear" w:color="auto" w:fill="CFF0FC"/>
          </w:tcPr>
          <w:p>
            <w:pPr>
              <w:spacing w:after="0"/>
              <w:rPr>
                <w:sz w:val="20"/>
                <w:szCs w:val="20"/>
                <w:color w:val="auto"/>
              </w:rPr>
            </w:pPr>
          </w:p>
        </w:tc>
      </w:tr>
      <w:tr>
        <w:trPr>
          <w:trHeight w:val="20"/>
        </w:trPr>
        <w:tc>
          <w:tcPr>
            <w:tcW w:w="42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2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3040" w:type="dxa"/>
            <w:vAlign w:val="bottom"/>
            <w:tcBorders>
              <w:bottom w:val="single" w:sz="8" w:color="auto"/>
            </w:tcBorders>
            <w:gridSpan w:val="7"/>
          </w:tcPr>
          <w:p>
            <w:pPr>
              <w:jc w:val="right"/>
              <w:ind w:right="240"/>
              <w:spacing w:after="0"/>
              <w:rPr>
                <w:sz w:val="20"/>
                <w:szCs w:val="20"/>
                <w:color w:val="auto"/>
              </w:rPr>
            </w:pPr>
            <w:r>
              <w:rPr>
                <w:rFonts w:ascii="Arial" w:cs="Arial" w:eastAsia="Arial" w:hAnsi="Arial"/>
                <w:sz w:val="20"/>
                <w:szCs w:val="20"/>
                <w:color w:val="auto"/>
                <w:w w:val="88"/>
              </w:rPr>
              <w:t>Nine Months Ended September 30,</w:t>
            </w: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r>
      <w:tr>
        <w:trPr>
          <w:trHeight w:val="237"/>
        </w:trPr>
        <w:tc>
          <w:tcPr>
            <w:tcW w:w="42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4"/>
          </w:tcPr>
          <w:p>
            <w:pPr>
              <w:jc w:val="right"/>
              <w:spacing w:after="0"/>
              <w:rPr>
                <w:sz w:val="20"/>
                <w:szCs w:val="20"/>
                <w:color w:val="auto"/>
              </w:rPr>
            </w:pPr>
            <w:r>
              <w:rPr>
                <w:rFonts w:ascii="Arial" w:cs="Arial" w:eastAsia="Arial" w:hAnsi="Arial"/>
                <w:sz w:val="20"/>
                <w:szCs w:val="20"/>
                <w:color w:val="auto"/>
              </w:rPr>
              <w:t>Pension</w:t>
            </w:r>
          </w:p>
        </w:tc>
        <w:tc>
          <w:tcPr>
            <w:tcW w:w="9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4"/>
          </w:tcPr>
          <w:p>
            <w:pPr>
              <w:jc w:val="right"/>
              <w:ind w:right="281"/>
              <w:spacing w:after="0"/>
              <w:rPr>
                <w:sz w:val="20"/>
                <w:szCs w:val="20"/>
                <w:color w:val="auto"/>
              </w:rPr>
            </w:pPr>
            <w:r>
              <w:rPr>
                <w:rFonts w:ascii="Arial" w:cs="Arial" w:eastAsia="Arial" w:hAnsi="Arial"/>
                <w:sz w:val="20"/>
                <w:szCs w:val="20"/>
                <w:color w:val="auto"/>
                <w:w w:val="94"/>
              </w:rPr>
              <w:t>Postretirement Benefits</w:t>
            </w:r>
          </w:p>
        </w:tc>
        <w:tc>
          <w:tcPr>
            <w:tcW w:w="80" w:type="dxa"/>
            <w:vAlign w:val="bottom"/>
          </w:tcPr>
          <w:p>
            <w:pPr>
              <w:spacing w:after="0"/>
              <w:rPr>
                <w:sz w:val="20"/>
                <w:szCs w:val="20"/>
                <w:color w:val="auto"/>
              </w:rPr>
            </w:pPr>
          </w:p>
        </w:tc>
      </w:tr>
      <w:tr>
        <w:trPr>
          <w:trHeight w:val="237"/>
        </w:trPr>
        <w:tc>
          <w:tcPr>
            <w:tcW w:w="4200" w:type="dxa"/>
            <w:vAlign w:val="bottom"/>
            <w:tcBorders>
              <w:bottom w:val="single" w:sz="8" w:color="CFF0FC"/>
            </w:tcBorders>
          </w:tcPr>
          <w:p>
            <w:pPr>
              <w:spacing w:after="0"/>
              <w:rPr>
                <w:sz w:val="20"/>
                <w:szCs w:val="20"/>
                <w:color w:val="auto"/>
              </w:rPr>
            </w:pPr>
          </w:p>
        </w:tc>
        <w:tc>
          <w:tcPr>
            <w:tcW w:w="1620" w:type="dxa"/>
            <w:vAlign w:val="bottom"/>
            <w:tcBorders>
              <w:bottom w:val="single" w:sz="8" w:color="CFF0F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41"/>
              <w:spacing w:after="0"/>
              <w:rPr>
                <w:sz w:val="20"/>
                <w:szCs w:val="20"/>
                <w:color w:val="auto"/>
              </w:rPr>
            </w:pPr>
            <w:r>
              <w:rPr>
                <w:rFonts w:ascii="Arial" w:cs="Arial" w:eastAsia="Arial" w:hAnsi="Arial"/>
                <w:sz w:val="20"/>
                <w:szCs w:val="20"/>
                <w:color w:val="auto"/>
              </w:rPr>
              <w:t>2015</w:t>
            </w: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21"/>
              <w:spacing w:after="0"/>
              <w:rPr>
                <w:sz w:val="20"/>
                <w:szCs w:val="20"/>
                <w:color w:val="auto"/>
              </w:rPr>
            </w:pPr>
            <w:r>
              <w:rPr>
                <w:rFonts w:ascii="Arial" w:cs="Arial" w:eastAsia="Arial" w:hAnsi="Arial"/>
                <w:sz w:val="20"/>
                <w:szCs w:val="20"/>
                <w:color w:val="auto"/>
              </w:rPr>
              <w:t>2014</w:t>
            </w:r>
          </w:p>
        </w:tc>
        <w:tc>
          <w:tcPr>
            <w:tcW w:w="2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21"/>
              <w:spacing w:after="0"/>
              <w:rPr>
                <w:sz w:val="20"/>
                <w:szCs w:val="20"/>
                <w:color w:val="auto"/>
              </w:rPr>
            </w:pPr>
            <w:r>
              <w:rPr>
                <w:rFonts w:ascii="Arial" w:cs="Arial" w:eastAsia="Arial" w:hAnsi="Arial"/>
                <w:sz w:val="20"/>
                <w:szCs w:val="20"/>
                <w:color w:val="auto"/>
              </w:rPr>
              <w:t>2015</w:t>
            </w:r>
          </w:p>
        </w:tc>
        <w:tc>
          <w:tcPr>
            <w:tcW w:w="2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81"/>
              <w:spacing w:after="0"/>
              <w:rPr>
                <w:sz w:val="20"/>
                <w:szCs w:val="20"/>
                <w:color w:val="auto"/>
              </w:rPr>
            </w:pPr>
            <w:r>
              <w:rPr>
                <w:rFonts w:ascii="Arial" w:cs="Arial" w:eastAsia="Arial" w:hAnsi="Arial"/>
                <w:sz w:val="20"/>
                <w:szCs w:val="20"/>
                <w:color w:val="auto"/>
              </w:rPr>
              <w:t>2014</w:t>
            </w:r>
          </w:p>
        </w:tc>
        <w:tc>
          <w:tcPr>
            <w:tcW w:w="80" w:type="dxa"/>
            <w:vAlign w:val="bottom"/>
            <w:tcBorders>
              <w:bottom w:val="single" w:sz="8" w:color="CFF0FC"/>
            </w:tcBorders>
          </w:tcPr>
          <w:p>
            <w:pPr>
              <w:spacing w:after="0"/>
              <w:rPr>
                <w:sz w:val="20"/>
                <w:szCs w:val="20"/>
                <w:color w:val="auto"/>
              </w:rPr>
            </w:pPr>
          </w:p>
        </w:tc>
      </w:tr>
      <w:tr>
        <w:trPr>
          <w:trHeight w:val="237"/>
        </w:trPr>
        <w:tc>
          <w:tcPr>
            <w:tcW w:w="4200" w:type="dxa"/>
            <w:vAlign w:val="bottom"/>
            <w:shd w:val="clear" w:color="auto" w:fill="CFF0FC"/>
          </w:tcPr>
          <w:p>
            <w:pPr>
              <w:spacing w:after="0"/>
              <w:rPr>
                <w:sz w:val="20"/>
                <w:szCs w:val="20"/>
                <w:color w:val="auto"/>
              </w:rPr>
            </w:pPr>
          </w:p>
        </w:tc>
        <w:tc>
          <w:tcPr>
            <w:tcW w:w="16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640" w:type="dxa"/>
            <w:vAlign w:val="bottom"/>
            <w:gridSpan w:val="5"/>
            <w:shd w:val="clear" w:color="auto" w:fill="CFF0FC"/>
          </w:tcPr>
          <w:p>
            <w:pPr>
              <w:jc w:val="right"/>
              <w:ind w:right="700"/>
              <w:spacing w:after="0"/>
              <w:rPr>
                <w:sz w:val="20"/>
                <w:szCs w:val="20"/>
                <w:color w:val="auto"/>
              </w:rPr>
            </w:pPr>
            <w:r>
              <w:rPr>
                <w:rFonts w:ascii="Arial" w:cs="Arial" w:eastAsia="Arial" w:hAnsi="Arial"/>
                <w:sz w:val="20"/>
                <w:szCs w:val="20"/>
                <w:i w:val="1"/>
                <w:iCs w:val="1"/>
                <w:color w:val="auto"/>
                <w:w w:val="95"/>
              </w:rPr>
              <w:t>(Dollars in Thousands)</w:t>
            </w:r>
          </w:p>
        </w:tc>
        <w:tc>
          <w:tcPr>
            <w:tcW w:w="22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r>
      <w:tr>
        <w:trPr>
          <w:trHeight w:val="243"/>
        </w:trPr>
        <w:tc>
          <w:tcPr>
            <w:tcW w:w="4200" w:type="dxa"/>
            <w:vAlign w:val="bottom"/>
          </w:tcPr>
          <w:p>
            <w:pPr>
              <w:spacing w:after="0"/>
              <w:rPr>
                <w:sz w:val="20"/>
                <w:szCs w:val="20"/>
                <w:color w:val="auto"/>
              </w:rPr>
            </w:pPr>
            <w:r>
              <w:rPr>
                <w:rFonts w:ascii="Arial" w:cs="Arial" w:eastAsia="Arial" w:hAnsi="Arial"/>
                <w:sz w:val="20"/>
                <w:szCs w:val="20"/>
                <w:color w:val="auto"/>
              </w:rPr>
              <w:t>Service cost</w:t>
            </w:r>
          </w:p>
        </w:tc>
        <w:tc>
          <w:tcPr>
            <w:tcW w:w="1880" w:type="dxa"/>
            <w:vAlign w:val="bottom"/>
            <w:gridSpan w:val="2"/>
          </w:tcPr>
          <w:p>
            <w:pPr>
              <w:jc w:val="right"/>
              <w:ind w:right="61"/>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17,257</w:t>
            </w:r>
          </w:p>
        </w:tc>
        <w:tc>
          <w:tcPr>
            <w:tcW w:w="80" w:type="dxa"/>
            <w:vAlign w:val="bottom"/>
          </w:tcPr>
          <w:p>
            <w:pPr>
              <w:spacing w:after="0"/>
              <w:rPr>
                <w:sz w:val="21"/>
                <w:szCs w:val="21"/>
                <w:color w:val="auto"/>
              </w:rPr>
            </w:pPr>
          </w:p>
        </w:tc>
        <w:tc>
          <w:tcPr>
            <w:tcW w:w="400" w:type="dxa"/>
            <w:vAlign w:val="bottom"/>
            <w:gridSpan w:val="2"/>
          </w:tcPr>
          <w:p>
            <w:pPr>
              <w:jc w:val="right"/>
              <w:ind w:right="61"/>
              <w:spacing w:after="0"/>
              <w:rPr>
                <w:sz w:val="20"/>
                <w:szCs w:val="20"/>
                <w:color w:val="auto"/>
              </w:rPr>
            </w:pPr>
            <w:r>
              <w:rPr>
                <w:rFonts w:ascii="Arial" w:cs="Arial" w:eastAsia="Arial" w:hAnsi="Arial"/>
                <w:sz w:val="20"/>
                <w:szCs w:val="20"/>
                <w:color w:val="auto"/>
              </w:rPr>
              <w:t>$</w:t>
            </w:r>
          </w:p>
        </w:tc>
        <w:tc>
          <w:tcPr>
            <w:tcW w:w="980" w:type="dxa"/>
            <w:vAlign w:val="bottom"/>
          </w:tcPr>
          <w:p>
            <w:pPr>
              <w:jc w:val="right"/>
              <w:spacing w:after="0"/>
              <w:rPr>
                <w:sz w:val="20"/>
                <w:szCs w:val="20"/>
                <w:color w:val="auto"/>
              </w:rPr>
            </w:pPr>
            <w:r>
              <w:rPr>
                <w:rFonts w:ascii="Arial" w:cs="Arial" w:eastAsia="Arial" w:hAnsi="Arial"/>
                <w:sz w:val="20"/>
                <w:szCs w:val="20"/>
                <w:color w:val="auto"/>
              </w:rPr>
              <w:t>12,129</w:t>
            </w:r>
          </w:p>
        </w:tc>
        <w:tc>
          <w:tcPr>
            <w:tcW w:w="200" w:type="dxa"/>
            <w:vAlign w:val="bottom"/>
          </w:tcPr>
          <w:p>
            <w:pPr>
              <w:spacing w:after="0"/>
              <w:rPr>
                <w:sz w:val="21"/>
                <w:szCs w:val="21"/>
                <w:color w:val="auto"/>
              </w:rPr>
            </w:pPr>
          </w:p>
        </w:tc>
        <w:tc>
          <w:tcPr>
            <w:tcW w:w="240" w:type="dxa"/>
            <w:vAlign w:val="bottom"/>
          </w:tcPr>
          <w:p>
            <w:pPr>
              <w:jc w:val="right"/>
              <w:ind w:right="41"/>
              <w:spacing w:after="0"/>
              <w:rPr>
                <w:sz w:val="20"/>
                <w:szCs w:val="20"/>
                <w:color w:val="auto"/>
              </w:rPr>
            </w:pPr>
            <w:r>
              <w:rPr>
                <w:rFonts w:ascii="Arial" w:cs="Arial" w:eastAsia="Arial" w:hAnsi="Arial"/>
                <w:sz w:val="20"/>
                <w:szCs w:val="20"/>
                <w:color w:val="auto"/>
                <w:w w:val="71"/>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103</w:t>
            </w:r>
          </w:p>
        </w:tc>
        <w:tc>
          <w:tcPr>
            <w:tcW w:w="220" w:type="dxa"/>
            <w:vAlign w:val="bottom"/>
          </w:tcPr>
          <w:p>
            <w:pPr>
              <w:spacing w:after="0"/>
              <w:rPr>
                <w:sz w:val="21"/>
                <w:szCs w:val="21"/>
                <w:color w:val="auto"/>
              </w:rPr>
            </w:pPr>
          </w:p>
        </w:tc>
        <w:tc>
          <w:tcPr>
            <w:tcW w:w="220" w:type="dxa"/>
            <w:vAlign w:val="bottom"/>
          </w:tcPr>
          <w:p>
            <w:pPr>
              <w:jc w:val="right"/>
              <w:ind w:right="21"/>
              <w:spacing w:after="0"/>
              <w:rPr>
                <w:sz w:val="20"/>
                <w:szCs w:val="20"/>
                <w:color w:val="auto"/>
              </w:rPr>
            </w:pPr>
            <w:r>
              <w:rPr>
                <w:rFonts w:ascii="Arial" w:cs="Arial" w:eastAsia="Arial" w:hAnsi="Arial"/>
                <w:sz w:val="20"/>
                <w:szCs w:val="20"/>
                <w:color w:val="auto"/>
                <w:w w:val="71"/>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150</w:t>
            </w:r>
          </w:p>
        </w:tc>
        <w:tc>
          <w:tcPr>
            <w:tcW w:w="80" w:type="dxa"/>
            <w:vAlign w:val="bottom"/>
          </w:tcPr>
          <w:p>
            <w:pPr>
              <w:spacing w:after="0"/>
              <w:rPr>
                <w:sz w:val="21"/>
                <w:szCs w:val="21"/>
                <w:color w:val="auto"/>
              </w:rPr>
            </w:pPr>
          </w:p>
        </w:tc>
      </w:tr>
      <w:tr>
        <w:trPr>
          <w:trHeight w:val="243"/>
        </w:trPr>
        <w:tc>
          <w:tcPr>
            <w:tcW w:w="4200" w:type="dxa"/>
            <w:vAlign w:val="bottom"/>
            <w:shd w:val="clear" w:color="auto" w:fill="CFF0FC"/>
          </w:tcPr>
          <w:p>
            <w:pPr>
              <w:spacing w:after="0"/>
              <w:rPr>
                <w:sz w:val="20"/>
                <w:szCs w:val="20"/>
                <w:color w:val="auto"/>
              </w:rPr>
            </w:pPr>
            <w:r>
              <w:rPr>
                <w:rFonts w:ascii="Arial" w:cs="Arial" w:eastAsia="Arial" w:hAnsi="Arial"/>
                <w:sz w:val="20"/>
                <w:szCs w:val="20"/>
                <w:color w:val="auto"/>
              </w:rPr>
              <w:t>Interest cost</w:t>
            </w:r>
          </w:p>
        </w:tc>
        <w:tc>
          <w:tcPr>
            <w:tcW w:w="16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24,863</w:t>
            </w:r>
          </w:p>
        </w:tc>
        <w:tc>
          <w:tcPr>
            <w:tcW w:w="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20,952</w:t>
            </w:r>
          </w:p>
        </w:tc>
        <w:tc>
          <w:tcPr>
            <w:tcW w:w="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696</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861</w:t>
            </w:r>
          </w:p>
        </w:tc>
        <w:tc>
          <w:tcPr>
            <w:tcW w:w="80" w:type="dxa"/>
            <w:vAlign w:val="bottom"/>
            <w:shd w:val="clear" w:color="auto" w:fill="CFF0FC"/>
          </w:tcPr>
          <w:p>
            <w:pPr>
              <w:spacing w:after="0"/>
              <w:rPr>
                <w:sz w:val="21"/>
                <w:szCs w:val="21"/>
                <w:color w:val="auto"/>
              </w:rPr>
            </w:pPr>
          </w:p>
        </w:tc>
      </w:tr>
      <w:tr>
        <w:trPr>
          <w:trHeight w:val="243"/>
        </w:trPr>
        <w:tc>
          <w:tcPr>
            <w:tcW w:w="4200" w:type="dxa"/>
            <w:vAlign w:val="bottom"/>
          </w:tcPr>
          <w:p>
            <w:pPr>
              <w:spacing w:after="0"/>
              <w:rPr>
                <w:sz w:val="20"/>
                <w:szCs w:val="20"/>
                <w:color w:val="auto"/>
              </w:rPr>
            </w:pPr>
            <w:r>
              <w:rPr>
                <w:rFonts w:ascii="Arial" w:cs="Arial" w:eastAsia="Arial" w:hAnsi="Arial"/>
                <w:sz w:val="20"/>
                <w:szCs w:val="20"/>
                <w:color w:val="auto"/>
              </w:rPr>
              <w:t>Expected return on assets</w:t>
            </w:r>
          </w:p>
        </w:tc>
        <w:tc>
          <w:tcPr>
            <w:tcW w:w="1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gridSpan w:val="2"/>
          </w:tcPr>
          <w:p>
            <w:pPr>
              <w:jc w:val="right"/>
              <w:spacing w:after="0"/>
              <w:rPr>
                <w:sz w:val="20"/>
                <w:szCs w:val="20"/>
                <w:color w:val="auto"/>
              </w:rPr>
            </w:pPr>
            <w:r>
              <w:rPr>
                <w:rFonts w:ascii="Arial" w:cs="Arial" w:eastAsia="Arial" w:hAnsi="Arial"/>
                <w:sz w:val="20"/>
                <w:szCs w:val="20"/>
                <w:color w:val="auto"/>
              </w:rPr>
              <w:t>(27,285)</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20"/>
                <w:szCs w:val="20"/>
                <w:color w:val="auto"/>
              </w:rPr>
              <w:t>(24,030)</w:t>
            </w:r>
          </w:p>
        </w:tc>
        <w:tc>
          <w:tcPr>
            <w:tcW w:w="2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r>
      <w:tr>
        <w:trPr>
          <w:trHeight w:val="243"/>
        </w:trPr>
        <w:tc>
          <w:tcPr>
            <w:tcW w:w="4200" w:type="dxa"/>
            <w:vAlign w:val="bottom"/>
            <w:shd w:val="clear" w:color="auto" w:fill="CFF0FC"/>
          </w:tcPr>
          <w:p>
            <w:pPr>
              <w:spacing w:after="0"/>
              <w:rPr>
                <w:sz w:val="20"/>
                <w:szCs w:val="20"/>
                <w:color w:val="auto"/>
              </w:rPr>
            </w:pPr>
            <w:r>
              <w:rPr>
                <w:rFonts w:ascii="Arial" w:cs="Arial" w:eastAsia="Arial" w:hAnsi="Arial"/>
                <w:sz w:val="20"/>
                <w:szCs w:val="20"/>
                <w:color w:val="auto"/>
              </w:rPr>
              <w:t>Amortization of:</w:t>
            </w:r>
          </w:p>
        </w:tc>
        <w:tc>
          <w:tcPr>
            <w:tcW w:w="16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r>
      <w:tr>
        <w:trPr>
          <w:trHeight w:val="243"/>
        </w:trPr>
        <w:tc>
          <w:tcPr>
            <w:tcW w:w="4200" w:type="dxa"/>
            <w:vAlign w:val="bottom"/>
          </w:tcPr>
          <w:p>
            <w:pPr>
              <w:ind w:left="260"/>
              <w:spacing w:after="0"/>
              <w:rPr>
                <w:sz w:val="20"/>
                <w:szCs w:val="20"/>
                <w:color w:val="auto"/>
              </w:rPr>
            </w:pPr>
            <w:r>
              <w:rPr>
                <w:rFonts w:ascii="Arial" w:cs="Arial" w:eastAsia="Arial" w:hAnsi="Arial"/>
                <w:sz w:val="20"/>
                <w:szCs w:val="20"/>
                <w:color w:val="auto"/>
              </w:rPr>
              <w:t>Prior service cost (credit)</w:t>
            </w:r>
          </w:p>
        </w:tc>
        <w:tc>
          <w:tcPr>
            <w:tcW w:w="1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317</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334</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20"/>
                <w:szCs w:val="20"/>
                <w:color w:val="auto"/>
              </w:rPr>
              <w:t>(1,724)</w:t>
            </w:r>
          </w:p>
        </w:tc>
        <w:tc>
          <w:tcPr>
            <w:tcW w:w="220" w:type="dxa"/>
            <w:vAlign w:val="bottom"/>
          </w:tcPr>
          <w:p>
            <w:pPr>
              <w:spacing w:after="0"/>
              <w:rPr>
                <w:sz w:val="21"/>
                <w:szCs w:val="21"/>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20"/>
                <w:szCs w:val="20"/>
                <w:color w:val="auto"/>
              </w:rPr>
              <w:t>(2,441)</w:t>
            </w:r>
          </w:p>
        </w:tc>
      </w:tr>
      <w:tr>
        <w:trPr>
          <w:trHeight w:val="243"/>
        </w:trPr>
        <w:tc>
          <w:tcPr>
            <w:tcW w:w="4200" w:type="dxa"/>
            <w:vAlign w:val="bottom"/>
            <w:shd w:val="clear" w:color="auto" w:fill="CFF0FC"/>
          </w:tcPr>
          <w:p>
            <w:pPr>
              <w:ind w:left="260"/>
              <w:spacing w:after="0"/>
              <w:rPr>
                <w:sz w:val="20"/>
                <w:szCs w:val="20"/>
                <w:color w:val="auto"/>
              </w:rPr>
            </w:pPr>
            <w:r>
              <w:rPr>
                <w:rFonts w:ascii="Arial" w:cs="Arial" w:eastAsia="Arial" w:hAnsi="Arial"/>
                <w:sz w:val="20"/>
                <w:szCs w:val="20"/>
                <w:color w:val="auto"/>
              </w:rPr>
              <w:t>Actuarial loss (gain)</w:t>
            </w:r>
          </w:p>
        </w:tc>
        <w:tc>
          <w:tcPr>
            <w:tcW w:w="16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13,923</w:t>
            </w:r>
          </w:p>
        </w:tc>
        <w:tc>
          <w:tcPr>
            <w:tcW w:w="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3,034</w:t>
            </w:r>
          </w:p>
        </w:tc>
        <w:tc>
          <w:tcPr>
            <w:tcW w:w="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20"/>
                <w:szCs w:val="20"/>
                <w:color w:val="auto"/>
              </w:rPr>
              <w:t>(232)</w:t>
            </w:r>
          </w:p>
        </w:tc>
        <w:tc>
          <w:tcPr>
            <w:tcW w:w="22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(199)</w:t>
            </w:r>
          </w:p>
        </w:tc>
      </w:tr>
      <w:tr>
        <w:trPr>
          <w:trHeight w:val="243"/>
        </w:trPr>
        <w:tc>
          <w:tcPr>
            <w:tcW w:w="4200" w:type="dxa"/>
            <w:vAlign w:val="bottom"/>
          </w:tcPr>
          <w:p>
            <w:pPr>
              <w:ind w:left="260"/>
              <w:spacing w:after="0"/>
              <w:rPr>
                <w:sz w:val="20"/>
                <w:szCs w:val="20"/>
                <w:color w:val="auto"/>
              </w:rPr>
            </w:pPr>
            <w:r>
              <w:rPr>
                <w:rFonts w:ascii="Arial" w:cs="Arial" w:eastAsia="Arial" w:hAnsi="Arial"/>
                <w:sz w:val="20"/>
                <w:szCs w:val="20"/>
                <w:color w:val="auto"/>
              </w:rPr>
              <w:t>Special termination benefit</w:t>
            </w:r>
          </w:p>
        </w:tc>
        <w:tc>
          <w:tcPr>
            <w:tcW w:w="1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1,844</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13,680</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r>
      <w:tr>
        <w:trPr>
          <w:trHeight w:val="237"/>
        </w:trPr>
        <w:tc>
          <w:tcPr>
            <w:tcW w:w="42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Net periodic benefit cost (credit)</w:t>
            </w:r>
          </w:p>
        </w:tc>
        <w:tc>
          <w:tcPr>
            <w:tcW w:w="1620" w:type="dxa"/>
            <w:vAlign w:val="bottom"/>
            <w:tcBorders>
              <w:top w:val="single" w:sz="8" w:color="CFF0FC"/>
              <w:bottom w:val="single" w:sz="8" w:color="CFF0FC"/>
            </w:tcBorders>
            <w:shd w:val="clear" w:color="auto" w:fill="CFF0FC"/>
          </w:tcPr>
          <w:p>
            <w:pPr>
              <w:spacing w:after="0"/>
              <w:rPr>
                <w:sz w:val="20"/>
                <w:szCs w:val="20"/>
                <w:color w:val="auto"/>
              </w:rPr>
            </w:pPr>
          </w:p>
        </w:tc>
        <w:tc>
          <w:tcPr>
            <w:tcW w:w="260" w:type="dxa"/>
            <w:vAlign w:val="bottom"/>
            <w:tcBorders>
              <w:top w:val="single" w:sz="8" w:color="auto"/>
              <w:bottom w:val="single" w:sz="8" w:color="auto"/>
            </w:tcBorders>
            <w:shd w:val="clear" w:color="auto" w:fill="CFF0FC"/>
          </w:tcPr>
          <w:p>
            <w:pPr>
              <w:jc w:val="right"/>
              <w:ind w:right="61"/>
              <w:spacing w:after="0"/>
              <w:rPr>
                <w:sz w:val="20"/>
                <w:szCs w:val="20"/>
                <w:color w:val="auto"/>
              </w:rPr>
            </w:pPr>
            <w:r>
              <w:rPr>
                <w:rFonts w:ascii="Arial" w:cs="Arial" w:eastAsia="Arial" w:hAnsi="Arial"/>
                <w:sz w:val="20"/>
                <w:szCs w:val="20"/>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30,919</w:t>
            </w:r>
          </w:p>
        </w:tc>
        <w:tc>
          <w:tcPr>
            <w:tcW w:w="80" w:type="dxa"/>
            <w:vAlign w:val="bottom"/>
            <w:tcBorders>
              <w:top w:val="single" w:sz="8" w:color="CFF0FC"/>
              <w:bottom w:val="single" w:sz="8" w:color="CFF0FC"/>
            </w:tcBorders>
            <w:shd w:val="clear" w:color="auto" w:fill="CFF0FC"/>
          </w:tcPr>
          <w:p>
            <w:pPr>
              <w:spacing w:after="0"/>
              <w:rPr>
                <w:sz w:val="20"/>
                <w:szCs w:val="20"/>
                <w:color w:val="auto"/>
              </w:rPr>
            </w:pPr>
          </w:p>
        </w:tc>
        <w:tc>
          <w:tcPr>
            <w:tcW w:w="140" w:type="dxa"/>
            <w:vAlign w:val="bottom"/>
            <w:tcBorders>
              <w:top w:val="single" w:sz="8" w:color="CFF0FC"/>
              <w:bottom w:val="single" w:sz="8" w:color="CFF0FC"/>
            </w:tcBorders>
            <w:shd w:val="clear" w:color="auto" w:fill="CFF0FC"/>
          </w:tcPr>
          <w:p>
            <w:pPr>
              <w:spacing w:after="0"/>
              <w:rPr>
                <w:sz w:val="20"/>
                <w:szCs w:val="20"/>
                <w:color w:val="auto"/>
              </w:rPr>
            </w:pPr>
          </w:p>
        </w:tc>
        <w:tc>
          <w:tcPr>
            <w:tcW w:w="260" w:type="dxa"/>
            <w:vAlign w:val="bottom"/>
            <w:tcBorders>
              <w:top w:val="single" w:sz="8" w:color="auto"/>
              <w:bottom w:val="single" w:sz="8" w:color="auto"/>
            </w:tcBorders>
            <w:shd w:val="clear" w:color="auto" w:fill="CFF0FC"/>
          </w:tcPr>
          <w:p>
            <w:pPr>
              <w:jc w:val="right"/>
              <w:ind w:right="61"/>
              <w:spacing w:after="0"/>
              <w:rPr>
                <w:sz w:val="20"/>
                <w:szCs w:val="20"/>
                <w:color w:val="auto"/>
              </w:rPr>
            </w:pPr>
            <w:r>
              <w:rPr>
                <w:rFonts w:ascii="Arial" w:cs="Arial" w:eastAsia="Arial" w:hAnsi="Arial"/>
                <w:sz w:val="20"/>
                <w:szCs w:val="20"/>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26,099</w:t>
            </w:r>
          </w:p>
        </w:tc>
        <w:tc>
          <w:tcPr>
            <w:tcW w:w="200" w:type="dxa"/>
            <w:vAlign w:val="bottom"/>
            <w:tcBorders>
              <w:top w:val="single" w:sz="8" w:color="CFF0FC"/>
              <w:bottom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jc w:val="right"/>
              <w:ind w:right="41"/>
              <w:spacing w:after="0"/>
              <w:rPr>
                <w:sz w:val="20"/>
                <w:szCs w:val="20"/>
                <w:color w:val="auto"/>
              </w:rPr>
            </w:pPr>
            <w:r>
              <w:rPr>
                <w:rFonts w:ascii="Arial" w:cs="Arial" w:eastAsia="Arial" w:hAnsi="Arial"/>
                <w:sz w:val="20"/>
                <w:szCs w:val="20"/>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(1,157)</w:t>
            </w:r>
          </w:p>
        </w:tc>
        <w:tc>
          <w:tcPr>
            <w:tcW w:w="220" w:type="dxa"/>
            <w:vAlign w:val="bottom"/>
            <w:tcBorders>
              <w:top w:val="single" w:sz="8" w:color="CFF0FC"/>
              <w:bottom w:val="single" w:sz="8" w:color="CFF0FC"/>
            </w:tcBorders>
            <w:shd w:val="clear" w:color="auto" w:fill="CFF0FC"/>
          </w:tcPr>
          <w:p>
            <w:pPr>
              <w:spacing w:after="0"/>
              <w:rPr>
                <w:sz w:val="20"/>
                <w:szCs w:val="20"/>
                <w:color w:val="auto"/>
              </w:rPr>
            </w:pPr>
          </w:p>
        </w:tc>
        <w:tc>
          <w:tcPr>
            <w:tcW w:w="220" w:type="dxa"/>
            <w:vAlign w:val="bottom"/>
            <w:tcBorders>
              <w:top w:val="single" w:sz="8" w:color="auto"/>
              <w:bottom w:val="single" w:sz="8" w:color="auto"/>
            </w:tcBorders>
            <w:shd w:val="clear" w:color="auto" w:fill="CFF0FC"/>
          </w:tcPr>
          <w:p>
            <w:pPr>
              <w:jc w:val="right"/>
              <w:ind w:right="21"/>
              <w:spacing w:after="0"/>
              <w:rPr>
                <w:sz w:val="20"/>
                <w:szCs w:val="20"/>
                <w:color w:val="auto"/>
              </w:rPr>
            </w:pPr>
            <w:r>
              <w:rPr>
                <w:rFonts w:ascii="Arial" w:cs="Arial" w:eastAsia="Arial" w:hAnsi="Arial"/>
                <w:sz w:val="20"/>
                <w:szCs w:val="20"/>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(1,629)</w:t>
            </w:r>
          </w:p>
        </w:tc>
        <w:tc>
          <w:tcPr>
            <w:tcW w:w="80" w:type="dxa"/>
            <w:vAlign w:val="bottom"/>
            <w:tcBorders>
              <w:top w:val="single" w:sz="8" w:color="CFF0FC"/>
              <w:bottom w:val="single" w:sz="8" w:color="CFF0FC"/>
            </w:tcBorders>
            <w:shd w:val="clear" w:color="auto" w:fill="CFF0FC"/>
          </w:tcPr>
          <w:p>
            <w:pPr>
              <w:spacing w:after="0"/>
              <w:rPr>
                <w:sz w:val="20"/>
                <w:szCs w:val="20"/>
                <w:color w:val="auto"/>
              </w:rPr>
            </w:pPr>
          </w:p>
        </w:tc>
      </w:tr>
      <w:tr>
        <w:trPr>
          <w:trHeight w:val="20"/>
        </w:trPr>
        <w:tc>
          <w:tcPr>
            <w:tcW w:w="42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3" w:lineRule="exact"/>
        <w:rPr>
          <w:sz w:val="20"/>
          <w:szCs w:val="20"/>
          <w:color w:val="auto"/>
        </w:rPr>
      </w:pPr>
    </w:p>
    <w:p>
      <w:pPr>
        <w:ind w:left="380"/>
        <w:spacing w:after="0"/>
        <w:rPr>
          <w:sz w:val="20"/>
          <w:szCs w:val="20"/>
          <w:color w:val="auto"/>
        </w:rPr>
      </w:pPr>
      <w:r>
        <w:rPr>
          <w:rFonts w:ascii="Arial" w:cs="Arial" w:eastAsia="Arial" w:hAnsi="Arial"/>
          <w:sz w:val="20"/>
          <w:szCs w:val="20"/>
          <w:color w:val="auto"/>
        </w:rPr>
        <w:t>The Corporation currently estimates that it will contribute $53,725,000 to its pension and SERP plans in 2015.</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19 of 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September 30, 2015</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NOTES TO CONSOLIDATED FINANCIAL STATEMENTS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207" w:lineRule="exact"/>
        <w:rPr>
          <w:sz w:val="20"/>
          <w:szCs w:val="20"/>
          <w:color w:val="auto"/>
        </w:rPr>
      </w:pPr>
    </w:p>
    <w:p>
      <w:pPr>
        <w:ind w:left="380" w:right="8000" w:hanging="372"/>
        <w:spacing w:after="0" w:line="394" w:lineRule="auto"/>
        <w:tabs>
          <w:tab w:leader="none" w:pos="378"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u w:val="single" w:color="auto"/>
          <w:color w:val="auto"/>
        </w:rPr>
        <w:t>Legal and Administrative Proceedings</w:t>
      </w:r>
    </w:p>
    <w:p>
      <w:pPr>
        <w:spacing w:after="0" w:line="1" w:lineRule="exact"/>
        <w:rPr>
          <w:rFonts w:ascii="Arial" w:cs="Arial" w:eastAsia="Arial" w:hAnsi="Arial"/>
          <w:sz w:val="18"/>
          <w:szCs w:val="18"/>
          <w:b w:val="1"/>
          <w:bCs w:val="1"/>
          <w:color w:val="auto"/>
        </w:rPr>
      </w:pPr>
    </w:p>
    <w:p>
      <w:pPr>
        <w:jc w:val="both"/>
        <w:ind w:left="380"/>
        <w:spacing w:after="0" w:line="263" w:lineRule="auto"/>
        <w:rPr>
          <w:rFonts w:ascii="Arial" w:cs="Arial" w:eastAsia="Arial" w:hAnsi="Arial"/>
          <w:sz w:val="18"/>
          <w:szCs w:val="18"/>
          <w:b w:val="1"/>
          <w:bCs w:val="1"/>
          <w:color w:val="auto"/>
        </w:rPr>
      </w:pPr>
      <w:r>
        <w:rPr>
          <w:rFonts w:ascii="Arial" w:cs="Arial" w:eastAsia="Arial" w:hAnsi="Arial"/>
          <w:sz w:val="19"/>
          <w:szCs w:val="19"/>
          <w:color w:val="auto"/>
        </w:rPr>
        <w:t>The Corporation is engaged in certain legal and administrative proceedings incidental to its normal business activities. In the opinion of management and counsel, based upon currently-available facts, it is remote that the ultimate outcome of any litigation and other proceedings, including those pertaining to environmental matters, relating to the Corporation and its subsidiaries, will have a material adverse effect on the overall results of the Corporation’s operations, its cash flows or its financial position.</w:t>
      </w:r>
    </w:p>
    <w:p>
      <w:pPr>
        <w:spacing w:after="0" w:line="176" w:lineRule="exact"/>
        <w:rPr>
          <w:rFonts w:ascii="Arial" w:cs="Arial" w:eastAsia="Arial" w:hAnsi="Arial"/>
          <w:sz w:val="18"/>
          <w:szCs w:val="18"/>
          <w:b w:val="1"/>
          <w:bCs w:val="1"/>
          <w:color w:val="auto"/>
        </w:rPr>
      </w:pPr>
    </w:p>
    <w:p>
      <w:pPr>
        <w:ind w:left="380"/>
        <w:spacing w:after="0"/>
        <w:rPr>
          <w:rFonts w:ascii="Arial" w:cs="Arial" w:eastAsia="Arial" w:hAnsi="Arial"/>
          <w:sz w:val="18"/>
          <w:szCs w:val="18"/>
          <w:b w:val="1"/>
          <w:bCs w:val="1"/>
          <w:color w:val="auto"/>
        </w:rPr>
      </w:pPr>
      <w:r>
        <w:rPr>
          <w:rFonts w:ascii="Arial" w:cs="Arial" w:eastAsia="Arial" w:hAnsi="Arial"/>
          <w:sz w:val="20"/>
          <w:szCs w:val="20"/>
          <w:u w:val="single" w:color="auto"/>
          <w:color w:val="auto"/>
        </w:rPr>
        <w:t>Borrowing Arrangements with Affiliate</w:t>
      </w:r>
    </w:p>
    <w:p>
      <w:pPr>
        <w:spacing w:after="0" w:line="107" w:lineRule="exact"/>
        <w:rPr>
          <w:rFonts w:ascii="Arial" w:cs="Arial" w:eastAsia="Arial" w:hAnsi="Arial"/>
          <w:sz w:val="18"/>
          <w:szCs w:val="18"/>
          <w:b w:val="1"/>
          <w:bCs w:val="1"/>
          <w:color w:val="auto"/>
        </w:rPr>
      </w:pPr>
    </w:p>
    <w:p>
      <w:pPr>
        <w:jc w:val="both"/>
        <w:ind w:left="380"/>
        <w:spacing w:after="0" w:line="246" w:lineRule="auto"/>
        <w:rPr>
          <w:rFonts w:ascii="Arial" w:cs="Arial" w:eastAsia="Arial" w:hAnsi="Arial"/>
          <w:sz w:val="18"/>
          <w:szCs w:val="18"/>
          <w:b w:val="1"/>
          <w:bCs w:val="1"/>
          <w:color w:val="auto"/>
        </w:rPr>
      </w:pPr>
      <w:r>
        <w:rPr>
          <w:rFonts w:ascii="Arial" w:cs="Arial" w:eastAsia="Arial" w:hAnsi="Arial"/>
          <w:sz w:val="20"/>
          <w:szCs w:val="20"/>
          <w:color w:val="auto"/>
        </w:rPr>
        <w:t>The Corporation is a co-borrower with an unconsolidated affiliate for a $25,000,000 revolving line of credit agreement with BB&amp;T Bank. The affiliate has agreed to reimburse and indemnify the Corporation for any payments and expenses the Corporation may incur from this agreement. The Corporation holds a lien on the affiliate’s membership interest in a joint venture as collateral for payment under the revolving line of credit.</w:t>
      </w:r>
    </w:p>
    <w:p>
      <w:pPr>
        <w:spacing w:after="0" w:line="83" w:lineRule="exact"/>
        <w:rPr>
          <w:rFonts w:ascii="Arial" w:cs="Arial" w:eastAsia="Arial" w:hAnsi="Arial"/>
          <w:sz w:val="18"/>
          <w:szCs w:val="18"/>
          <w:b w:val="1"/>
          <w:bCs w:val="1"/>
          <w:color w:val="auto"/>
        </w:rPr>
      </w:pPr>
    </w:p>
    <w:p>
      <w:pPr>
        <w:jc w:val="both"/>
        <w:ind w:left="380"/>
        <w:spacing w:after="0" w:line="263" w:lineRule="auto"/>
        <w:rPr>
          <w:rFonts w:ascii="Arial" w:cs="Arial" w:eastAsia="Arial" w:hAnsi="Arial"/>
          <w:sz w:val="18"/>
          <w:szCs w:val="18"/>
          <w:b w:val="1"/>
          <w:bCs w:val="1"/>
          <w:color w:val="auto"/>
        </w:rPr>
      </w:pPr>
      <w:r>
        <w:rPr>
          <w:rFonts w:ascii="Arial" w:cs="Arial" w:eastAsia="Arial" w:hAnsi="Arial"/>
          <w:sz w:val="19"/>
          <w:szCs w:val="19"/>
          <w:color w:val="auto"/>
        </w:rPr>
        <w:t>In 2013, the Corporation loaned $3,402,000 to this unconsolidated affiliate to repay in full the outstanding balance of the affiliate’s loan with Bank of America, N.A. in 2013 and entered into a loan agreement with the affiliate for monthly repayment of principal and interest of that loan amount. The loan was repaid in full during first quarter 2015. As of December 31, 2014 and September 30, 2014, the amounts due from the affiliate related to this loan was $1,808,000 and $1,605,000, respectively.</w:t>
      </w:r>
    </w:p>
    <w:p>
      <w:pPr>
        <w:spacing w:after="0" w:line="68" w:lineRule="exact"/>
        <w:rPr>
          <w:rFonts w:ascii="Arial" w:cs="Arial" w:eastAsia="Arial" w:hAnsi="Arial"/>
          <w:sz w:val="18"/>
          <w:szCs w:val="18"/>
          <w:b w:val="1"/>
          <w:bCs w:val="1"/>
          <w:color w:val="auto"/>
        </w:rPr>
      </w:pPr>
    </w:p>
    <w:p>
      <w:pPr>
        <w:ind w:left="380"/>
        <w:spacing w:after="0" w:line="260" w:lineRule="auto"/>
        <w:rPr>
          <w:rFonts w:ascii="Arial" w:cs="Arial" w:eastAsia="Arial" w:hAnsi="Arial"/>
          <w:sz w:val="18"/>
          <w:szCs w:val="18"/>
          <w:b w:val="1"/>
          <w:bCs w:val="1"/>
          <w:color w:val="auto"/>
        </w:rPr>
      </w:pPr>
      <w:r>
        <w:rPr>
          <w:rFonts w:ascii="Arial" w:cs="Arial" w:eastAsia="Arial" w:hAnsi="Arial"/>
          <w:sz w:val="20"/>
          <w:szCs w:val="20"/>
          <w:color w:val="auto"/>
        </w:rPr>
        <w:t>In addition, the Corporation has a $6,000,000 outstanding loan due from this unconsolidated affiliate as of September 30, 2015, December 31, 2014 and September 30, 2014.</w:t>
      </w:r>
    </w:p>
    <w:p>
      <w:pPr>
        <w:spacing w:after="0" w:line="176" w:lineRule="exact"/>
        <w:rPr>
          <w:rFonts w:ascii="Arial" w:cs="Arial" w:eastAsia="Arial" w:hAnsi="Arial"/>
          <w:sz w:val="18"/>
          <w:szCs w:val="18"/>
          <w:b w:val="1"/>
          <w:bCs w:val="1"/>
          <w:color w:val="auto"/>
        </w:rPr>
      </w:pPr>
    </w:p>
    <w:p>
      <w:pPr>
        <w:ind w:left="380"/>
        <w:spacing w:after="0"/>
        <w:rPr>
          <w:rFonts w:ascii="Arial" w:cs="Arial" w:eastAsia="Arial" w:hAnsi="Arial"/>
          <w:sz w:val="18"/>
          <w:szCs w:val="18"/>
          <w:b w:val="1"/>
          <w:bCs w:val="1"/>
          <w:color w:val="auto"/>
        </w:rPr>
      </w:pPr>
      <w:r>
        <w:rPr>
          <w:rFonts w:ascii="Arial" w:cs="Arial" w:eastAsia="Arial" w:hAnsi="Arial"/>
          <w:sz w:val="20"/>
          <w:szCs w:val="20"/>
          <w:u w:val="single" w:color="auto"/>
          <w:color w:val="auto"/>
        </w:rPr>
        <w:t>Employees</w:t>
      </w:r>
    </w:p>
    <w:p>
      <w:pPr>
        <w:spacing w:after="0" w:line="107" w:lineRule="exact"/>
        <w:rPr>
          <w:rFonts w:ascii="Arial" w:cs="Arial" w:eastAsia="Arial" w:hAnsi="Arial"/>
          <w:sz w:val="18"/>
          <w:szCs w:val="18"/>
          <w:b w:val="1"/>
          <w:bCs w:val="1"/>
          <w:color w:val="auto"/>
        </w:rPr>
      </w:pPr>
    </w:p>
    <w:p>
      <w:pPr>
        <w:jc w:val="both"/>
        <w:ind w:left="380"/>
        <w:spacing w:after="0" w:line="244" w:lineRule="auto"/>
        <w:rPr>
          <w:rFonts w:ascii="Arial" w:cs="Arial" w:eastAsia="Arial" w:hAnsi="Arial"/>
          <w:sz w:val="18"/>
          <w:szCs w:val="18"/>
          <w:b w:val="1"/>
          <w:bCs w:val="1"/>
          <w:color w:val="auto"/>
        </w:rPr>
      </w:pPr>
      <w:r>
        <w:rPr>
          <w:rFonts w:ascii="Arial" w:cs="Arial" w:eastAsia="Arial" w:hAnsi="Arial"/>
          <w:sz w:val="20"/>
          <w:szCs w:val="20"/>
          <w:color w:val="auto"/>
        </w:rPr>
        <w:t>Approximately 10% of the Corporation’s employees are represented by a labor union. All such employees are hourly employees. The Corporation maintains collective bargaining agreements relating to the union employees with the Aggregates business and Magnesia Specialties segments. For the Magnesia Specialties segment located in Manistee, Michigan and Woodville, Ohio, 100% of its hourly employees are represented by labor unions. The Manistee collective bargaining agreement expires in August 2019, and the Woodville collective bargaining agreement expires in May 2018.</w:t>
      </w:r>
    </w:p>
    <w:p>
      <w:pPr>
        <w:spacing w:after="0" w:line="297" w:lineRule="exact"/>
        <w:rPr>
          <w:rFonts w:ascii="Arial" w:cs="Arial" w:eastAsia="Arial" w:hAnsi="Arial"/>
          <w:sz w:val="18"/>
          <w:szCs w:val="18"/>
          <w:b w:val="1"/>
          <w:bCs w:val="1"/>
          <w:color w:val="auto"/>
        </w:rPr>
      </w:pPr>
    </w:p>
    <w:p>
      <w:pPr>
        <w:ind w:left="380" w:hanging="372"/>
        <w:spacing w:after="0"/>
        <w:tabs>
          <w:tab w:leader="none" w:pos="380" w:val="left"/>
        </w:tabs>
        <w:numPr>
          <w:ilvl w:val="0"/>
          <w:numId w:val="16"/>
        </w:numPr>
        <w:rPr>
          <w:rFonts w:ascii="Arial" w:cs="Arial" w:eastAsia="Arial" w:hAnsi="Arial"/>
          <w:sz w:val="20"/>
          <w:szCs w:val="20"/>
          <w:b w:val="1"/>
          <w:bCs w:val="1"/>
          <w:color w:val="auto"/>
        </w:rPr>
      </w:pPr>
      <w:r>
        <w:rPr>
          <w:rFonts w:ascii="Arial" w:cs="Arial" w:eastAsia="Arial" w:hAnsi="Arial"/>
          <w:sz w:val="20"/>
          <w:szCs w:val="20"/>
          <w:b w:val="1"/>
          <w:bCs w:val="1"/>
          <w:color w:val="auto"/>
        </w:rPr>
        <w:t>Business Segments</w:t>
      </w:r>
    </w:p>
    <w:p>
      <w:pPr>
        <w:spacing w:after="0" w:line="113" w:lineRule="exact"/>
        <w:rPr>
          <w:rFonts w:ascii="Arial" w:cs="Arial" w:eastAsia="Arial" w:hAnsi="Arial"/>
          <w:sz w:val="20"/>
          <w:szCs w:val="20"/>
          <w:b w:val="1"/>
          <w:bCs w:val="1"/>
          <w:color w:val="auto"/>
        </w:rPr>
      </w:pPr>
    </w:p>
    <w:p>
      <w:pPr>
        <w:jc w:val="both"/>
        <w:ind w:left="380"/>
        <w:spacing w:after="0" w:line="244" w:lineRule="auto"/>
        <w:rPr>
          <w:rFonts w:ascii="Arial" w:cs="Arial" w:eastAsia="Arial" w:hAnsi="Arial"/>
          <w:sz w:val="20"/>
          <w:szCs w:val="20"/>
          <w:b w:val="1"/>
          <w:bCs w:val="1"/>
          <w:color w:val="auto"/>
        </w:rPr>
      </w:pPr>
      <w:r>
        <w:rPr>
          <w:rFonts w:ascii="Arial" w:cs="Arial" w:eastAsia="Arial" w:hAnsi="Arial"/>
          <w:sz w:val="20"/>
          <w:szCs w:val="20"/>
          <w:color w:val="auto"/>
        </w:rPr>
        <w:t>The Aggregates business contains three reportable business segments: Mid-America Group, Southeast Group and West Group. The Corporation also has Cement and Magnesia Specialties segments. Corporate loss from operations primarily includes depreciation on capitalized interest, expenses for certain corporate administrative functions, business development and integration expenses, unallocated corporate expenses and other nonrecurring and/or non-operational adjustments. Intersegment sales represent net sales from one segment to another segment.</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20 of 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0" w:name="page21"/>
    <w:bookmarkEnd w:id="20"/>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September 30, 2015</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NOTES TO CONSOLIDATED FINANCIAL STATEMENTS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207" w:lineRule="exact"/>
        <w:rPr>
          <w:sz w:val="20"/>
          <w:szCs w:val="20"/>
          <w:color w:val="auto"/>
        </w:rPr>
      </w:pPr>
    </w:p>
    <w:p>
      <w:pPr>
        <w:ind w:left="380" w:hanging="372"/>
        <w:spacing w:after="0"/>
        <w:tabs>
          <w:tab w:leader="none" w:pos="380" w:val="left"/>
        </w:tabs>
        <w:numPr>
          <w:ilvl w:val="0"/>
          <w:numId w:val="17"/>
        </w:numPr>
        <w:rPr>
          <w:rFonts w:ascii="Arial" w:cs="Arial" w:eastAsia="Arial" w:hAnsi="Arial"/>
          <w:sz w:val="20"/>
          <w:szCs w:val="20"/>
          <w:b w:val="1"/>
          <w:bCs w:val="1"/>
          <w:color w:val="auto"/>
        </w:rPr>
      </w:pPr>
      <w:r>
        <w:rPr>
          <w:rFonts w:ascii="Arial" w:cs="Arial" w:eastAsia="Arial" w:hAnsi="Arial"/>
          <w:sz w:val="20"/>
          <w:szCs w:val="20"/>
          <w:b w:val="1"/>
          <w:bCs w:val="1"/>
          <w:color w:val="auto"/>
        </w:rPr>
        <w:t>Business Segments (Continued)</w:t>
      </w:r>
    </w:p>
    <w:p>
      <w:pPr>
        <w:spacing w:after="0" w:line="113" w:lineRule="exact"/>
        <w:rPr>
          <w:rFonts w:ascii="Arial" w:cs="Arial" w:eastAsia="Arial" w:hAnsi="Arial"/>
          <w:sz w:val="20"/>
          <w:szCs w:val="20"/>
          <w:b w:val="1"/>
          <w:bCs w:val="1"/>
          <w:color w:val="auto"/>
        </w:rPr>
      </w:pPr>
    </w:p>
    <w:p>
      <w:pPr>
        <w:jc w:val="both"/>
        <w:ind w:left="380"/>
        <w:spacing w:after="0" w:line="250" w:lineRule="auto"/>
        <w:rPr>
          <w:rFonts w:ascii="Arial" w:cs="Arial" w:eastAsia="Arial" w:hAnsi="Arial"/>
          <w:sz w:val="20"/>
          <w:szCs w:val="20"/>
          <w:b w:val="1"/>
          <w:bCs w:val="1"/>
          <w:color w:val="auto"/>
        </w:rPr>
      </w:pPr>
      <w:r>
        <w:rPr>
          <w:rFonts w:ascii="Arial" w:cs="Arial" w:eastAsia="Arial" w:hAnsi="Arial"/>
          <w:sz w:val="20"/>
          <w:szCs w:val="20"/>
          <w:color w:val="auto"/>
        </w:rPr>
        <w:t>The following tables display selected financial data for continuing operations for the Corporation’s reportable business segments. Total revenues and net sales in the table below, as well as the consolidated statements of earnings and comprehensive earnings, do not include intersegment sales as these sales are eliminated.</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560" w:type="dxa"/>
            <w:vAlign w:val="bottom"/>
            <w:gridSpan w:val="6"/>
          </w:tcPr>
          <w:p>
            <w:pPr>
              <w:jc w:val="right"/>
              <w:ind w:right="680"/>
              <w:spacing w:after="0"/>
              <w:rPr>
                <w:sz w:val="20"/>
                <w:szCs w:val="20"/>
                <w:color w:val="auto"/>
              </w:rPr>
            </w:pPr>
            <w:r>
              <w:rPr>
                <w:rFonts w:ascii="Arial" w:cs="Arial" w:eastAsia="Arial" w:hAnsi="Arial"/>
                <w:sz w:val="20"/>
                <w:szCs w:val="20"/>
                <w:color w:val="auto"/>
                <w:w w:val="99"/>
              </w:rPr>
              <w:t>Three Months Ended</w:t>
            </w:r>
          </w:p>
        </w:tc>
        <w:tc>
          <w:tcPr>
            <w:tcW w:w="240" w:type="dxa"/>
            <w:vAlign w:val="bottom"/>
          </w:tcPr>
          <w:p>
            <w:pPr>
              <w:spacing w:after="0"/>
              <w:rPr>
                <w:sz w:val="21"/>
                <w:szCs w:val="21"/>
                <w:color w:val="auto"/>
              </w:rPr>
            </w:pPr>
          </w:p>
        </w:tc>
        <w:tc>
          <w:tcPr>
            <w:tcW w:w="2500" w:type="dxa"/>
            <w:vAlign w:val="bottom"/>
            <w:gridSpan w:val="5"/>
          </w:tcPr>
          <w:p>
            <w:pPr>
              <w:jc w:val="right"/>
              <w:ind w:right="640"/>
              <w:spacing w:after="0"/>
              <w:rPr>
                <w:sz w:val="20"/>
                <w:szCs w:val="20"/>
                <w:color w:val="auto"/>
              </w:rPr>
            </w:pPr>
            <w:r>
              <w:rPr>
                <w:rFonts w:ascii="Arial" w:cs="Arial" w:eastAsia="Arial" w:hAnsi="Arial"/>
                <w:sz w:val="20"/>
                <w:szCs w:val="20"/>
                <w:color w:val="auto"/>
              </w:rPr>
              <w:t>Nine Months Ended</w:t>
            </w: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560" w:type="dxa"/>
            <w:vAlign w:val="bottom"/>
            <w:gridSpan w:val="6"/>
          </w:tcPr>
          <w:p>
            <w:pPr>
              <w:jc w:val="right"/>
              <w:ind w:right="940"/>
              <w:spacing w:after="0"/>
              <w:rPr>
                <w:sz w:val="20"/>
                <w:szCs w:val="20"/>
                <w:color w:val="auto"/>
              </w:rPr>
            </w:pPr>
            <w:r>
              <w:rPr>
                <w:rFonts w:ascii="Arial" w:cs="Arial" w:eastAsia="Arial" w:hAnsi="Arial"/>
                <w:sz w:val="20"/>
                <w:szCs w:val="20"/>
                <w:color w:val="auto"/>
              </w:rPr>
              <w:t>September 30,</w:t>
            </w:r>
          </w:p>
        </w:tc>
        <w:tc>
          <w:tcPr>
            <w:tcW w:w="240" w:type="dxa"/>
            <w:vAlign w:val="bottom"/>
          </w:tcPr>
          <w:p>
            <w:pPr>
              <w:spacing w:after="0"/>
              <w:rPr>
                <w:sz w:val="21"/>
                <w:szCs w:val="21"/>
                <w:color w:val="auto"/>
              </w:rPr>
            </w:pPr>
          </w:p>
        </w:tc>
        <w:tc>
          <w:tcPr>
            <w:tcW w:w="2500" w:type="dxa"/>
            <w:vAlign w:val="bottom"/>
            <w:gridSpan w:val="5"/>
          </w:tcPr>
          <w:p>
            <w:pPr>
              <w:jc w:val="right"/>
              <w:ind w:right="860"/>
              <w:spacing w:after="0"/>
              <w:rPr>
                <w:sz w:val="20"/>
                <w:szCs w:val="20"/>
                <w:color w:val="auto"/>
              </w:rPr>
            </w:pPr>
            <w:r>
              <w:rPr>
                <w:rFonts w:ascii="Arial" w:cs="Arial" w:eastAsia="Arial" w:hAnsi="Arial"/>
                <w:sz w:val="20"/>
                <w:szCs w:val="20"/>
                <w:color w:val="auto"/>
              </w:rPr>
              <w:t>September 30,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301"/>
              <w:spacing w:after="0"/>
              <w:rPr>
                <w:sz w:val="20"/>
                <w:szCs w:val="20"/>
                <w:color w:val="auto"/>
              </w:rPr>
            </w:pPr>
            <w:r>
              <w:rPr>
                <w:rFonts w:ascii="Arial" w:cs="Arial" w:eastAsia="Arial" w:hAnsi="Arial"/>
                <w:sz w:val="20"/>
                <w:szCs w:val="20"/>
                <w:color w:val="auto"/>
              </w:rPr>
              <w:t>2015</w:t>
            </w:r>
          </w:p>
        </w:tc>
        <w:tc>
          <w:tcPr>
            <w:tcW w:w="140" w:type="dxa"/>
            <w:vAlign w:val="bottom"/>
            <w:tcBorders>
              <w:top w:val="single" w:sz="8" w:color="auto"/>
              <w:bottom w:val="single" w:sz="8" w:color="auto"/>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20"/>
                <w:szCs w:val="20"/>
                <w:color w:val="auto"/>
              </w:rPr>
              <w:t>2014</w:t>
            </w:r>
          </w:p>
        </w:tc>
        <w:tc>
          <w:tcPr>
            <w:tcW w:w="220" w:type="dxa"/>
            <w:vAlign w:val="bottom"/>
            <w:tcBorders>
              <w:bottom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301"/>
              <w:spacing w:after="0"/>
              <w:rPr>
                <w:sz w:val="20"/>
                <w:szCs w:val="20"/>
                <w:color w:val="auto"/>
              </w:rPr>
            </w:pPr>
            <w:r>
              <w:rPr>
                <w:rFonts w:ascii="Arial" w:cs="Arial" w:eastAsia="Arial" w:hAnsi="Arial"/>
                <w:sz w:val="20"/>
                <w:szCs w:val="20"/>
                <w:color w:val="auto"/>
              </w:rPr>
              <w:t>2015</w:t>
            </w:r>
          </w:p>
        </w:tc>
        <w:tc>
          <w:tcPr>
            <w:tcW w:w="220" w:type="dxa"/>
            <w:vAlign w:val="bottom"/>
            <w:tcBorders>
              <w:top w:val="single" w:sz="8" w:color="auto"/>
              <w:bottom w:val="single" w:sz="8" w:color="auto"/>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321"/>
              <w:spacing w:after="0"/>
              <w:rPr>
                <w:sz w:val="20"/>
                <w:szCs w:val="20"/>
                <w:color w:val="auto"/>
              </w:rPr>
            </w:pPr>
            <w:r>
              <w:rPr>
                <w:rFonts w:ascii="Arial" w:cs="Arial" w:eastAsia="Arial" w:hAnsi="Arial"/>
                <w:sz w:val="20"/>
                <w:szCs w:val="20"/>
                <w:color w:val="auto"/>
              </w:rPr>
              <w:t>2014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4260" w:type="dxa"/>
            <w:vAlign w:val="bottom"/>
            <w:gridSpan w:val="5"/>
            <w:vMerge w:val="restart"/>
          </w:tcPr>
          <w:p>
            <w:pPr>
              <w:spacing w:after="0"/>
              <w:rPr>
                <w:sz w:val="20"/>
                <w:szCs w:val="20"/>
                <w:color w:val="auto"/>
              </w:rPr>
            </w:pPr>
            <w:r>
              <w:rPr>
                <w:rFonts w:ascii="Arial" w:cs="Arial" w:eastAsia="Arial" w:hAnsi="Arial"/>
                <w:sz w:val="20"/>
                <w:szCs w:val="20"/>
                <w:color w:val="auto"/>
              </w:rPr>
              <w:t>Total revenues:</w:t>
            </w:r>
          </w:p>
        </w:tc>
        <w:tc>
          <w:tcPr>
            <w:tcW w:w="16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560" w:type="dxa"/>
            <w:vAlign w:val="bottom"/>
            <w:gridSpan w:val="5"/>
          </w:tcPr>
          <w:p>
            <w:pPr>
              <w:ind w:left="140"/>
              <w:spacing w:after="0"/>
              <w:rPr>
                <w:sz w:val="20"/>
                <w:szCs w:val="20"/>
                <w:color w:val="auto"/>
              </w:rPr>
            </w:pPr>
            <w:r>
              <w:rPr>
                <w:rFonts w:ascii="Arial" w:cs="Arial" w:eastAsia="Arial" w:hAnsi="Arial"/>
                <w:sz w:val="20"/>
                <w:szCs w:val="20"/>
                <w:i w:val="1"/>
                <w:iCs w:val="1"/>
                <w:color w:val="auto"/>
              </w:rPr>
              <w:t>(Dollars in Thousands)</w:t>
            </w: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4260" w:type="dxa"/>
            <w:vAlign w:val="bottom"/>
            <w:gridSpan w:val="5"/>
            <w:vMerge w:val="continue"/>
          </w:tcPr>
          <w:p>
            <w:pPr>
              <w:spacing w:after="0"/>
              <w:rPr>
                <w:sz w:val="16"/>
                <w:szCs w:val="16"/>
                <w:color w:val="auto"/>
              </w:rPr>
            </w:pPr>
          </w:p>
        </w:tc>
        <w:tc>
          <w:tcPr>
            <w:tcW w:w="1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vMerge w:val="continue"/>
          </w:tcPr>
          <w:p>
            <w:pPr>
              <w:spacing w:after="0"/>
              <w:rPr>
                <w:sz w:val="21"/>
                <w:szCs w:val="21"/>
                <w:color w:val="auto"/>
              </w:rPr>
            </w:pPr>
          </w:p>
        </w:tc>
        <w:tc>
          <w:tcPr>
            <w:tcW w:w="4240" w:type="dxa"/>
            <w:vAlign w:val="bottom"/>
            <w:gridSpan w:val="4"/>
            <w:shd w:val="clear" w:color="auto" w:fill="CFF0FC"/>
          </w:tcPr>
          <w:p>
            <w:pPr>
              <w:spacing w:after="0"/>
              <w:rPr>
                <w:sz w:val="20"/>
                <w:szCs w:val="20"/>
                <w:color w:val="auto"/>
              </w:rPr>
            </w:pPr>
            <w:r>
              <w:rPr>
                <w:rFonts w:ascii="Arial" w:cs="Arial" w:eastAsia="Arial" w:hAnsi="Arial"/>
                <w:sz w:val="20"/>
                <w:szCs w:val="20"/>
                <w:color w:val="auto"/>
              </w:rPr>
              <w:t>Mid-America Group</w:t>
            </w:r>
          </w:p>
        </w:tc>
        <w:tc>
          <w:tcPr>
            <w:tcW w:w="1860" w:type="dxa"/>
            <w:vAlign w:val="bottom"/>
            <w:gridSpan w:val="2"/>
            <w:shd w:val="clear" w:color="auto" w:fill="CFF0FC"/>
          </w:tcPr>
          <w:p>
            <w:pPr>
              <w:jc w:val="right"/>
              <w:ind w:right="41"/>
              <w:spacing w:after="0"/>
              <w:rPr>
                <w:sz w:val="20"/>
                <w:szCs w:val="20"/>
                <w:color w:val="auto"/>
              </w:rPr>
            </w:pPr>
            <w:r>
              <w:rPr>
                <w:rFonts w:ascii="Arial" w:cs="Arial" w:eastAsia="Arial" w:hAnsi="Arial"/>
                <w:sz w:val="20"/>
                <w:szCs w:val="20"/>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289,735</w:t>
            </w:r>
          </w:p>
        </w:tc>
        <w:tc>
          <w:tcPr>
            <w:tcW w:w="140" w:type="dxa"/>
            <w:vAlign w:val="bottom"/>
            <w:shd w:val="clear" w:color="auto" w:fill="CFF0FC"/>
          </w:tcPr>
          <w:p>
            <w:pPr>
              <w:spacing w:after="0"/>
              <w:rPr>
                <w:sz w:val="21"/>
                <w:szCs w:val="21"/>
                <w:color w:val="auto"/>
              </w:rPr>
            </w:pPr>
          </w:p>
        </w:tc>
        <w:tc>
          <w:tcPr>
            <w:tcW w:w="320" w:type="dxa"/>
            <w:vAlign w:val="bottom"/>
            <w:gridSpan w:val="2"/>
            <w:shd w:val="clear" w:color="auto" w:fill="CFF0FC"/>
          </w:tcPr>
          <w:p>
            <w:pPr>
              <w:jc w:val="right"/>
              <w:ind w:right="41"/>
              <w:spacing w:after="0"/>
              <w:rPr>
                <w:sz w:val="20"/>
                <w:szCs w:val="20"/>
                <w:color w:val="auto"/>
              </w:rPr>
            </w:pPr>
            <w:r>
              <w:rPr>
                <w:rFonts w:ascii="Arial" w:cs="Arial" w:eastAsia="Arial" w:hAnsi="Arial"/>
                <w:sz w:val="20"/>
                <w:szCs w:val="20"/>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271,096</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688,217</w:t>
            </w: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627,331</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40" w:type="dxa"/>
            <w:vAlign w:val="bottom"/>
            <w:gridSpan w:val="4"/>
          </w:tcPr>
          <w:p>
            <w:pPr>
              <w:spacing w:after="0"/>
              <w:rPr>
                <w:sz w:val="20"/>
                <w:szCs w:val="20"/>
                <w:color w:val="auto"/>
              </w:rPr>
            </w:pPr>
            <w:r>
              <w:rPr>
                <w:rFonts w:ascii="Arial" w:cs="Arial" w:eastAsia="Arial" w:hAnsi="Arial"/>
                <w:sz w:val="20"/>
                <w:szCs w:val="20"/>
                <w:color w:val="auto"/>
              </w:rPr>
              <w:t>Southeast Group</w:t>
            </w:r>
          </w:p>
        </w:tc>
        <w:tc>
          <w:tcPr>
            <w:tcW w:w="16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82,949</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73,217</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229,144</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208,205</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40" w:type="dxa"/>
            <w:vAlign w:val="bottom"/>
            <w:gridSpan w:val="4"/>
            <w:shd w:val="clear" w:color="auto" w:fill="CFF0FC"/>
          </w:tcPr>
          <w:p>
            <w:pPr>
              <w:spacing w:after="0"/>
              <w:rPr>
                <w:sz w:val="20"/>
                <w:szCs w:val="20"/>
                <w:color w:val="auto"/>
              </w:rPr>
            </w:pPr>
            <w:r>
              <w:rPr>
                <w:rFonts w:ascii="Arial" w:cs="Arial" w:eastAsia="Arial" w:hAnsi="Arial"/>
                <w:sz w:val="20"/>
                <w:szCs w:val="20"/>
                <w:color w:val="auto"/>
              </w:rPr>
              <w:t>West Group</w:t>
            </w:r>
          </w:p>
        </w:tc>
        <w:tc>
          <w:tcPr>
            <w:tcW w:w="1620" w:type="dxa"/>
            <w:vAlign w:val="bottom"/>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531,256</w:t>
            </w:r>
          </w:p>
        </w:tc>
        <w:tc>
          <w:tcPr>
            <w:tcW w:w="1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479,323</w:t>
            </w:r>
          </w:p>
        </w:tc>
        <w:tc>
          <w:tcPr>
            <w:tcW w:w="220" w:type="dxa"/>
            <w:vAlign w:val="bottom"/>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1,263,063</w:t>
            </w:r>
          </w:p>
        </w:tc>
        <w:tc>
          <w:tcPr>
            <w:tcW w:w="220" w:type="dxa"/>
            <w:vAlign w:val="bottom"/>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956,921</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260" w:type="dxa"/>
            <w:vAlign w:val="bottom"/>
            <w:gridSpan w:val="5"/>
          </w:tcPr>
          <w:p>
            <w:pPr>
              <w:spacing w:after="0"/>
              <w:rPr>
                <w:sz w:val="20"/>
                <w:szCs w:val="20"/>
                <w:color w:val="auto"/>
              </w:rPr>
            </w:pPr>
            <w:r>
              <w:rPr>
                <w:rFonts w:ascii="Arial" w:cs="Arial" w:eastAsia="Arial" w:hAnsi="Arial"/>
                <w:sz w:val="20"/>
                <w:szCs w:val="20"/>
                <w:color w:val="auto"/>
              </w:rPr>
              <w:t>Total Aggregates Business</w:t>
            </w:r>
          </w:p>
        </w:tc>
        <w:tc>
          <w:tcPr>
            <w:tcW w:w="1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903,940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823,636</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2,180,424</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1,792,457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40" w:type="dxa"/>
            <w:vAlign w:val="bottom"/>
            <w:tcBorders>
              <w:top w:val="single" w:sz="8" w:color="CFF0FC"/>
            </w:tcBorders>
            <w:gridSpan w:val="4"/>
            <w:shd w:val="clear" w:color="auto" w:fill="CFF0FC"/>
          </w:tcPr>
          <w:p>
            <w:pPr>
              <w:spacing w:after="0"/>
              <w:rPr>
                <w:sz w:val="20"/>
                <w:szCs w:val="20"/>
                <w:color w:val="auto"/>
              </w:rPr>
            </w:pPr>
            <w:r>
              <w:rPr>
                <w:rFonts w:ascii="Arial" w:cs="Arial" w:eastAsia="Arial" w:hAnsi="Arial"/>
                <w:sz w:val="20"/>
                <w:szCs w:val="20"/>
                <w:color w:val="auto"/>
              </w:rPr>
              <w:t>Cement</w:t>
            </w:r>
          </w:p>
        </w:tc>
        <w:tc>
          <w:tcPr>
            <w:tcW w:w="1620" w:type="dxa"/>
            <w:vAlign w:val="bottom"/>
            <w:tcBorders>
              <w:top w:val="single" w:sz="8" w:color="CFF0FC"/>
            </w:tcBorders>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116,135</w:t>
            </w:r>
          </w:p>
        </w:tc>
        <w:tc>
          <w:tcPr>
            <w:tcW w:w="140" w:type="dxa"/>
            <w:vAlign w:val="bottom"/>
            <w:tcBorders>
              <w:top w:val="single" w:sz="8" w:color="CFF0FC"/>
            </w:tcBorders>
            <w:shd w:val="clear" w:color="auto" w:fill="CFF0FC"/>
          </w:tcPr>
          <w:p>
            <w:pPr>
              <w:spacing w:after="0"/>
              <w:rPr>
                <w:sz w:val="20"/>
                <w:szCs w:val="20"/>
                <w:color w:val="auto"/>
              </w:rPr>
            </w:pPr>
          </w:p>
        </w:tc>
        <w:tc>
          <w:tcPr>
            <w:tcW w:w="80" w:type="dxa"/>
            <w:vAlign w:val="bottom"/>
            <w:tcBorders>
              <w:top w:val="single" w:sz="8" w:color="CFF0FC"/>
            </w:tcBorders>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115,743</w:t>
            </w:r>
          </w:p>
        </w:tc>
        <w:tc>
          <w:tcPr>
            <w:tcW w:w="220" w:type="dxa"/>
            <w:vAlign w:val="bottom"/>
            <w:tcBorders>
              <w:top w:val="single" w:sz="8" w:color="CFF0FC"/>
            </w:tcBorders>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324,134</w:t>
            </w:r>
          </w:p>
        </w:tc>
        <w:tc>
          <w:tcPr>
            <w:tcW w:w="220" w:type="dxa"/>
            <w:vAlign w:val="bottom"/>
            <w:tcBorders>
              <w:top w:val="single" w:sz="8" w:color="CFF0FC"/>
            </w:tcBorders>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spacing w:after="0"/>
              <w:rPr>
                <w:sz w:val="20"/>
                <w:szCs w:val="20"/>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115,743</w:t>
            </w:r>
          </w:p>
        </w:tc>
        <w:tc>
          <w:tcPr>
            <w:tcW w:w="120" w:type="dxa"/>
            <w:vAlign w:val="bottom"/>
            <w:tcBorders>
              <w:top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40" w:type="dxa"/>
            <w:vAlign w:val="bottom"/>
            <w:tcBorders>
              <w:bottom w:val="single" w:sz="8" w:color="CFF0FC"/>
            </w:tcBorders>
            <w:gridSpan w:val="4"/>
          </w:tcPr>
          <w:p>
            <w:pPr>
              <w:spacing w:after="0"/>
              <w:rPr>
                <w:sz w:val="20"/>
                <w:szCs w:val="20"/>
                <w:color w:val="auto"/>
              </w:rPr>
            </w:pPr>
            <w:r>
              <w:rPr>
                <w:rFonts w:ascii="Arial" w:cs="Arial" w:eastAsia="Arial" w:hAnsi="Arial"/>
                <w:sz w:val="20"/>
                <w:szCs w:val="20"/>
                <w:color w:val="auto"/>
              </w:rPr>
              <w:t>Magnesia Specialties</w:t>
            </w:r>
          </w:p>
        </w:tc>
        <w:tc>
          <w:tcPr>
            <w:tcW w:w="1620" w:type="dxa"/>
            <w:vAlign w:val="bottom"/>
            <w:tcBorders>
              <w:bottom w:val="single" w:sz="8" w:color="CFF0FC"/>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62,174</w:t>
            </w:r>
          </w:p>
        </w:tc>
        <w:tc>
          <w:tcPr>
            <w:tcW w:w="14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64,344</w:t>
            </w:r>
          </w:p>
        </w:tc>
        <w:tc>
          <w:tcPr>
            <w:tcW w:w="220" w:type="dxa"/>
            <w:vAlign w:val="bottom"/>
            <w:tcBorders>
              <w:bottom w:val="single" w:sz="8" w:color="CFF0FC"/>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190,456</w:t>
            </w:r>
          </w:p>
        </w:tc>
        <w:tc>
          <w:tcPr>
            <w:tcW w:w="220" w:type="dxa"/>
            <w:vAlign w:val="bottom"/>
            <w:tcBorders>
              <w:bottom w:val="single" w:sz="8" w:color="CFF0FC"/>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193,378</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40" w:type="dxa"/>
            <w:vAlign w:val="bottom"/>
            <w:tcBorders>
              <w:bottom w:val="single" w:sz="8" w:color="CFF0FC"/>
            </w:tcBorders>
            <w:gridSpan w:val="4"/>
            <w:shd w:val="clear" w:color="auto" w:fill="CFF0FC"/>
          </w:tcPr>
          <w:p>
            <w:pPr>
              <w:spacing w:after="0"/>
              <w:rPr>
                <w:sz w:val="20"/>
                <w:szCs w:val="20"/>
                <w:color w:val="auto"/>
              </w:rPr>
            </w:pPr>
            <w:r>
              <w:rPr>
                <w:rFonts w:ascii="Arial" w:cs="Arial" w:eastAsia="Arial" w:hAnsi="Arial"/>
                <w:sz w:val="20"/>
                <w:szCs w:val="20"/>
                <w:color w:val="auto"/>
              </w:rPr>
              <w:t>Total</w:t>
            </w:r>
          </w:p>
        </w:tc>
        <w:tc>
          <w:tcPr>
            <w:tcW w:w="162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20"/>
                <w:szCs w:val="20"/>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1,082,249</w:t>
            </w:r>
          </w:p>
        </w:tc>
        <w:tc>
          <w:tcPr>
            <w:tcW w:w="14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20"/>
                <w:szCs w:val="20"/>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1,003,723</w:t>
            </w:r>
          </w:p>
        </w:tc>
        <w:tc>
          <w:tcPr>
            <w:tcW w:w="22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20"/>
                <w:szCs w:val="20"/>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2,695,014</w:t>
            </w:r>
          </w:p>
        </w:tc>
        <w:tc>
          <w:tcPr>
            <w:tcW w:w="22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jc w:val="right"/>
              <w:ind w:right="61"/>
              <w:spacing w:after="0"/>
              <w:rPr>
                <w:sz w:val="20"/>
                <w:szCs w:val="20"/>
                <w:color w:val="auto"/>
              </w:rPr>
            </w:pPr>
            <w:r>
              <w:rPr>
                <w:rFonts w:ascii="Arial" w:cs="Arial" w:eastAsia="Arial" w:hAnsi="Arial"/>
                <w:sz w:val="20"/>
                <w:szCs w:val="20"/>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2,101,578</w:t>
            </w:r>
          </w:p>
        </w:tc>
        <w:tc>
          <w:tcPr>
            <w:tcW w:w="12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vMerge w:val="restart"/>
          </w:tcPr>
          <w:p>
            <w:pPr>
              <w:spacing w:after="0"/>
              <w:rPr>
                <w:sz w:val="19"/>
                <w:szCs w:val="19"/>
                <w:color w:val="auto"/>
              </w:rPr>
            </w:pPr>
          </w:p>
        </w:tc>
        <w:tc>
          <w:tcPr>
            <w:tcW w:w="7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240" w:type="dxa"/>
            <w:vAlign w:val="bottom"/>
            <w:gridSpan w:val="4"/>
            <w:shd w:val="clear" w:color="auto" w:fill="CFF0FC"/>
          </w:tcPr>
          <w:p>
            <w:pPr>
              <w:spacing w:after="0" w:line="203" w:lineRule="exact"/>
              <w:rPr>
                <w:sz w:val="20"/>
                <w:szCs w:val="20"/>
                <w:color w:val="auto"/>
              </w:rPr>
            </w:pPr>
            <w:r>
              <w:rPr>
                <w:rFonts w:ascii="Arial" w:cs="Arial" w:eastAsia="Arial" w:hAnsi="Arial"/>
                <w:sz w:val="20"/>
                <w:szCs w:val="20"/>
                <w:color w:val="auto"/>
              </w:rPr>
              <w:t>Net sales:</w:t>
            </w:r>
          </w:p>
        </w:tc>
        <w:tc>
          <w:tcPr>
            <w:tcW w:w="16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00" w:type="dxa"/>
            <w:vAlign w:val="bottom"/>
            <w:tcBorders>
              <w:top w:val="single" w:sz="8" w:color="auto"/>
            </w:tcBorders>
            <w:shd w:val="clear" w:color="auto" w:fill="CFF0FC"/>
          </w:tcPr>
          <w:p>
            <w:pPr>
              <w:spacing w:after="0" w:line="20" w:lineRule="exact"/>
              <w:rPr>
                <w:sz w:val="1"/>
                <w:szCs w:val="1"/>
                <w:color w:val="auto"/>
              </w:rPr>
            </w:pPr>
          </w:p>
        </w:tc>
        <w:tc>
          <w:tcPr>
            <w:tcW w:w="440" w:type="dxa"/>
            <w:vAlign w:val="bottom"/>
            <w:tcBorders>
              <w:top w:val="single" w:sz="8" w:color="CFF0FC"/>
            </w:tcBorders>
            <w:shd w:val="clear" w:color="auto" w:fill="CFF0FC"/>
          </w:tcPr>
          <w:p>
            <w:pPr>
              <w:spacing w:after="0" w:line="20" w:lineRule="exact"/>
              <w:rPr>
                <w:sz w:val="1"/>
                <w:szCs w:val="1"/>
                <w:color w:val="auto"/>
              </w:rPr>
            </w:pPr>
          </w:p>
        </w:tc>
        <w:tc>
          <w:tcPr>
            <w:tcW w:w="1420" w:type="dxa"/>
            <w:vAlign w:val="bottom"/>
            <w:tcBorders>
              <w:top w:val="single" w:sz="8" w:color="CFF0FC"/>
            </w:tcBorders>
            <w:shd w:val="clear" w:color="auto" w:fill="CFF0FC"/>
          </w:tcPr>
          <w:p>
            <w:pPr>
              <w:spacing w:after="0" w:line="20" w:lineRule="exact"/>
              <w:rPr>
                <w:sz w:val="1"/>
                <w:szCs w:val="1"/>
                <w:color w:val="auto"/>
              </w:rPr>
            </w:pPr>
          </w:p>
        </w:tc>
        <w:tc>
          <w:tcPr>
            <w:tcW w:w="1680" w:type="dxa"/>
            <w:vAlign w:val="bottom"/>
            <w:tcBorders>
              <w:top w:val="single" w:sz="8" w:color="CFF0FC"/>
            </w:tcBorders>
            <w:shd w:val="clear" w:color="auto" w:fill="CFF0FC"/>
          </w:tcPr>
          <w:p>
            <w:pPr>
              <w:spacing w:after="0" w:line="20" w:lineRule="exact"/>
              <w:rPr>
                <w:sz w:val="1"/>
                <w:szCs w:val="1"/>
                <w:color w:val="auto"/>
              </w:rPr>
            </w:pPr>
          </w:p>
        </w:tc>
        <w:tc>
          <w:tcPr>
            <w:tcW w:w="16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vMerge w:val="continue"/>
          </w:tcPr>
          <w:p>
            <w:pPr>
              <w:spacing w:after="0"/>
              <w:rPr>
                <w:sz w:val="21"/>
                <w:szCs w:val="21"/>
                <w:color w:val="auto"/>
              </w:rPr>
            </w:pPr>
          </w:p>
        </w:tc>
        <w:tc>
          <w:tcPr>
            <w:tcW w:w="4240" w:type="dxa"/>
            <w:vAlign w:val="bottom"/>
            <w:gridSpan w:val="4"/>
          </w:tcPr>
          <w:p>
            <w:pPr>
              <w:spacing w:after="0"/>
              <w:rPr>
                <w:sz w:val="20"/>
                <w:szCs w:val="20"/>
                <w:color w:val="auto"/>
              </w:rPr>
            </w:pPr>
            <w:r>
              <w:rPr>
                <w:rFonts w:ascii="Arial" w:cs="Arial" w:eastAsia="Arial" w:hAnsi="Arial"/>
                <w:sz w:val="20"/>
                <w:szCs w:val="20"/>
                <w:color w:val="auto"/>
              </w:rPr>
              <w:t>Mid-America Group</w:t>
            </w:r>
          </w:p>
        </w:tc>
        <w:tc>
          <w:tcPr>
            <w:tcW w:w="1860" w:type="dxa"/>
            <w:vAlign w:val="bottom"/>
            <w:gridSpan w:val="2"/>
          </w:tcPr>
          <w:p>
            <w:pPr>
              <w:jc w:val="right"/>
              <w:ind w:right="41"/>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265,653</w:t>
            </w:r>
          </w:p>
        </w:tc>
        <w:tc>
          <w:tcPr>
            <w:tcW w:w="140" w:type="dxa"/>
            <w:vAlign w:val="bottom"/>
          </w:tcPr>
          <w:p>
            <w:pPr>
              <w:spacing w:after="0"/>
              <w:rPr>
                <w:sz w:val="21"/>
                <w:szCs w:val="21"/>
                <w:color w:val="auto"/>
              </w:rPr>
            </w:pPr>
          </w:p>
        </w:tc>
        <w:tc>
          <w:tcPr>
            <w:tcW w:w="320" w:type="dxa"/>
            <w:vAlign w:val="bottom"/>
            <w:gridSpan w:val="2"/>
          </w:tcPr>
          <w:p>
            <w:pPr>
              <w:jc w:val="right"/>
              <w:ind w:right="41"/>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244,309</w:t>
            </w:r>
          </w:p>
        </w:tc>
        <w:tc>
          <w:tcPr>
            <w:tcW w:w="220" w:type="dxa"/>
            <w:vAlign w:val="bottom"/>
          </w:tcPr>
          <w:p>
            <w:pPr>
              <w:spacing w:after="0"/>
              <w:rPr>
                <w:sz w:val="21"/>
                <w:szCs w:val="21"/>
                <w:color w:val="auto"/>
              </w:rPr>
            </w:pPr>
          </w:p>
        </w:tc>
        <w:tc>
          <w:tcPr>
            <w:tcW w:w="240" w:type="dxa"/>
            <w:vAlign w:val="bottom"/>
          </w:tcPr>
          <w:p>
            <w:pPr>
              <w:jc w:val="right"/>
              <w:ind w:right="41"/>
              <w:spacing w:after="0"/>
              <w:rPr>
                <w:sz w:val="20"/>
                <w:szCs w:val="20"/>
                <w:color w:val="auto"/>
              </w:rPr>
            </w:pPr>
            <w:r>
              <w:rPr>
                <w:rFonts w:ascii="Arial" w:cs="Arial" w:eastAsia="Arial" w:hAnsi="Arial"/>
                <w:sz w:val="20"/>
                <w:szCs w:val="20"/>
                <w:color w:val="auto"/>
                <w:w w:val="71"/>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632,772</w:t>
            </w:r>
          </w:p>
        </w:tc>
        <w:tc>
          <w:tcPr>
            <w:tcW w:w="220" w:type="dxa"/>
            <w:vAlign w:val="bottom"/>
          </w:tcPr>
          <w:p>
            <w:pPr>
              <w:spacing w:after="0"/>
              <w:rPr>
                <w:sz w:val="21"/>
                <w:szCs w:val="21"/>
                <w:color w:val="auto"/>
              </w:rPr>
            </w:pPr>
          </w:p>
        </w:tc>
        <w:tc>
          <w:tcPr>
            <w:tcW w:w="260" w:type="dxa"/>
            <w:vAlign w:val="bottom"/>
          </w:tcPr>
          <w:p>
            <w:pPr>
              <w:jc w:val="right"/>
              <w:ind w:right="61"/>
              <w:spacing w:after="0"/>
              <w:rPr>
                <w:sz w:val="20"/>
                <w:szCs w:val="20"/>
                <w:color w:val="auto"/>
              </w:rPr>
            </w:pPr>
            <w:r>
              <w:rPr>
                <w:rFonts w:ascii="Arial" w:cs="Arial" w:eastAsia="Arial" w:hAnsi="Arial"/>
                <w:sz w:val="20"/>
                <w:szCs w:val="20"/>
                <w:color w:val="auto"/>
                <w:w w:val="71"/>
              </w:rPr>
              <w:t>$</w:t>
            </w:r>
          </w:p>
        </w:tc>
        <w:tc>
          <w:tcPr>
            <w:tcW w:w="960" w:type="dxa"/>
            <w:vAlign w:val="bottom"/>
          </w:tcPr>
          <w:p>
            <w:pPr>
              <w:jc w:val="right"/>
              <w:spacing w:after="0"/>
              <w:rPr>
                <w:sz w:val="20"/>
                <w:szCs w:val="20"/>
                <w:color w:val="auto"/>
              </w:rPr>
            </w:pPr>
            <w:r>
              <w:rPr>
                <w:rFonts w:ascii="Arial" w:cs="Arial" w:eastAsia="Arial" w:hAnsi="Arial"/>
                <w:sz w:val="20"/>
                <w:szCs w:val="20"/>
                <w:color w:val="auto"/>
              </w:rPr>
              <w:t>569,545</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40" w:type="dxa"/>
            <w:vAlign w:val="bottom"/>
            <w:gridSpan w:val="4"/>
            <w:shd w:val="clear" w:color="auto" w:fill="CFF0FC"/>
          </w:tcPr>
          <w:p>
            <w:pPr>
              <w:spacing w:after="0"/>
              <w:rPr>
                <w:sz w:val="20"/>
                <w:szCs w:val="20"/>
                <w:color w:val="auto"/>
              </w:rPr>
            </w:pPr>
            <w:r>
              <w:rPr>
                <w:rFonts w:ascii="Arial" w:cs="Arial" w:eastAsia="Arial" w:hAnsi="Arial"/>
                <w:sz w:val="20"/>
                <w:szCs w:val="20"/>
                <w:color w:val="auto"/>
              </w:rPr>
              <w:t>Southeast Group</w:t>
            </w:r>
          </w:p>
        </w:tc>
        <w:tc>
          <w:tcPr>
            <w:tcW w:w="16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78,283</w:t>
            </w:r>
          </w:p>
        </w:tc>
        <w:tc>
          <w:tcPr>
            <w:tcW w:w="1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68,042</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214,536</w:t>
            </w: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194,148</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40" w:type="dxa"/>
            <w:vAlign w:val="bottom"/>
            <w:tcBorders>
              <w:bottom w:val="single" w:sz="8" w:color="CFF0FC"/>
            </w:tcBorders>
            <w:gridSpan w:val="4"/>
          </w:tcPr>
          <w:p>
            <w:pPr>
              <w:spacing w:after="0"/>
              <w:rPr>
                <w:sz w:val="20"/>
                <w:szCs w:val="20"/>
                <w:color w:val="auto"/>
              </w:rPr>
            </w:pPr>
            <w:r>
              <w:rPr>
                <w:rFonts w:ascii="Arial" w:cs="Arial" w:eastAsia="Arial" w:hAnsi="Arial"/>
                <w:sz w:val="20"/>
                <w:szCs w:val="20"/>
                <w:color w:val="auto"/>
              </w:rPr>
              <w:t>West Group</w:t>
            </w:r>
          </w:p>
        </w:tc>
        <w:tc>
          <w:tcPr>
            <w:tcW w:w="1620" w:type="dxa"/>
            <w:vAlign w:val="bottom"/>
            <w:tcBorders>
              <w:bottom w:val="single" w:sz="8" w:color="CFF0FC"/>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493,505</w:t>
            </w:r>
          </w:p>
        </w:tc>
        <w:tc>
          <w:tcPr>
            <w:tcW w:w="14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437,398</w:t>
            </w:r>
          </w:p>
        </w:tc>
        <w:tc>
          <w:tcPr>
            <w:tcW w:w="220" w:type="dxa"/>
            <w:vAlign w:val="bottom"/>
            <w:tcBorders>
              <w:bottom w:val="single" w:sz="8" w:color="CFF0FC"/>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1,156,075</w:t>
            </w:r>
          </w:p>
        </w:tc>
        <w:tc>
          <w:tcPr>
            <w:tcW w:w="220" w:type="dxa"/>
            <w:vAlign w:val="bottom"/>
            <w:tcBorders>
              <w:bottom w:val="single" w:sz="8" w:color="CFF0FC"/>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848,402</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40" w:type="dxa"/>
            <w:vAlign w:val="bottom"/>
            <w:gridSpan w:val="4"/>
            <w:shd w:val="clear" w:color="auto" w:fill="CFF0FC"/>
          </w:tcPr>
          <w:p>
            <w:pPr>
              <w:spacing w:after="0"/>
              <w:rPr>
                <w:sz w:val="20"/>
                <w:szCs w:val="20"/>
                <w:color w:val="auto"/>
              </w:rPr>
            </w:pPr>
            <w:r>
              <w:rPr>
                <w:rFonts w:ascii="Arial" w:cs="Arial" w:eastAsia="Arial" w:hAnsi="Arial"/>
                <w:sz w:val="20"/>
                <w:szCs w:val="20"/>
                <w:color w:val="auto"/>
              </w:rPr>
              <w:t>Total Aggregates Business</w:t>
            </w:r>
          </w:p>
        </w:tc>
        <w:tc>
          <w:tcPr>
            <w:tcW w:w="1620" w:type="dxa"/>
            <w:vAlign w:val="bottom"/>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837,441</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749,749</w:t>
            </w:r>
          </w:p>
        </w:tc>
        <w:tc>
          <w:tcPr>
            <w:tcW w:w="220" w:type="dxa"/>
            <w:vAlign w:val="bottom"/>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2,003,383</w:t>
            </w:r>
          </w:p>
        </w:tc>
        <w:tc>
          <w:tcPr>
            <w:tcW w:w="220" w:type="dxa"/>
            <w:vAlign w:val="bottom"/>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1,612,095</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260" w:type="dxa"/>
            <w:vAlign w:val="bottom"/>
            <w:gridSpan w:val="5"/>
          </w:tcPr>
          <w:p>
            <w:pPr>
              <w:spacing w:after="0"/>
              <w:rPr>
                <w:sz w:val="20"/>
                <w:szCs w:val="20"/>
                <w:color w:val="auto"/>
              </w:rPr>
            </w:pPr>
            <w:r>
              <w:rPr>
                <w:rFonts w:ascii="Arial" w:cs="Arial" w:eastAsia="Arial" w:hAnsi="Arial"/>
                <w:sz w:val="20"/>
                <w:szCs w:val="20"/>
                <w:color w:val="auto"/>
              </w:rPr>
              <w:t>Cement</w:t>
            </w:r>
          </w:p>
        </w:tc>
        <w:tc>
          <w:tcPr>
            <w:tcW w:w="1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110,519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109,521</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307,489</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109,521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40" w:type="dxa"/>
            <w:vAlign w:val="bottom"/>
            <w:gridSpan w:val="4"/>
            <w:shd w:val="clear" w:color="auto" w:fill="CFF0FC"/>
          </w:tcPr>
          <w:p>
            <w:pPr>
              <w:spacing w:after="0"/>
              <w:rPr>
                <w:sz w:val="20"/>
                <w:szCs w:val="20"/>
                <w:color w:val="auto"/>
              </w:rPr>
            </w:pPr>
            <w:r>
              <w:rPr>
                <w:rFonts w:ascii="Arial" w:cs="Arial" w:eastAsia="Arial" w:hAnsi="Arial"/>
                <w:sz w:val="20"/>
                <w:szCs w:val="20"/>
                <w:color w:val="auto"/>
              </w:rPr>
              <w:t>Magnesia Specialties</w:t>
            </w:r>
          </w:p>
        </w:tc>
        <w:tc>
          <w:tcPr>
            <w:tcW w:w="1620" w:type="dxa"/>
            <w:vAlign w:val="bottom"/>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57,258</w:t>
            </w:r>
          </w:p>
        </w:tc>
        <w:tc>
          <w:tcPr>
            <w:tcW w:w="1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58,672</w:t>
            </w:r>
          </w:p>
        </w:tc>
        <w:tc>
          <w:tcPr>
            <w:tcW w:w="220" w:type="dxa"/>
            <w:vAlign w:val="bottom"/>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176,470</w:t>
            </w:r>
          </w:p>
        </w:tc>
        <w:tc>
          <w:tcPr>
            <w:tcW w:w="220" w:type="dxa"/>
            <w:vAlign w:val="bottom"/>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177,941</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4260" w:type="dxa"/>
            <w:vAlign w:val="bottom"/>
            <w:gridSpan w:val="5"/>
          </w:tcPr>
          <w:p>
            <w:pPr>
              <w:spacing w:after="0"/>
              <w:rPr>
                <w:sz w:val="20"/>
                <w:szCs w:val="20"/>
                <w:color w:val="auto"/>
              </w:rPr>
            </w:pPr>
            <w:r>
              <w:rPr>
                <w:rFonts w:ascii="Arial" w:cs="Arial" w:eastAsia="Arial" w:hAnsi="Arial"/>
                <w:sz w:val="20"/>
                <w:szCs w:val="20"/>
                <w:color w:val="auto"/>
              </w:rPr>
              <w:t>Total</w:t>
            </w:r>
          </w:p>
        </w:tc>
        <w:tc>
          <w:tcPr>
            <w:tcW w:w="1620" w:type="dxa"/>
            <w:vAlign w:val="bottom"/>
          </w:tcPr>
          <w:p>
            <w:pPr>
              <w:spacing w:after="0"/>
              <w:rPr>
                <w:sz w:val="24"/>
                <w:szCs w:val="24"/>
                <w:color w:val="auto"/>
              </w:rPr>
            </w:pPr>
          </w:p>
        </w:tc>
        <w:tc>
          <w:tcPr>
            <w:tcW w:w="24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1,005,218</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917,942</w:t>
            </w:r>
          </w:p>
        </w:tc>
        <w:tc>
          <w:tcPr>
            <w:tcW w:w="220" w:type="dxa"/>
            <w:vAlign w:val="bottom"/>
          </w:tcPr>
          <w:p>
            <w:pPr>
              <w:spacing w:after="0"/>
              <w:rPr>
                <w:sz w:val="24"/>
                <w:szCs w:val="24"/>
                <w:color w:val="auto"/>
              </w:rPr>
            </w:pPr>
          </w:p>
        </w:tc>
        <w:tc>
          <w:tcPr>
            <w:tcW w:w="24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2,487,342</w:t>
            </w:r>
          </w:p>
        </w:tc>
        <w:tc>
          <w:tcPr>
            <w:tcW w:w="220" w:type="dxa"/>
            <w:vAlign w:val="bottom"/>
          </w:tcPr>
          <w:p>
            <w:pPr>
              <w:spacing w:after="0"/>
              <w:rPr>
                <w:sz w:val="24"/>
                <w:szCs w:val="24"/>
                <w:color w:val="auto"/>
              </w:rPr>
            </w:pPr>
          </w:p>
        </w:tc>
        <w:tc>
          <w:tcPr>
            <w:tcW w:w="26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1,899,557</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vMerge w:val="restart"/>
          </w:tcPr>
          <w:p>
            <w:pPr>
              <w:spacing w:after="0"/>
              <w:rPr>
                <w:sz w:val="19"/>
                <w:szCs w:val="19"/>
                <w:color w:val="auto"/>
              </w:rPr>
            </w:pPr>
          </w:p>
        </w:tc>
        <w:tc>
          <w:tcPr>
            <w:tcW w:w="70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CFF0FC"/>
            </w:tcBorders>
            <w:shd w:val="clear" w:color="auto" w:fill="CFF0FC"/>
          </w:tcPr>
          <w:p>
            <w:pPr>
              <w:spacing w:after="0"/>
              <w:rPr>
                <w:sz w:val="19"/>
                <w:szCs w:val="19"/>
                <w:color w:val="auto"/>
              </w:rPr>
            </w:pPr>
          </w:p>
        </w:tc>
        <w:tc>
          <w:tcPr>
            <w:tcW w:w="1420" w:type="dxa"/>
            <w:vAlign w:val="bottom"/>
            <w:tcBorders>
              <w:top w:val="single" w:sz="8" w:color="CFF0FC"/>
            </w:tcBorders>
            <w:shd w:val="clear" w:color="auto" w:fill="CFF0FC"/>
          </w:tcPr>
          <w:p>
            <w:pPr>
              <w:spacing w:after="0"/>
              <w:rPr>
                <w:sz w:val="19"/>
                <w:szCs w:val="19"/>
                <w:color w:val="auto"/>
              </w:rPr>
            </w:pPr>
          </w:p>
        </w:tc>
        <w:tc>
          <w:tcPr>
            <w:tcW w:w="1680" w:type="dxa"/>
            <w:vAlign w:val="bottom"/>
            <w:tcBorders>
              <w:top w:val="single" w:sz="8" w:color="CFF0FC"/>
            </w:tcBorders>
            <w:shd w:val="clear" w:color="auto" w:fill="CFF0FC"/>
          </w:tcPr>
          <w:p>
            <w:pPr>
              <w:spacing w:after="0"/>
              <w:rPr>
                <w:sz w:val="19"/>
                <w:szCs w:val="19"/>
                <w:color w:val="auto"/>
              </w:rPr>
            </w:pPr>
          </w:p>
        </w:tc>
        <w:tc>
          <w:tcPr>
            <w:tcW w:w="16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240" w:type="dxa"/>
            <w:vAlign w:val="bottom"/>
            <w:gridSpan w:val="4"/>
          </w:tcPr>
          <w:p>
            <w:pPr>
              <w:spacing w:after="0" w:line="203" w:lineRule="exact"/>
              <w:rPr>
                <w:sz w:val="20"/>
                <w:szCs w:val="20"/>
                <w:color w:val="auto"/>
              </w:rPr>
            </w:pPr>
            <w:r>
              <w:rPr>
                <w:rFonts w:ascii="Arial" w:cs="Arial" w:eastAsia="Arial" w:hAnsi="Arial"/>
                <w:sz w:val="20"/>
                <w:szCs w:val="20"/>
                <w:color w:val="auto"/>
              </w:rPr>
              <w:t>Earnings (Loss) from operations:</w:t>
            </w:r>
          </w:p>
        </w:tc>
        <w:tc>
          <w:tcPr>
            <w:tcW w:w="1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1420" w:type="dxa"/>
            <w:vAlign w:val="bottom"/>
            <w:tcBorders>
              <w:top w:val="single" w:sz="8" w:color="auto"/>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vMerge w:val="continue"/>
          </w:tcPr>
          <w:p>
            <w:pPr>
              <w:spacing w:after="0"/>
              <w:rPr>
                <w:sz w:val="21"/>
                <w:szCs w:val="21"/>
                <w:color w:val="auto"/>
              </w:rPr>
            </w:pPr>
          </w:p>
        </w:tc>
        <w:tc>
          <w:tcPr>
            <w:tcW w:w="4240" w:type="dxa"/>
            <w:vAlign w:val="bottom"/>
            <w:gridSpan w:val="4"/>
            <w:shd w:val="clear" w:color="auto" w:fill="CFF0FC"/>
          </w:tcPr>
          <w:p>
            <w:pPr>
              <w:spacing w:after="0"/>
              <w:rPr>
                <w:sz w:val="20"/>
                <w:szCs w:val="20"/>
                <w:color w:val="auto"/>
              </w:rPr>
            </w:pPr>
            <w:r>
              <w:rPr>
                <w:rFonts w:ascii="Arial" w:cs="Arial" w:eastAsia="Arial" w:hAnsi="Arial"/>
                <w:sz w:val="20"/>
                <w:szCs w:val="20"/>
                <w:color w:val="auto"/>
              </w:rPr>
              <w:t>Mid-America Group</w:t>
            </w:r>
          </w:p>
        </w:tc>
        <w:tc>
          <w:tcPr>
            <w:tcW w:w="1860" w:type="dxa"/>
            <w:vAlign w:val="bottom"/>
            <w:gridSpan w:val="2"/>
            <w:shd w:val="clear" w:color="auto" w:fill="CFF0FC"/>
          </w:tcPr>
          <w:p>
            <w:pPr>
              <w:jc w:val="right"/>
              <w:ind w:right="41"/>
              <w:spacing w:after="0"/>
              <w:rPr>
                <w:sz w:val="20"/>
                <w:szCs w:val="20"/>
                <w:color w:val="auto"/>
              </w:rPr>
            </w:pPr>
            <w:r>
              <w:rPr>
                <w:rFonts w:ascii="Arial" w:cs="Arial" w:eastAsia="Arial" w:hAnsi="Arial"/>
                <w:sz w:val="20"/>
                <w:szCs w:val="20"/>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85,693</w:t>
            </w:r>
          </w:p>
        </w:tc>
        <w:tc>
          <w:tcPr>
            <w:tcW w:w="140" w:type="dxa"/>
            <w:vAlign w:val="bottom"/>
            <w:shd w:val="clear" w:color="auto" w:fill="CFF0FC"/>
          </w:tcPr>
          <w:p>
            <w:pPr>
              <w:spacing w:after="0"/>
              <w:rPr>
                <w:sz w:val="21"/>
                <w:szCs w:val="21"/>
                <w:color w:val="auto"/>
              </w:rPr>
            </w:pPr>
          </w:p>
        </w:tc>
        <w:tc>
          <w:tcPr>
            <w:tcW w:w="320" w:type="dxa"/>
            <w:vAlign w:val="bottom"/>
            <w:gridSpan w:val="2"/>
            <w:shd w:val="clear" w:color="auto" w:fill="CFF0FC"/>
          </w:tcPr>
          <w:p>
            <w:pPr>
              <w:jc w:val="right"/>
              <w:ind w:right="41"/>
              <w:spacing w:after="0"/>
              <w:rPr>
                <w:sz w:val="20"/>
                <w:szCs w:val="20"/>
                <w:color w:val="auto"/>
              </w:rPr>
            </w:pPr>
            <w:r>
              <w:rPr>
                <w:rFonts w:ascii="Arial" w:cs="Arial" w:eastAsia="Arial" w:hAnsi="Arial"/>
                <w:sz w:val="20"/>
                <w:szCs w:val="20"/>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71,185</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148,385</w:t>
            </w: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116,703</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40" w:type="dxa"/>
            <w:vAlign w:val="bottom"/>
            <w:gridSpan w:val="4"/>
          </w:tcPr>
          <w:p>
            <w:pPr>
              <w:spacing w:after="0"/>
              <w:rPr>
                <w:sz w:val="20"/>
                <w:szCs w:val="20"/>
                <w:color w:val="auto"/>
              </w:rPr>
            </w:pPr>
            <w:r>
              <w:rPr>
                <w:rFonts w:ascii="Arial" w:cs="Arial" w:eastAsia="Arial" w:hAnsi="Arial"/>
                <w:sz w:val="20"/>
                <w:szCs w:val="20"/>
                <w:color w:val="auto"/>
              </w:rPr>
              <w:t>Southeast Group</w:t>
            </w:r>
          </w:p>
        </w:tc>
        <w:tc>
          <w:tcPr>
            <w:tcW w:w="16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7,576</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329</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10,845</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20"/>
                <w:szCs w:val="20"/>
                <w:color w:val="auto"/>
              </w:rPr>
              <w:t>(7,084)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40" w:type="dxa"/>
            <w:vAlign w:val="bottom"/>
            <w:gridSpan w:val="4"/>
            <w:shd w:val="clear" w:color="auto" w:fill="CFF0FC"/>
          </w:tcPr>
          <w:p>
            <w:pPr>
              <w:spacing w:after="0"/>
              <w:rPr>
                <w:sz w:val="20"/>
                <w:szCs w:val="20"/>
                <w:color w:val="auto"/>
              </w:rPr>
            </w:pPr>
            <w:r>
              <w:rPr>
                <w:rFonts w:ascii="Arial" w:cs="Arial" w:eastAsia="Arial" w:hAnsi="Arial"/>
                <w:sz w:val="20"/>
                <w:szCs w:val="20"/>
                <w:color w:val="auto"/>
              </w:rPr>
              <w:t>West Group</w:t>
            </w:r>
          </w:p>
        </w:tc>
        <w:tc>
          <w:tcPr>
            <w:tcW w:w="1620" w:type="dxa"/>
            <w:vAlign w:val="bottom"/>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87,525</w:t>
            </w:r>
          </w:p>
        </w:tc>
        <w:tc>
          <w:tcPr>
            <w:tcW w:w="1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92,115</w:t>
            </w:r>
          </w:p>
        </w:tc>
        <w:tc>
          <w:tcPr>
            <w:tcW w:w="220" w:type="dxa"/>
            <w:vAlign w:val="bottom"/>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151,201</w:t>
            </w:r>
          </w:p>
        </w:tc>
        <w:tc>
          <w:tcPr>
            <w:tcW w:w="220" w:type="dxa"/>
            <w:vAlign w:val="bottom"/>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125,069</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260" w:type="dxa"/>
            <w:vAlign w:val="bottom"/>
            <w:gridSpan w:val="5"/>
          </w:tcPr>
          <w:p>
            <w:pPr>
              <w:spacing w:after="0"/>
              <w:rPr>
                <w:sz w:val="20"/>
                <w:szCs w:val="20"/>
                <w:color w:val="auto"/>
              </w:rPr>
            </w:pPr>
            <w:r>
              <w:rPr>
                <w:rFonts w:ascii="Arial" w:cs="Arial" w:eastAsia="Arial" w:hAnsi="Arial"/>
                <w:sz w:val="20"/>
                <w:szCs w:val="20"/>
                <w:color w:val="auto"/>
              </w:rPr>
              <w:t>Total Aggregates Business</w:t>
            </w:r>
          </w:p>
        </w:tc>
        <w:tc>
          <w:tcPr>
            <w:tcW w:w="1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180,794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163,629</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310,431</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234,688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40" w:type="dxa"/>
            <w:vAlign w:val="bottom"/>
            <w:tcBorders>
              <w:top w:val="single" w:sz="8" w:color="CFF0FC"/>
            </w:tcBorders>
            <w:gridSpan w:val="4"/>
            <w:shd w:val="clear" w:color="auto" w:fill="CFF0FC"/>
          </w:tcPr>
          <w:p>
            <w:pPr>
              <w:spacing w:after="0"/>
              <w:rPr>
                <w:sz w:val="20"/>
                <w:szCs w:val="20"/>
                <w:color w:val="auto"/>
              </w:rPr>
            </w:pPr>
            <w:r>
              <w:rPr>
                <w:rFonts w:ascii="Arial" w:cs="Arial" w:eastAsia="Arial" w:hAnsi="Arial"/>
                <w:sz w:val="20"/>
                <w:szCs w:val="20"/>
                <w:color w:val="auto"/>
              </w:rPr>
              <w:t>Cement</w:t>
            </w:r>
          </w:p>
        </w:tc>
        <w:tc>
          <w:tcPr>
            <w:tcW w:w="1620" w:type="dxa"/>
            <w:vAlign w:val="bottom"/>
            <w:tcBorders>
              <w:top w:val="single" w:sz="8" w:color="CFF0FC"/>
            </w:tcBorders>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2,758</w:t>
            </w:r>
          </w:p>
        </w:tc>
        <w:tc>
          <w:tcPr>
            <w:tcW w:w="140" w:type="dxa"/>
            <w:vAlign w:val="bottom"/>
            <w:tcBorders>
              <w:top w:val="single" w:sz="8" w:color="CFF0FC"/>
            </w:tcBorders>
            <w:shd w:val="clear" w:color="auto" w:fill="CFF0FC"/>
          </w:tcPr>
          <w:p>
            <w:pPr>
              <w:spacing w:after="0"/>
              <w:rPr>
                <w:sz w:val="20"/>
                <w:szCs w:val="20"/>
                <w:color w:val="auto"/>
              </w:rPr>
            </w:pPr>
          </w:p>
        </w:tc>
        <w:tc>
          <w:tcPr>
            <w:tcW w:w="80" w:type="dxa"/>
            <w:vAlign w:val="bottom"/>
            <w:tcBorders>
              <w:top w:val="single" w:sz="8" w:color="CFF0FC"/>
            </w:tcBorders>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18,278</w:t>
            </w:r>
          </w:p>
        </w:tc>
        <w:tc>
          <w:tcPr>
            <w:tcW w:w="220" w:type="dxa"/>
            <w:vAlign w:val="bottom"/>
            <w:tcBorders>
              <w:top w:val="single" w:sz="8" w:color="CFF0FC"/>
            </w:tcBorders>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37,455</w:t>
            </w:r>
          </w:p>
        </w:tc>
        <w:tc>
          <w:tcPr>
            <w:tcW w:w="220" w:type="dxa"/>
            <w:vAlign w:val="bottom"/>
            <w:tcBorders>
              <w:top w:val="single" w:sz="8" w:color="CFF0FC"/>
            </w:tcBorders>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spacing w:after="0"/>
              <w:rPr>
                <w:sz w:val="20"/>
                <w:szCs w:val="20"/>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18,278</w:t>
            </w:r>
          </w:p>
        </w:tc>
        <w:tc>
          <w:tcPr>
            <w:tcW w:w="120" w:type="dxa"/>
            <w:vAlign w:val="bottom"/>
            <w:tcBorders>
              <w:top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40" w:type="dxa"/>
            <w:vAlign w:val="bottom"/>
            <w:gridSpan w:val="4"/>
          </w:tcPr>
          <w:p>
            <w:pPr>
              <w:spacing w:after="0"/>
              <w:rPr>
                <w:sz w:val="20"/>
                <w:szCs w:val="20"/>
                <w:color w:val="auto"/>
              </w:rPr>
            </w:pPr>
            <w:r>
              <w:rPr>
                <w:rFonts w:ascii="Arial" w:cs="Arial" w:eastAsia="Arial" w:hAnsi="Arial"/>
                <w:sz w:val="20"/>
                <w:szCs w:val="20"/>
                <w:color w:val="auto"/>
              </w:rPr>
              <w:t>Magnesia Specialties</w:t>
            </w:r>
          </w:p>
        </w:tc>
        <w:tc>
          <w:tcPr>
            <w:tcW w:w="16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16,996</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17,697</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53,537</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54,976</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40" w:type="dxa"/>
            <w:vAlign w:val="bottom"/>
            <w:gridSpan w:val="4"/>
            <w:shd w:val="clear" w:color="auto" w:fill="CFF0FC"/>
          </w:tcPr>
          <w:p>
            <w:pPr>
              <w:spacing w:after="0"/>
              <w:rPr>
                <w:sz w:val="20"/>
                <w:szCs w:val="20"/>
                <w:color w:val="auto"/>
              </w:rPr>
            </w:pPr>
            <w:r>
              <w:rPr>
                <w:rFonts w:ascii="Arial" w:cs="Arial" w:eastAsia="Arial" w:hAnsi="Arial"/>
                <w:sz w:val="20"/>
                <w:szCs w:val="20"/>
                <w:color w:val="auto"/>
              </w:rPr>
              <w:t>Corporate</w:t>
            </w:r>
          </w:p>
        </w:tc>
        <w:tc>
          <w:tcPr>
            <w:tcW w:w="16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20"/>
                <w:szCs w:val="20"/>
                <w:color w:val="auto"/>
              </w:rPr>
              <w:t>(21,050)</w:t>
            </w:r>
          </w:p>
        </w:tc>
        <w:tc>
          <w:tcPr>
            <w:tcW w:w="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20"/>
                <w:szCs w:val="20"/>
                <w:color w:val="auto"/>
              </w:rPr>
              <w:t>(83,648)</w:t>
            </w:r>
          </w:p>
        </w:tc>
        <w:tc>
          <w:tcPr>
            <w:tcW w:w="24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20"/>
                <w:szCs w:val="20"/>
                <w:color w:val="auto"/>
              </w:rPr>
              <w:t>(59,371)</w:t>
            </w:r>
          </w:p>
        </w:tc>
        <w:tc>
          <w:tcPr>
            <w:tcW w:w="26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20"/>
                <w:szCs w:val="20"/>
                <w:color w:val="auto"/>
              </w:rPr>
              <w:t>(111,642)</w:t>
            </w:r>
          </w:p>
        </w:tc>
        <w:tc>
          <w:tcPr>
            <w:tcW w:w="0" w:type="dxa"/>
            <w:vAlign w:val="bottom"/>
          </w:tcPr>
          <w:p>
            <w:pPr>
              <w:spacing w:after="0"/>
              <w:rPr>
                <w:sz w:val="1"/>
                <w:szCs w:val="1"/>
                <w:color w:val="auto"/>
              </w:rPr>
            </w:pPr>
          </w:p>
        </w:tc>
      </w:tr>
      <w:tr>
        <w:trPr>
          <w:trHeight w:val="237"/>
        </w:trPr>
        <w:tc>
          <w:tcPr>
            <w:tcW w:w="4260" w:type="dxa"/>
            <w:vAlign w:val="bottom"/>
            <w:gridSpan w:val="5"/>
          </w:tcPr>
          <w:p>
            <w:pPr>
              <w:spacing w:after="0"/>
              <w:rPr>
                <w:sz w:val="20"/>
                <w:szCs w:val="20"/>
                <w:color w:val="auto"/>
              </w:rPr>
            </w:pPr>
            <w:r>
              <w:rPr>
                <w:rFonts w:ascii="Arial" w:cs="Arial" w:eastAsia="Arial" w:hAnsi="Arial"/>
                <w:sz w:val="20"/>
                <w:szCs w:val="20"/>
                <w:color w:val="auto"/>
              </w:rPr>
              <w:t>Total</w:t>
            </w:r>
          </w:p>
        </w:tc>
        <w:tc>
          <w:tcPr>
            <w:tcW w:w="162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20"/>
                <w:szCs w:val="20"/>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179,498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20"/>
                <w:szCs w:val="20"/>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115,956</w:t>
            </w:r>
          </w:p>
        </w:tc>
        <w:tc>
          <w:tcPr>
            <w:tcW w:w="22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20"/>
                <w:szCs w:val="20"/>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342,052</w:t>
            </w:r>
          </w:p>
        </w:tc>
        <w:tc>
          <w:tcPr>
            <w:tcW w:w="220" w:type="dxa"/>
            <w:vAlign w:val="bottom"/>
          </w:tcPr>
          <w:p>
            <w:pPr>
              <w:spacing w:after="0"/>
              <w:rPr>
                <w:sz w:val="20"/>
                <w:szCs w:val="20"/>
                <w:color w:val="auto"/>
              </w:rPr>
            </w:pPr>
          </w:p>
        </w:tc>
        <w:tc>
          <w:tcPr>
            <w:tcW w:w="26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20"/>
                <w:szCs w:val="20"/>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196,300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jc w:val="both"/>
        <w:ind w:left="380"/>
        <w:spacing w:after="0" w:line="246" w:lineRule="auto"/>
        <w:rPr>
          <w:sz w:val="20"/>
          <w:szCs w:val="20"/>
          <w:color w:val="auto"/>
        </w:rPr>
      </w:pPr>
      <w:r>
        <w:rPr>
          <w:rFonts w:ascii="Arial" w:cs="Arial" w:eastAsia="Arial" w:hAnsi="Arial"/>
          <w:sz w:val="20"/>
          <w:szCs w:val="20"/>
          <w:color w:val="auto"/>
        </w:rPr>
        <w:t>For the three and nine months ended September 30, 2014, earnings from operations for the West Group reflect $40,756,000 of nonrecurring earnings, net. For the three and nine months ended September 30, 2015, earnings from operations for the Cement segment include the loss on the sale of the California cement operations and other related expenses, net, of $28,709,000 and $29,888,000, respectively.</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21 of 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1" w:name="page22"/>
    <w:bookmarkEnd w:id="21"/>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September 30, 2015</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NOTES TO CONSOLIDATED FINANCIAL STATEMENTS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207" w:lineRule="exact"/>
        <w:rPr>
          <w:sz w:val="20"/>
          <w:szCs w:val="20"/>
          <w:color w:val="auto"/>
        </w:rPr>
      </w:pPr>
    </w:p>
    <w:p>
      <w:pPr>
        <w:ind w:left="380" w:hanging="372"/>
        <w:spacing w:after="0"/>
        <w:tabs>
          <w:tab w:leader="none" w:pos="380" w:val="left"/>
        </w:tabs>
        <w:numPr>
          <w:ilvl w:val="0"/>
          <w:numId w:val="18"/>
        </w:numPr>
        <w:rPr>
          <w:rFonts w:ascii="Arial" w:cs="Arial" w:eastAsia="Arial" w:hAnsi="Arial"/>
          <w:sz w:val="20"/>
          <w:szCs w:val="20"/>
          <w:b w:val="1"/>
          <w:bCs w:val="1"/>
          <w:color w:val="auto"/>
        </w:rPr>
      </w:pPr>
      <w:r>
        <w:rPr>
          <w:rFonts w:ascii="Arial" w:cs="Arial" w:eastAsia="Arial" w:hAnsi="Arial"/>
          <w:sz w:val="20"/>
          <w:szCs w:val="20"/>
          <w:b w:val="1"/>
          <w:bCs w:val="1"/>
          <w:color w:val="auto"/>
        </w:rPr>
        <w:t>Business Segments (continued)</w:t>
      </w:r>
    </w:p>
    <w:p>
      <w:pPr>
        <w:spacing w:after="0" w:line="113" w:lineRule="exact"/>
        <w:rPr>
          <w:rFonts w:ascii="Arial" w:cs="Arial" w:eastAsia="Arial" w:hAnsi="Arial"/>
          <w:sz w:val="20"/>
          <w:szCs w:val="20"/>
          <w:b w:val="1"/>
          <w:bCs w:val="1"/>
          <w:color w:val="auto"/>
        </w:rPr>
      </w:pPr>
    </w:p>
    <w:p>
      <w:pPr>
        <w:jc w:val="both"/>
        <w:ind w:left="380" w:right="20"/>
        <w:spacing w:after="0" w:line="250" w:lineRule="auto"/>
        <w:rPr>
          <w:rFonts w:ascii="Arial" w:cs="Arial" w:eastAsia="Arial" w:hAnsi="Arial"/>
          <w:sz w:val="20"/>
          <w:szCs w:val="20"/>
          <w:b w:val="1"/>
          <w:bCs w:val="1"/>
          <w:color w:val="auto"/>
        </w:rPr>
      </w:pPr>
      <w:r>
        <w:rPr>
          <w:rFonts w:ascii="Arial" w:cs="Arial" w:eastAsia="Arial" w:hAnsi="Arial"/>
          <w:sz w:val="20"/>
          <w:szCs w:val="20"/>
          <w:color w:val="auto"/>
        </w:rPr>
        <w:t>Cement intersegment sales, which are to the ready mixed concrete product line in the West Group, were $25,349,000 and $64,304,000 for the three and nine months ended September 30, 2015. Cement intersegment sales were $22,061,000 for the three months ended September 30, 2014. The Cement business was acquired July 1, 2014.</w:t>
      </w:r>
    </w:p>
    <w:p>
      <w:pPr>
        <w:spacing w:after="0" w:line="200" w:lineRule="exact"/>
        <w:rPr>
          <w:sz w:val="20"/>
          <w:szCs w:val="20"/>
          <w:color w:val="auto"/>
        </w:rPr>
      </w:pP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360" w:type="dxa"/>
            <w:vAlign w:val="bottom"/>
          </w:tcPr>
          <w:p>
            <w:pPr>
              <w:spacing w:after="0"/>
              <w:rPr>
                <w:sz w:val="21"/>
                <w:szCs w:val="21"/>
                <w:color w:val="auto"/>
              </w:rPr>
            </w:pPr>
          </w:p>
        </w:tc>
        <w:tc>
          <w:tcPr>
            <w:tcW w:w="5540" w:type="dxa"/>
            <w:vAlign w:val="bottom"/>
          </w:tcPr>
          <w:p>
            <w:pPr>
              <w:spacing w:after="0"/>
              <w:rPr>
                <w:sz w:val="21"/>
                <w:szCs w:val="21"/>
                <w:color w:val="auto"/>
              </w:rPr>
            </w:pPr>
          </w:p>
        </w:tc>
        <w:tc>
          <w:tcPr>
            <w:tcW w:w="1520" w:type="dxa"/>
            <w:vAlign w:val="bottom"/>
            <w:gridSpan w:val="3"/>
          </w:tcPr>
          <w:p>
            <w:pPr>
              <w:ind w:left="80"/>
              <w:spacing w:after="0"/>
              <w:rPr>
                <w:sz w:val="20"/>
                <w:szCs w:val="20"/>
                <w:color w:val="auto"/>
              </w:rPr>
            </w:pPr>
            <w:r>
              <w:rPr>
                <w:rFonts w:ascii="Arial" w:cs="Arial" w:eastAsia="Arial" w:hAnsi="Arial"/>
                <w:sz w:val="20"/>
                <w:szCs w:val="20"/>
                <w:color w:val="auto"/>
              </w:rPr>
              <w:t>September 30,</w:t>
            </w:r>
          </w:p>
        </w:tc>
        <w:tc>
          <w:tcPr>
            <w:tcW w:w="100" w:type="dxa"/>
            <w:vAlign w:val="bottom"/>
          </w:tcPr>
          <w:p>
            <w:pPr>
              <w:spacing w:after="0"/>
              <w:rPr>
                <w:sz w:val="21"/>
                <w:szCs w:val="21"/>
                <w:color w:val="auto"/>
              </w:rPr>
            </w:pPr>
          </w:p>
        </w:tc>
        <w:tc>
          <w:tcPr>
            <w:tcW w:w="1440" w:type="dxa"/>
            <w:vAlign w:val="bottom"/>
            <w:gridSpan w:val="2"/>
          </w:tcPr>
          <w:p>
            <w:pPr>
              <w:jc w:val="center"/>
              <w:ind w:right="320"/>
              <w:spacing w:after="0"/>
              <w:rPr>
                <w:sz w:val="20"/>
                <w:szCs w:val="20"/>
                <w:color w:val="auto"/>
              </w:rPr>
            </w:pPr>
            <w:r>
              <w:rPr>
                <w:rFonts w:ascii="Arial" w:cs="Arial" w:eastAsia="Arial" w:hAnsi="Arial"/>
                <w:sz w:val="20"/>
                <w:szCs w:val="20"/>
                <w:color w:val="auto"/>
                <w:w w:val="89"/>
              </w:rPr>
              <w:t>December 31,</w:t>
            </w:r>
          </w:p>
        </w:tc>
        <w:tc>
          <w:tcPr>
            <w:tcW w:w="1460" w:type="dxa"/>
            <w:vAlign w:val="bottom"/>
            <w:gridSpan w:val="3"/>
          </w:tcPr>
          <w:p>
            <w:pPr>
              <w:ind w:left="100"/>
              <w:spacing w:after="0"/>
              <w:rPr>
                <w:sz w:val="20"/>
                <w:szCs w:val="20"/>
                <w:color w:val="auto"/>
              </w:rPr>
            </w:pPr>
            <w:r>
              <w:rPr>
                <w:rFonts w:ascii="Arial" w:cs="Arial" w:eastAsia="Arial" w:hAnsi="Arial"/>
                <w:sz w:val="20"/>
                <w:szCs w:val="20"/>
                <w:color w:val="auto"/>
              </w:rPr>
              <w:t>September 30,</w:t>
            </w:r>
          </w:p>
        </w:tc>
        <w:tc>
          <w:tcPr>
            <w:tcW w:w="0" w:type="dxa"/>
            <w:vAlign w:val="bottom"/>
          </w:tcPr>
          <w:p>
            <w:pPr>
              <w:spacing w:after="0"/>
              <w:rPr>
                <w:sz w:val="1"/>
                <w:szCs w:val="1"/>
                <w:color w:val="auto"/>
              </w:rPr>
            </w:pPr>
          </w:p>
        </w:tc>
      </w:tr>
      <w:tr>
        <w:trPr>
          <w:trHeight w:val="246"/>
        </w:trPr>
        <w:tc>
          <w:tcPr>
            <w:tcW w:w="1360" w:type="dxa"/>
            <w:vAlign w:val="bottom"/>
          </w:tcPr>
          <w:p>
            <w:pPr>
              <w:spacing w:after="0"/>
              <w:rPr>
                <w:sz w:val="21"/>
                <w:szCs w:val="21"/>
                <w:color w:val="auto"/>
              </w:rPr>
            </w:pPr>
          </w:p>
        </w:tc>
        <w:tc>
          <w:tcPr>
            <w:tcW w:w="55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61"/>
              <w:spacing w:after="0"/>
              <w:rPr>
                <w:sz w:val="20"/>
                <w:szCs w:val="20"/>
                <w:color w:val="auto"/>
              </w:rPr>
            </w:pPr>
            <w:r>
              <w:rPr>
                <w:rFonts w:ascii="Arial" w:cs="Arial" w:eastAsia="Arial" w:hAnsi="Arial"/>
                <w:sz w:val="20"/>
                <w:szCs w:val="20"/>
                <w:color w:val="auto"/>
              </w:rPr>
              <w:t>2015</w:t>
            </w:r>
          </w:p>
        </w:tc>
        <w:tc>
          <w:tcPr>
            <w:tcW w:w="2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center"/>
              <w:ind w:right="1"/>
              <w:spacing w:after="0"/>
              <w:rPr>
                <w:sz w:val="20"/>
                <w:szCs w:val="20"/>
                <w:color w:val="auto"/>
              </w:rPr>
            </w:pPr>
            <w:r>
              <w:rPr>
                <w:rFonts w:ascii="Arial" w:cs="Arial" w:eastAsia="Arial" w:hAnsi="Arial"/>
                <w:sz w:val="20"/>
                <w:szCs w:val="20"/>
                <w:color w:val="auto"/>
                <w:w w:val="89"/>
              </w:rPr>
              <w:t>2014</w:t>
            </w:r>
          </w:p>
        </w:tc>
        <w:tc>
          <w:tcPr>
            <w:tcW w:w="2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81"/>
              <w:spacing w:after="0"/>
              <w:rPr>
                <w:sz w:val="20"/>
                <w:szCs w:val="20"/>
                <w:color w:val="auto"/>
              </w:rPr>
            </w:pPr>
            <w:r>
              <w:rPr>
                <w:rFonts w:ascii="Arial" w:cs="Arial" w:eastAsia="Arial" w:hAnsi="Arial"/>
                <w:sz w:val="20"/>
                <w:szCs w:val="20"/>
                <w:color w:val="auto"/>
              </w:rPr>
              <w:t>2014</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900" w:type="dxa"/>
            <w:vAlign w:val="bottom"/>
            <w:gridSpan w:val="2"/>
            <w:vMerge w:val="restart"/>
          </w:tcPr>
          <w:p>
            <w:pPr>
              <w:spacing w:after="0"/>
              <w:rPr>
                <w:sz w:val="20"/>
                <w:szCs w:val="20"/>
                <w:color w:val="auto"/>
              </w:rPr>
            </w:pPr>
            <w:r>
              <w:rPr>
                <w:rFonts w:ascii="Arial" w:cs="Arial" w:eastAsia="Arial" w:hAnsi="Arial"/>
                <w:sz w:val="20"/>
                <w:szCs w:val="20"/>
                <w:color w:val="auto"/>
              </w:rPr>
              <w:t>Assets employed:</w:t>
            </w:r>
          </w:p>
        </w:tc>
        <w:tc>
          <w:tcPr>
            <w:tcW w:w="280" w:type="dxa"/>
            <w:vAlign w:val="bottom"/>
          </w:tcPr>
          <w:p>
            <w:pPr>
              <w:spacing w:after="0"/>
              <w:rPr>
                <w:sz w:val="21"/>
                <w:szCs w:val="21"/>
                <w:color w:val="auto"/>
              </w:rPr>
            </w:pPr>
          </w:p>
        </w:tc>
        <w:tc>
          <w:tcPr>
            <w:tcW w:w="3060" w:type="dxa"/>
            <w:vAlign w:val="bottom"/>
            <w:gridSpan w:val="6"/>
          </w:tcPr>
          <w:p>
            <w:pPr>
              <w:jc w:val="center"/>
              <w:ind w:left="661"/>
              <w:spacing w:after="0"/>
              <w:rPr>
                <w:sz w:val="20"/>
                <w:szCs w:val="20"/>
                <w:color w:val="auto"/>
              </w:rPr>
            </w:pPr>
            <w:r>
              <w:rPr>
                <w:rFonts w:ascii="Arial" w:cs="Arial" w:eastAsia="Arial" w:hAnsi="Arial"/>
                <w:sz w:val="20"/>
                <w:szCs w:val="20"/>
                <w:i w:val="1"/>
                <w:iCs w:val="1"/>
                <w:color w:val="auto"/>
                <w:w w:val="92"/>
              </w:rPr>
              <w:t>(Dollars in Thousands)</w:t>
            </w: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690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360" w:type="dxa"/>
            <w:vAlign w:val="bottom"/>
            <w:shd w:val="clear" w:color="auto" w:fill="000000"/>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6900" w:type="dxa"/>
            <w:vAlign w:val="bottom"/>
            <w:gridSpan w:val="2"/>
          </w:tcPr>
          <w:p>
            <w:pPr>
              <w:spacing w:after="0"/>
              <w:rPr>
                <w:sz w:val="20"/>
                <w:szCs w:val="20"/>
                <w:color w:val="auto"/>
              </w:rPr>
            </w:pPr>
            <w:r>
              <w:rPr>
                <w:rFonts w:ascii="Arial" w:cs="Arial" w:eastAsia="Arial" w:hAnsi="Arial"/>
                <w:sz w:val="20"/>
                <w:szCs w:val="20"/>
                <w:color w:val="auto"/>
              </w:rPr>
              <w:t>Mid-America Group</w:t>
            </w:r>
          </w:p>
        </w:tc>
        <w:tc>
          <w:tcPr>
            <w:tcW w:w="280" w:type="dxa"/>
            <w:vAlign w:val="bottom"/>
          </w:tcPr>
          <w:p>
            <w:pPr>
              <w:jc w:val="right"/>
              <w:ind w:right="81"/>
              <w:spacing w:after="0"/>
              <w:rPr>
                <w:sz w:val="20"/>
                <w:szCs w:val="20"/>
                <w:color w:val="auto"/>
              </w:rPr>
            </w:pPr>
            <w:r>
              <w:rPr>
                <w:rFonts w:ascii="Arial" w:cs="Arial" w:eastAsia="Arial" w:hAnsi="Arial"/>
                <w:sz w:val="20"/>
                <w:szCs w:val="20"/>
                <w:color w:val="auto"/>
                <w:w w:val="71"/>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1,347,706</w:t>
            </w:r>
          </w:p>
        </w:tc>
        <w:tc>
          <w:tcPr>
            <w:tcW w:w="2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220" w:type="dxa"/>
            <w:vAlign w:val="bottom"/>
          </w:tcPr>
          <w:p>
            <w:pPr>
              <w:jc w:val="right"/>
              <w:spacing w:after="0"/>
              <w:rPr>
                <w:sz w:val="20"/>
                <w:szCs w:val="20"/>
                <w:color w:val="auto"/>
              </w:rPr>
            </w:pPr>
            <w:r>
              <w:rPr>
                <w:rFonts w:ascii="Arial" w:cs="Arial" w:eastAsia="Arial" w:hAnsi="Arial"/>
                <w:sz w:val="20"/>
                <w:szCs w:val="20"/>
                <w:color w:val="auto"/>
              </w:rPr>
              <w:t>1,290,833</w:t>
            </w:r>
          </w:p>
        </w:tc>
        <w:tc>
          <w:tcPr>
            <w:tcW w:w="220" w:type="dxa"/>
            <w:vAlign w:val="bottom"/>
          </w:tcPr>
          <w:p>
            <w:pPr>
              <w:spacing w:after="0"/>
              <w:rPr>
                <w:sz w:val="22"/>
                <w:szCs w:val="22"/>
                <w:color w:val="auto"/>
              </w:rPr>
            </w:pPr>
          </w:p>
        </w:tc>
        <w:tc>
          <w:tcPr>
            <w:tcW w:w="280" w:type="dxa"/>
            <w:vAlign w:val="bottom"/>
          </w:tcPr>
          <w:p>
            <w:pPr>
              <w:jc w:val="right"/>
              <w:ind w:right="81"/>
              <w:spacing w:after="0"/>
              <w:rPr>
                <w:sz w:val="20"/>
                <w:szCs w:val="20"/>
                <w:color w:val="auto"/>
              </w:rPr>
            </w:pPr>
            <w:r>
              <w:rPr>
                <w:rFonts w:ascii="Arial" w:cs="Arial" w:eastAsia="Arial" w:hAnsi="Arial"/>
                <w:sz w:val="20"/>
                <w:szCs w:val="20"/>
                <w:color w:val="auto"/>
                <w:w w:val="71"/>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1,313,472</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900" w:type="dxa"/>
            <w:vAlign w:val="bottom"/>
            <w:gridSpan w:val="2"/>
            <w:shd w:val="clear" w:color="auto" w:fill="CFF0FC"/>
          </w:tcPr>
          <w:p>
            <w:pPr>
              <w:spacing w:after="0"/>
              <w:rPr>
                <w:sz w:val="20"/>
                <w:szCs w:val="20"/>
                <w:color w:val="auto"/>
              </w:rPr>
            </w:pPr>
            <w:r>
              <w:rPr>
                <w:rFonts w:ascii="Arial" w:cs="Arial" w:eastAsia="Arial" w:hAnsi="Arial"/>
                <w:sz w:val="20"/>
                <w:szCs w:val="20"/>
                <w:color w:val="auto"/>
              </w:rPr>
              <w:t>Southeast Group</w:t>
            </w:r>
          </w:p>
        </w:tc>
        <w:tc>
          <w:tcPr>
            <w:tcW w:w="28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597,018</w:t>
            </w:r>
          </w:p>
        </w:tc>
        <w:tc>
          <w:tcPr>
            <w:tcW w:w="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604,044</w:t>
            </w:r>
          </w:p>
        </w:tc>
        <w:tc>
          <w:tcPr>
            <w:tcW w:w="2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604,261</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900" w:type="dxa"/>
            <w:vAlign w:val="bottom"/>
            <w:tcBorders>
              <w:bottom w:val="single" w:sz="8" w:color="CFF0FC"/>
            </w:tcBorders>
            <w:gridSpan w:val="2"/>
          </w:tcPr>
          <w:p>
            <w:pPr>
              <w:spacing w:after="0"/>
              <w:rPr>
                <w:sz w:val="20"/>
                <w:szCs w:val="20"/>
                <w:color w:val="auto"/>
              </w:rPr>
            </w:pPr>
            <w:r>
              <w:rPr>
                <w:rFonts w:ascii="Arial" w:cs="Arial" w:eastAsia="Arial" w:hAnsi="Arial"/>
                <w:sz w:val="20"/>
                <w:szCs w:val="20"/>
                <w:color w:val="auto"/>
              </w:rPr>
              <w:t>West Group</w:t>
            </w:r>
          </w:p>
        </w:tc>
        <w:tc>
          <w:tcPr>
            <w:tcW w:w="2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2,659,024</w:t>
            </w:r>
          </w:p>
        </w:tc>
        <w:tc>
          <w:tcPr>
            <w:tcW w:w="220" w:type="dxa"/>
            <w:vAlign w:val="bottom"/>
            <w:tcBorders>
              <w:bottom w:val="single" w:sz="8" w:color="CFF0FC"/>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2,444,400</w:t>
            </w:r>
          </w:p>
        </w:tc>
        <w:tc>
          <w:tcPr>
            <w:tcW w:w="220" w:type="dxa"/>
            <w:vAlign w:val="bottom"/>
            <w:tcBorders>
              <w:bottom w:val="single" w:sz="8" w:color="CFF0FC"/>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1,897,626</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900" w:type="dxa"/>
            <w:vAlign w:val="bottom"/>
            <w:gridSpan w:val="2"/>
            <w:shd w:val="clear" w:color="auto" w:fill="CFF0FC"/>
          </w:tcPr>
          <w:p>
            <w:pPr>
              <w:spacing w:after="0"/>
              <w:rPr>
                <w:sz w:val="20"/>
                <w:szCs w:val="20"/>
                <w:color w:val="auto"/>
              </w:rPr>
            </w:pPr>
            <w:r>
              <w:rPr>
                <w:rFonts w:ascii="Arial" w:cs="Arial" w:eastAsia="Arial" w:hAnsi="Arial"/>
                <w:sz w:val="20"/>
                <w:szCs w:val="20"/>
                <w:color w:val="auto"/>
              </w:rPr>
              <w:t>Total Aggregates Business</w:t>
            </w:r>
          </w:p>
        </w:tc>
        <w:tc>
          <w:tcPr>
            <w:tcW w:w="28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4,603,748</w:t>
            </w:r>
          </w:p>
        </w:tc>
        <w:tc>
          <w:tcPr>
            <w:tcW w:w="220" w:type="dxa"/>
            <w:vAlign w:val="bottom"/>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4,339,277</w:t>
            </w:r>
          </w:p>
        </w:tc>
        <w:tc>
          <w:tcPr>
            <w:tcW w:w="220" w:type="dxa"/>
            <w:vAlign w:val="bottom"/>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3,815,359</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900" w:type="dxa"/>
            <w:vAlign w:val="bottom"/>
            <w:gridSpan w:val="2"/>
          </w:tcPr>
          <w:p>
            <w:pPr>
              <w:spacing w:after="0"/>
              <w:rPr>
                <w:sz w:val="20"/>
                <w:szCs w:val="20"/>
                <w:color w:val="auto"/>
              </w:rPr>
            </w:pPr>
            <w:r>
              <w:rPr>
                <w:rFonts w:ascii="Arial" w:cs="Arial" w:eastAsia="Arial" w:hAnsi="Arial"/>
                <w:sz w:val="20"/>
                <w:szCs w:val="20"/>
                <w:color w:val="auto"/>
              </w:rPr>
              <w:t>Cement</w:t>
            </w: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1,973,686</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2,451,799</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3,038,802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900" w:type="dxa"/>
            <w:vAlign w:val="bottom"/>
            <w:gridSpan w:val="2"/>
            <w:shd w:val="clear" w:color="auto" w:fill="CFF0FC"/>
          </w:tcPr>
          <w:p>
            <w:pPr>
              <w:spacing w:after="0"/>
              <w:rPr>
                <w:sz w:val="20"/>
                <w:szCs w:val="20"/>
                <w:color w:val="auto"/>
              </w:rPr>
            </w:pPr>
            <w:r>
              <w:rPr>
                <w:rFonts w:ascii="Arial" w:cs="Arial" w:eastAsia="Arial" w:hAnsi="Arial"/>
                <w:sz w:val="20"/>
                <w:szCs w:val="20"/>
                <w:color w:val="auto"/>
              </w:rPr>
              <w:t>Magnesia Specialties</w:t>
            </w:r>
          </w:p>
        </w:tc>
        <w:tc>
          <w:tcPr>
            <w:tcW w:w="28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147,217</w:t>
            </w:r>
          </w:p>
        </w:tc>
        <w:tc>
          <w:tcPr>
            <w:tcW w:w="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150,359</w:t>
            </w:r>
          </w:p>
        </w:tc>
        <w:tc>
          <w:tcPr>
            <w:tcW w:w="2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150,068</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900" w:type="dxa"/>
            <w:vAlign w:val="bottom"/>
            <w:tcBorders>
              <w:bottom w:val="single" w:sz="8" w:color="CFF0FC"/>
            </w:tcBorders>
            <w:gridSpan w:val="2"/>
          </w:tcPr>
          <w:p>
            <w:pPr>
              <w:spacing w:after="0"/>
              <w:rPr>
                <w:sz w:val="20"/>
                <w:szCs w:val="20"/>
                <w:color w:val="auto"/>
              </w:rPr>
            </w:pPr>
            <w:r>
              <w:rPr>
                <w:rFonts w:ascii="Arial" w:cs="Arial" w:eastAsia="Arial" w:hAnsi="Arial"/>
                <w:sz w:val="20"/>
                <w:szCs w:val="20"/>
                <w:color w:val="auto"/>
              </w:rPr>
              <w:t>Corporate</w:t>
            </w:r>
          </w:p>
        </w:tc>
        <w:tc>
          <w:tcPr>
            <w:tcW w:w="2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713,797</w:t>
            </w:r>
          </w:p>
        </w:tc>
        <w:tc>
          <w:tcPr>
            <w:tcW w:w="220" w:type="dxa"/>
            <w:vAlign w:val="bottom"/>
            <w:tcBorders>
              <w:bottom w:val="single" w:sz="8" w:color="CFF0FC"/>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522,957</w:t>
            </w:r>
          </w:p>
        </w:tc>
        <w:tc>
          <w:tcPr>
            <w:tcW w:w="220" w:type="dxa"/>
            <w:vAlign w:val="bottom"/>
            <w:tcBorders>
              <w:bottom w:val="single" w:sz="8" w:color="CFF0FC"/>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334,629</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90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20"/>
                <w:szCs w:val="20"/>
                <w:color w:val="auto"/>
              </w:rPr>
              <w:t>Total</w:t>
            </w:r>
          </w:p>
        </w:tc>
        <w:tc>
          <w:tcPr>
            <w:tcW w:w="280" w:type="dxa"/>
            <w:vAlign w:val="bottom"/>
            <w:tcBorders>
              <w:bottom w:val="single" w:sz="8" w:color="auto"/>
            </w:tcBorders>
            <w:shd w:val="clear" w:color="auto" w:fill="CFF0FC"/>
          </w:tcPr>
          <w:p>
            <w:pPr>
              <w:jc w:val="right"/>
              <w:ind w:right="81"/>
              <w:spacing w:after="0"/>
              <w:rPr>
                <w:sz w:val="20"/>
                <w:szCs w:val="20"/>
                <w:color w:val="auto"/>
              </w:rPr>
            </w:pPr>
            <w:r>
              <w:rPr>
                <w:rFonts w:ascii="Arial" w:cs="Arial" w:eastAsia="Arial" w:hAnsi="Arial"/>
                <w:sz w:val="20"/>
                <w:szCs w:val="20"/>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7,438,448</w:t>
            </w:r>
          </w:p>
        </w:tc>
        <w:tc>
          <w:tcPr>
            <w:tcW w:w="2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7,464,392</w:t>
            </w:r>
          </w:p>
        </w:tc>
        <w:tc>
          <w:tcPr>
            <w:tcW w:w="22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jc w:val="right"/>
              <w:ind w:right="81"/>
              <w:spacing w:after="0"/>
              <w:rPr>
                <w:sz w:val="20"/>
                <w:szCs w:val="20"/>
                <w:color w:val="auto"/>
              </w:rPr>
            </w:pPr>
            <w:r>
              <w:rPr>
                <w:rFonts w:ascii="Arial" w:cs="Arial" w:eastAsia="Arial" w:hAnsi="Arial"/>
                <w:sz w:val="20"/>
                <w:szCs w:val="20"/>
                <w:color w:val="auto"/>
                <w:w w:val="71"/>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7,338,858</w:t>
            </w:r>
          </w:p>
        </w:tc>
        <w:tc>
          <w:tcPr>
            <w:tcW w:w="12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jc w:val="both"/>
        <w:ind w:left="380"/>
        <w:spacing w:after="0" w:line="243" w:lineRule="auto"/>
        <w:rPr>
          <w:sz w:val="20"/>
          <w:szCs w:val="20"/>
          <w:color w:val="auto"/>
        </w:rPr>
      </w:pPr>
      <w:r>
        <w:rPr>
          <w:rFonts w:ascii="Arial" w:cs="Arial" w:eastAsia="Arial" w:hAnsi="Arial"/>
          <w:sz w:val="20"/>
          <w:szCs w:val="20"/>
          <w:color w:val="auto"/>
        </w:rPr>
        <w:t>The assets employed at December 31, 2014 reflect a reclassification of approximately $600 million of goodwill from the Cement segment to the West Group segment compared with the amounts presented in the Segments note (Note O) to the consolidated financial statements in the 2014 Form 10-K. This correction had no impact on the consolidated balance sheet as of December 31, 2014, or the consolidated statements of earnings (including earnings per diluted share), comprehensive earnings, total equity and cash flows for the year then ended. Further, goodwill by reportable segment was correctly presented in the Goodwill and Intangible Assets note (Note B) to the 2014 consolidated financial statements.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22 of 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2" w:name="page23"/>
    <w:bookmarkEnd w:id="22"/>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September 30, 2015</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NOTES TO CONSOLIDATED FINANCIAL STATEMENTS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207" w:lineRule="exact"/>
        <w:rPr>
          <w:sz w:val="20"/>
          <w:szCs w:val="20"/>
          <w:color w:val="auto"/>
        </w:rPr>
      </w:pPr>
    </w:p>
    <w:p>
      <w:pPr>
        <w:ind w:left="380" w:hanging="372"/>
        <w:spacing w:after="0"/>
        <w:tabs>
          <w:tab w:leader="none" w:pos="380" w:val="left"/>
        </w:tabs>
        <w:numPr>
          <w:ilvl w:val="0"/>
          <w:numId w:val="19"/>
        </w:numPr>
        <w:rPr>
          <w:rFonts w:ascii="Arial" w:cs="Arial" w:eastAsia="Arial" w:hAnsi="Arial"/>
          <w:sz w:val="20"/>
          <w:szCs w:val="20"/>
          <w:b w:val="1"/>
          <w:bCs w:val="1"/>
          <w:color w:val="auto"/>
        </w:rPr>
      </w:pPr>
      <w:r>
        <w:rPr>
          <w:rFonts w:ascii="Arial" w:cs="Arial" w:eastAsia="Arial" w:hAnsi="Arial"/>
          <w:sz w:val="20"/>
          <w:szCs w:val="20"/>
          <w:b w:val="1"/>
          <w:bCs w:val="1"/>
          <w:color w:val="auto"/>
        </w:rPr>
        <w:t>Business Segments (continued)</w:t>
      </w:r>
    </w:p>
    <w:p>
      <w:pPr>
        <w:spacing w:after="0" w:line="113" w:lineRule="exact"/>
        <w:rPr>
          <w:rFonts w:ascii="Arial" w:cs="Arial" w:eastAsia="Arial" w:hAnsi="Arial"/>
          <w:sz w:val="20"/>
          <w:szCs w:val="20"/>
          <w:b w:val="1"/>
          <w:bCs w:val="1"/>
          <w:color w:val="auto"/>
        </w:rPr>
      </w:pPr>
    </w:p>
    <w:p>
      <w:pPr>
        <w:jc w:val="both"/>
        <w:ind w:left="380"/>
        <w:spacing w:after="0" w:line="245" w:lineRule="auto"/>
        <w:rPr>
          <w:rFonts w:ascii="Arial" w:cs="Arial" w:eastAsia="Arial" w:hAnsi="Arial"/>
          <w:sz w:val="20"/>
          <w:szCs w:val="20"/>
          <w:b w:val="1"/>
          <w:bCs w:val="1"/>
          <w:color w:val="auto"/>
        </w:rPr>
      </w:pPr>
      <w:r>
        <w:rPr>
          <w:rFonts w:ascii="Arial" w:cs="Arial" w:eastAsia="Arial" w:hAnsi="Arial"/>
          <w:sz w:val="20"/>
          <w:szCs w:val="20"/>
          <w:color w:val="auto"/>
        </w:rPr>
        <w:t>The Aggregates business includes the aggregates product line and aggregates-related downstream product lines, which include asphalt, ready mixed concrete and road paving product lines. All aggregates-related downstream product lines reside in the West Group. The following tables, which are reconciled to consolidated amounts, provide net sales and gross profit by line of business: Aggregates (further divided by product line), Cement and Magnesia Specialties.</w:t>
      </w:r>
    </w:p>
    <w:tbl>
      <w:tblPr>
        <w:tblLayout w:type="fixed"/>
        <w:tblInd w:w="0" w:type="dxa"/>
        <w:tblCellMar>
          <w:top w:w="0" w:type="dxa"/>
          <w:left w:w="0" w:type="dxa"/>
          <w:bottom w:w="0" w:type="dxa"/>
          <w:right w:w="0" w:type="dxa"/>
        </w:tblCellMar>
      </w:tblPr>
      <w:tr>
        <w:trPr>
          <w:trHeight w:val="236"/>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80" w:type="dxa"/>
            <w:vAlign w:val="bottom"/>
            <w:gridSpan w:val="5"/>
          </w:tcPr>
          <w:p>
            <w:pPr>
              <w:jc w:val="right"/>
              <w:ind w:right="600"/>
              <w:spacing w:after="0"/>
              <w:rPr>
                <w:sz w:val="20"/>
                <w:szCs w:val="20"/>
                <w:color w:val="auto"/>
              </w:rPr>
            </w:pPr>
            <w:r>
              <w:rPr>
                <w:rFonts w:ascii="Arial" w:cs="Arial" w:eastAsia="Arial" w:hAnsi="Arial"/>
                <w:sz w:val="20"/>
                <w:szCs w:val="20"/>
                <w:color w:val="auto"/>
                <w:w w:val="99"/>
              </w:rPr>
              <w:t>Three Months Ended</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80" w:type="dxa"/>
            <w:vAlign w:val="bottom"/>
            <w:gridSpan w:val="6"/>
          </w:tcPr>
          <w:p>
            <w:pPr>
              <w:jc w:val="right"/>
              <w:ind w:right="620"/>
              <w:spacing w:after="0"/>
              <w:rPr>
                <w:sz w:val="20"/>
                <w:szCs w:val="20"/>
                <w:color w:val="auto"/>
              </w:rPr>
            </w:pPr>
            <w:r>
              <w:rPr>
                <w:rFonts w:ascii="Arial" w:cs="Arial" w:eastAsia="Arial" w:hAnsi="Arial"/>
                <w:sz w:val="20"/>
                <w:szCs w:val="20"/>
                <w:color w:val="auto"/>
              </w:rPr>
              <w:t>Nine Months Ended</w:t>
            </w: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58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80" w:type="dxa"/>
            <w:vAlign w:val="bottom"/>
            <w:gridSpan w:val="5"/>
          </w:tcPr>
          <w:p>
            <w:pPr>
              <w:jc w:val="right"/>
              <w:ind w:right="860"/>
              <w:spacing w:after="0"/>
              <w:rPr>
                <w:sz w:val="20"/>
                <w:szCs w:val="20"/>
                <w:color w:val="auto"/>
              </w:rPr>
            </w:pPr>
            <w:r>
              <w:rPr>
                <w:rFonts w:ascii="Arial" w:cs="Arial" w:eastAsia="Arial" w:hAnsi="Arial"/>
                <w:sz w:val="20"/>
                <w:szCs w:val="20"/>
                <w:color w:val="auto"/>
              </w:rPr>
              <w:t>September 30,</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80" w:type="dxa"/>
            <w:vAlign w:val="bottom"/>
            <w:gridSpan w:val="6"/>
          </w:tcPr>
          <w:p>
            <w:pPr>
              <w:jc w:val="right"/>
              <w:ind w:right="860"/>
              <w:spacing w:after="0"/>
              <w:rPr>
                <w:sz w:val="20"/>
                <w:szCs w:val="20"/>
                <w:color w:val="auto"/>
              </w:rPr>
            </w:pPr>
            <w:r>
              <w:rPr>
                <w:rFonts w:ascii="Arial" w:cs="Arial" w:eastAsia="Arial" w:hAnsi="Arial"/>
                <w:sz w:val="20"/>
                <w:szCs w:val="20"/>
                <w:color w:val="auto"/>
              </w:rPr>
              <w:t>September 30,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301"/>
              <w:spacing w:after="0"/>
              <w:rPr>
                <w:sz w:val="20"/>
                <w:szCs w:val="20"/>
                <w:color w:val="auto"/>
              </w:rPr>
            </w:pPr>
            <w:r>
              <w:rPr>
                <w:rFonts w:ascii="Arial" w:cs="Arial" w:eastAsia="Arial" w:hAnsi="Arial"/>
                <w:sz w:val="20"/>
                <w:szCs w:val="20"/>
                <w:color w:val="auto"/>
              </w:rPr>
              <w:t>2015</w:t>
            </w:r>
          </w:p>
        </w:tc>
        <w:tc>
          <w:tcPr>
            <w:tcW w:w="220" w:type="dxa"/>
            <w:vAlign w:val="bottom"/>
            <w:tcBorders>
              <w:top w:val="single" w:sz="8" w:color="auto"/>
              <w:bottom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81"/>
              <w:spacing w:after="0"/>
              <w:rPr>
                <w:sz w:val="20"/>
                <w:szCs w:val="20"/>
                <w:color w:val="auto"/>
              </w:rPr>
            </w:pPr>
            <w:r>
              <w:rPr>
                <w:rFonts w:ascii="Arial" w:cs="Arial" w:eastAsia="Arial" w:hAnsi="Arial"/>
                <w:sz w:val="20"/>
                <w:szCs w:val="20"/>
                <w:color w:val="auto"/>
              </w:rPr>
              <w:t>2014</w:t>
            </w:r>
          </w:p>
        </w:tc>
        <w:tc>
          <w:tcPr>
            <w:tcW w:w="1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301"/>
              <w:spacing w:after="0"/>
              <w:rPr>
                <w:sz w:val="20"/>
                <w:szCs w:val="20"/>
                <w:color w:val="auto"/>
              </w:rPr>
            </w:pPr>
            <w:r>
              <w:rPr>
                <w:rFonts w:ascii="Arial" w:cs="Arial" w:eastAsia="Arial" w:hAnsi="Arial"/>
                <w:sz w:val="20"/>
                <w:szCs w:val="20"/>
                <w:color w:val="auto"/>
              </w:rPr>
              <w:t>2015</w:t>
            </w:r>
          </w:p>
        </w:tc>
        <w:tc>
          <w:tcPr>
            <w:tcW w:w="140" w:type="dxa"/>
            <w:vAlign w:val="bottom"/>
            <w:tcBorders>
              <w:top w:val="single" w:sz="8" w:color="auto"/>
              <w:bottom w:val="single" w:sz="8" w:color="auto"/>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321"/>
              <w:spacing w:after="0"/>
              <w:rPr>
                <w:sz w:val="20"/>
                <w:szCs w:val="20"/>
                <w:color w:val="auto"/>
              </w:rPr>
            </w:pPr>
            <w:r>
              <w:rPr>
                <w:rFonts w:ascii="Arial" w:cs="Arial" w:eastAsia="Arial" w:hAnsi="Arial"/>
                <w:sz w:val="20"/>
                <w:szCs w:val="20"/>
                <w:color w:val="auto"/>
              </w:rPr>
              <w:t>2014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4020" w:type="dxa"/>
            <w:vAlign w:val="bottom"/>
            <w:gridSpan w:val="4"/>
            <w:vMerge w:val="restart"/>
          </w:tcPr>
          <w:p>
            <w:pPr>
              <w:spacing w:after="0"/>
              <w:rPr>
                <w:sz w:val="20"/>
                <w:szCs w:val="20"/>
                <w:color w:val="auto"/>
              </w:rPr>
            </w:pPr>
            <w:r>
              <w:rPr>
                <w:rFonts w:ascii="Arial" w:cs="Arial" w:eastAsia="Arial" w:hAnsi="Arial"/>
                <w:sz w:val="20"/>
                <w:szCs w:val="20"/>
                <w:color w:val="auto"/>
              </w:rPr>
              <w:t>Net sales:</w:t>
            </w:r>
          </w:p>
        </w:tc>
        <w:tc>
          <w:tcPr>
            <w:tcW w:w="1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60" w:type="dxa"/>
            <w:vAlign w:val="bottom"/>
            <w:gridSpan w:val="6"/>
          </w:tcPr>
          <w:p>
            <w:pPr>
              <w:jc w:val="right"/>
              <w:ind w:right="480"/>
              <w:spacing w:after="0"/>
              <w:rPr>
                <w:sz w:val="20"/>
                <w:szCs w:val="20"/>
                <w:color w:val="auto"/>
              </w:rPr>
            </w:pPr>
            <w:r>
              <w:rPr>
                <w:rFonts w:ascii="Arial" w:cs="Arial" w:eastAsia="Arial" w:hAnsi="Arial"/>
                <w:sz w:val="20"/>
                <w:szCs w:val="20"/>
                <w:i w:val="1"/>
                <w:iCs w:val="1"/>
                <w:color w:val="auto"/>
                <w:w w:val="97"/>
              </w:rPr>
              <w:t>(Dollars in Thousands)</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4020" w:type="dxa"/>
            <w:vAlign w:val="bottom"/>
            <w:gridSpan w:val="4"/>
            <w:vMerge w:val="continue"/>
          </w:tcPr>
          <w:p>
            <w:pPr>
              <w:spacing w:after="0"/>
              <w:rPr>
                <w:sz w:val="16"/>
                <w:szCs w:val="16"/>
                <w:color w:val="auto"/>
              </w:rPr>
            </w:pPr>
          </w:p>
        </w:tc>
        <w:tc>
          <w:tcPr>
            <w:tcW w:w="1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vMerge w:val="continue"/>
          </w:tcPr>
          <w:p>
            <w:pPr>
              <w:spacing w:after="0"/>
              <w:rPr>
                <w:sz w:val="21"/>
                <w:szCs w:val="21"/>
                <w:color w:val="auto"/>
              </w:rPr>
            </w:pPr>
          </w:p>
        </w:tc>
        <w:tc>
          <w:tcPr>
            <w:tcW w:w="4000" w:type="dxa"/>
            <w:vAlign w:val="bottom"/>
            <w:gridSpan w:val="3"/>
            <w:shd w:val="clear" w:color="auto" w:fill="CFF0FC"/>
          </w:tcPr>
          <w:p>
            <w:pPr>
              <w:spacing w:after="0"/>
              <w:rPr>
                <w:sz w:val="20"/>
                <w:szCs w:val="20"/>
                <w:color w:val="auto"/>
              </w:rPr>
            </w:pPr>
            <w:r>
              <w:rPr>
                <w:rFonts w:ascii="Arial" w:cs="Arial" w:eastAsia="Arial" w:hAnsi="Arial"/>
                <w:sz w:val="20"/>
                <w:szCs w:val="20"/>
                <w:color w:val="auto"/>
              </w:rPr>
              <w:t>Aggregates</w:t>
            </w:r>
          </w:p>
        </w:tc>
        <w:tc>
          <w:tcPr>
            <w:tcW w:w="2140" w:type="dxa"/>
            <w:vAlign w:val="bottom"/>
            <w:gridSpan w:val="2"/>
            <w:shd w:val="clear" w:color="auto" w:fill="CFF0FC"/>
          </w:tcPr>
          <w:p>
            <w:pPr>
              <w:jc w:val="right"/>
              <w:ind w:right="21"/>
              <w:spacing w:after="0"/>
              <w:rPr>
                <w:sz w:val="20"/>
                <w:szCs w:val="20"/>
                <w:color w:val="auto"/>
              </w:rPr>
            </w:pPr>
            <w:r>
              <w:rPr>
                <w:rFonts w:ascii="Arial" w:cs="Arial" w:eastAsia="Arial" w:hAnsi="Arial"/>
                <w:sz w:val="20"/>
                <w:szCs w:val="20"/>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529,993</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478,834</w:t>
            </w:r>
          </w:p>
        </w:tc>
        <w:tc>
          <w:tcPr>
            <w:tcW w:w="160" w:type="dxa"/>
            <w:vAlign w:val="bottom"/>
            <w:shd w:val="clear" w:color="auto" w:fill="CFF0FC"/>
          </w:tcPr>
          <w:p>
            <w:pPr>
              <w:spacing w:after="0"/>
              <w:rPr>
                <w:sz w:val="21"/>
                <w:szCs w:val="21"/>
                <w:color w:val="auto"/>
              </w:rPr>
            </w:pPr>
          </w:p>
        </w:tc>
        <w:tc>
          <w:tcPr>
            <w:tcW w:w="300" w:type="dxa"/>
            <w:vAlign w:val="bottom"/>
            <w:gridSpan w:val="2"/>
            <w:shd w:val="clear" w:color="auto" w:fill="CFF0FC"/>
          </w:tcPr>
          <w:p>
            <w:pPr>
              <w:jc w:val="right"/>
              <w:ind w:right="41"/>
              <w:spacing w:after="0"/>
              <w:rPr>
                <w:sz w:val="20"/>
                <w:szCs w:val="20"/>
                <w:color w:val="auto"/>
              </w:rPr>
            </w:pPr>
            <w:r>
              <w:rPr>
                <w:rFonts w:ascii="Arial" w:cs="Arial" w:eastAsia="Arial" w:hAnsi="Arial"/>
                <w:sz w:val="20"/>
                <w:szCs w:val="20"/>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1,343,821</w:t>
            </w:r>
          </w:p>
        </w:tc>
        <w:tc>
          <w:tcPr>
            <w:tcW w:w="140" w:type="dxa"/>
            <w:vAlign w:val="bottom"/>
            <w:shd w:val="clear" w:color="auto" w:fill="CFF0FC"/>
          </w:tcPr>
          <w:p>
            <w:pPr>
              <w:spacing w:after="0"/>
              <w:rPr>
                <w:sz w:val="21"/>
                <w:szCs w:val="21"/>
                <w:color w:val="auto"/>
              </w:rPr>
            </w:pPr>
          </w:p>
        </w:tc>
        <w:tc>
          <w:tcPr>
            <w:tcW w:w="320" w:type="dxa"/>
            <w:vAlign w:val="bottom"/>
            <w:gridSpan w:val="2"/>
            <w:shd w:val="clear" w:color="auto" w:fill="CFF0FC"/>
          </w:tcPr>
          <w:p>
            <w:pPr>
              <w:jc w:val="right"/>
              <w:ind w:right="41"/>
              <w:spacing w:after="0"/>
              <w:rPr>
                <w:sz w:val="20"/>
                <w:szCs w:val="20"/>
                <w:color w:val="auto"/>
              </w:rPr>
            </w:pPr>
            <w:r>
              <w:rPr>
                <w:rFonts w:ascii="Arial" w:cs="Arial" w:eastAsia="Arial" w:hAnsi="Arial"/>
                <w:sz w:val="20"/>
                <w:szCs w:val="20"/>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1,164,692</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000" w:type="dxa"/>
            <w:vAlign w:val="bottom"/>
            <w:gridSpan w:val="3"/>
          </w:tcPr>
          <w:p>
            <w:pPr>
              <w:spacing w:after="0"/>
              <w:rPr>
                <w:sz w:val="20"/>
                <w:szCs w:val="20"/>
                <w:color w:val="auto"/>
              </w:rPr>
            </w:pPr>
            <w:r>
              <w:rPr>
                <w:rFonts w:ascii="Arial" w:cs="Arial" w:eastAsia="Arial" w:hAnsi="Arial"/>
                <w:sz w:val="20"/>
                <w:szCs w:val="20"/>
                <w:color w:val="auto"/>
              </w:rPr>
              <w:t>Asphalt</w:t>
            </w:r>
          </w:p>
        </w:tc>
        <w:tc>
          <w:tcPr>
            <w:tcW w:w="1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26,817</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26,873</w:t>
            </w: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55,358</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59,998</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000" w:type="dxa"/>
            <w:vAlign w:val="bottom"/>
            <w:gridSpan w:val="3"/>
            <w:shd w:val="clear" w:color="auto" w:fill="CFF0FC"/>
          </w:tcPr>
          <w:p>
            <w:pPr>
              <w:spacing w:after="0"/>
              <w:rPr>
                <w:sz w:val="20"/>
                <w:szCs w:val="20"/>
                <w:color w:val="auto"/>
              </w:rPr>
            </w:pPr>
            <w:r>
              <w:rPr>
                <w:rFonts w:ascii="Arial" w:cs="Arial" w:eastAsia="Arial" w:hAnsi="Arial"/>
                <w:sz w:val="20"/>
                <w:szCs w:val="20"/>
                <w:color w:val="auto"/>
              </w:rPr>
              <w:t>Ready Mixed Concrete</w:t>
            </w:r>
          </w:p>
        </w:tc>
        <w:tc>
          <w:tcPr>
            <w:tcW w:w="19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209,608</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183,715</w:t>
            </w:r>
          </w:p>
        </w:tc>
        <w:tc>
          <w:tcPr>
            <w:tcW w:w="16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486,931</w:t>
            </w:r>
          </w:p>
        </w:tc>
        <w:tc>
          <w:tcPr>
            <w:tcW w:w="1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274,103</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000" w:type="dxa"/>
            <w:vAlign w:val="bottom"/>
            <w:tcBorders>
              <w:bottom w:val="single" w:sz="8" w:color="CFF0FC"/>
            </w:tcBorders>
            <w:gridSpan w:val="3"/>
          </w:tcPr>
          <w:p>
            <w:pPr>
              <w:spacing w:after="0"/>
              <w:rPr>
                <w:sz w:val="20"/>
                <w:szCs w:val="20"/>
                <w:color w:val="auto"/>
              </w:rPr>
            </w:pPr>
            <w:r>
              <w:rPr>
                <w:rFonts w:ascii="Arial" w:cs="Arial" w:eastAsia="Arial" w:hAnsi="Arial"/>
                <w:sz w:val="20"/>
                <w:szCs w:val="20"/>
                <w:color w:val="auto"/>
              </w:rPr>
              <w:t>Road Paving</w:t>
            </w:r>
          </w:p>
        </w:tc>
        <w:tc>
          <w:tcPr>
            <w:tcW w:w="1920" w:type="dxa"/>
            <w:vAlign w:val="bottom"/>
            <w:tcBorders>
              <w:bottom w:val="single" w:sz="8" w:color="CFF0FC"/>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71,023</w:t>
            </w:r>
          </w:p>
        </w:tc>
        <w:tc>
          <w:tcPr>
            <w:tcW w:w="220" w:type="dxa"/>
            <w:vAlign w:val="bottom"/>
            <w:tcBorders>
              <w:bottom w:val="single" w:sz="8" w:color="CFF0FC"/>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60,327</w:t>
            </w:r>
          </w:p>
        </w:tc>
        <w:tc>
          <w:tcPr>
            <w:tcW w:w="160" w:type="dxa"/>
            <w:vAlign w:val="bottom"/>
            <w:tcBorders>
              <w:bottom w:val="single" w:sz="8" w:color="CFF0FC"/>
            </w:tcBorders>
          </w:tcPr>
          <w:p>
            <w:pPr>
              <w:spacing w:after="0"/>
              <w:rPr>
                <w:sz w:val="21"/>
                <w:szCs w:val="21"/>
                <w:color w:val="auto"/>
              </w:rPr>
            </w:pPr>
          </w:p>
        </w:tc>
        <w:tc>
          <w:tcPr>
            <w:tcW w:w="60" w:type="dxa"/>
            <w:vAlign w:val="bottom"/>
            <w:tcBorders>
              <w:bottom w:val="single" w:sz="8" w:color="CFF0FC"/>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117,273</w:t>
            </w:r>
          </w:p>
        </w:tc>
        <w:tc>
          <w:tcPr>
            <w:tcW w:w="14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113,302</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00" w:type="dxa"/>
            <w:vAlign w:val="bottom"/>
            <w:gridSpan w:val="3"/>
            <w:shd w:val="clear" w:color="auto" w:fill="CFF0FC"/>
          </w:tcPr>
          <w:p>
            <w:pPr>
              <w:spacing w:after="0"/>
              <w:rPr>
                <w:sz w:val="20"/>
                <w:szCs w:val="20"/>
                <w:color w:val="auto"/>
              </w:rPr>
            </w:pPr>
            <w:r>
              <w:rPr>
                <w:rFonts w:ascii="Arial" w:cs="Arial" w:eastAsia="Arial" w:hAnsi="Arial"/>
                <w:sz w:val="20"/>
                <w:szCs w:val="20"/>
                <w:color w:val="auto"/>
              </w:rPr>
              <w:t>Total Aggregates Business</w:t>
            </w:r>
          </w:p>
        </w:tc>
        <w:tc>
          <w:tcPr>
            <w:tcW w:w="1920" w:type="dxa"/>
            <w:vAlign w:val="bottom"/>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837,441</w:t>
            </w:r>
          </w:p>
        </w:tc>
        <w:tc>
          <w:tcPr>
            <w:tcW w:w="220" w:type="dxa"/>
            <w:vAlign w:val="bottom"/>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749,749</w:t>
            </w:r>
          </w:p>
        </w:tc>
        <w:tc>
          <w:tcPr>
            <w:tcW w:w="16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2,003,383</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1,612,095</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020" w:type="dxa"/>
            <w:vAlign w:val="bottom"/>
            <w:gridSpan w:val="4"/>
          </w:tcPr>
          <w:p>
            <w:pPr>
              <w:spacing w:after="0"/>
              <w:rPr>
                <w:sz w:val="20"/>
                <w:szCs w:val="20"/>
                <w:color w:val="auto"/>
              </w:rPr>
            </w:pPr>
            <w:r>
              <w:rPr>
                <w:rFonts w:ascii="Arial" w:cs="Arial" w:eastAsia="Arial" w:hAnsi="Arial"/>
                <w:sz w:val="20"/>
                <w:szCs w:val="20"/>
                <w:color w:val="auto"/>
              </w:rPr>
              <w:t>Cement</w:t>
            </w:r>
          </w:p>
        </w:tc>
        <w:tc>
          <w:tcPr>
            <w:tcW w:w="1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110,519</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109,521</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307,489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109,521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000" w:type="dxa"/>
            <w:vAlign w:val="bottom"/>
            <w:gridSpan w:val="3"/>
            <w:shd w:val="clear" w:color="auto" w:fill="CFF0FC"/>
          </w:tcPr>
          <w:p>
            <w:pPr>
              <w:spacing w:after="0"/>
              <w:rPr>
                <w:sz w:val="20"/>
                <w:szCs w:val="20"/>
                <w:color w:val="auto"/>
              </w:rPr>
            </w:pPr>
            <w:r>
              <w:rPr>
                <w:rFonts w:ascii="Arial" w:cs="Arial" w:eastAsia="Arial" w:hAnsi="Arial"/>
                <w:sz w:val="20"/>
                <w:szCs w:val="20"/>
                <w:color w:val="auto"/>
              </w:rPr>
              <w:t>Magnesia Specialties</w:t>
            </w:r>
          </w:p>
        </w:tc>
        <w:tc>
          <w:tcPr>
            <w:tcW w:w="1920" w:type="dxa"/>
            <w:vAlign w:val="bottom"/>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57,258</w:t>
            </w:r>
          </w:p>
        </w:tc>
        <w:tc>
          <w:tcPr>
            <w:tcW w:w="220" w:type="dxa"/>
            <w:vAlign w:val="bottom"/>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58,672</w:t>
            </w:r>
          </w:p>
        </w:tc>
        <w:tc>
          <w:tcPr>
            <w:tcW w:w="16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176,470</w:t>
            </w:r>
          </w:p>
        </w:tc>
        <w:tc>
          <w:tcPr>
            <w:tcW w:w="1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177,941</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4020" w:type="dxa"/>
            <w:vAlign w:val="bottom"/>
            <w:gridSpan w:val="4"/>
          </w:tcPr>
          <w:p>
            <w:pPr>
              <w:spacing w:after="0"/>
              <w:rPr>
                <w:sz w:val="20"/>
                <w:szCs w:val="20"/>
                <w:color w:val="auto"/>
              </w:rPr>
            </w:pPr>
            <w:r>
              <w:rPr>
                <w:rFonts w:ascii="Arial" w:cs="Arial" w:eastAsia="Arial" w:hAnsi="Arial"/>
                <w:sz w:val="20"/>
                <w:szCs w:val="20"/>
                <w:color w:val="auto"/>
              </w:rPr>
              <w:t>Total</w:t>
            </w:r>
          </w:p>
        </w:tc>
        <w:tc>
          <w:tcPr>
            <w:tcW w:w="1920" w:type="dxa"/>
            <w:vAlign w:val="bottom"/>
          </w:tcPr>
          <w:p>
            <w:pPr>
              <w:spacing w:after="0"/>
              <w:rPr>
                <w:sz w:val="24"/>
                <w:szCs w:val="24"/>
                <w:color w:val="auto"/>
              </w:rPr>
            </w:pPr>
          </w:p>
        </w:tc>
        <w:tc>
          <w:tcPr>
            <w:tcW w:w="22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1,005,218</w:t>
            </w:r>
          </w:p>
        </w:tc>
        <w:tc>
          <w:tcPr>
            <w:tcW w:w="220" w:type="dxa"/>
            <w:vAlign w:val="bottom"/>
          </w:tcPr>
          <w:p>
            <w:pPr>
              <w:spacing w:after="0"/>
              <w:rPr>
                <w:sz w:val="24"/>
                <w:szCs w:val="24"/>
                <w:color w:val="auto"/>
              </w:rPr>
            </w:pPr>
          </w:p>
        </w:tc>
        <w:tc>
          <w:tcPr>
            <w:tcW w:w="24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917,942</w:t>
            </w: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2,487,342</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1,899,557</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vMerge w:val="restart"/>
          </w:tcPr>
          <w:p>
            <w:pPr>
              <w:spacing w:after="0"/>
              <w:rPr>
                <w:sz w:val="19"/>
                <w:szCs w:val="19"/>
                <w:color w:val="auto"/>
              </w:rPr>
            </w:pPr>
          </w:p>
        </w:tc>
        <w:tc>
          <w:tcPr>
            <w:tcW w:w="700" w:type="dxa"/>
            <w:vAlign w:val="bottom"/>
            <w:tcBorders>
              <w:top w:val="single" w:sz="8" w:color="CFF0FC"/>
            </w:tcBorders>
            <w:shd w:val="clear" w:color="auto" w:fill="CFF0FC"/>
          </w:tcPr>
          <w:p>
            <w:pPr>
              <w:spacing w:after="0"/>
              <w:rPr>
                <w:sz w:val="19"/>
                <w:szCs w:val="19"/>
                <w:color w:val="auto"/>
              </w:rPr>
            </w:pPr>
          </w:p>
        </w:tc>
        <w:tc>
          <w:tcPr>
            <w:tcW w:w="720" w:type="dxa"/>
            <w:vAlign w:val="bottom"/>
            <w:tcBorders>
              <w:top w:val="single" w:sz="8" w:color="CFF0FC"/>
            </w:tcBorders>
            <w:shd w:val="clear" w:color="auto" w:fill="CFF0FC"/>
          </w:tcPr>
          <w:p>
            <w:pPr>
              <w:spacing w:after="0"/>
              <w:rPr>
                <w:sz w:val="19"/>
                <w:szCs w:val="19"/>
                <w:color w:val="auto"/>
              </w:rPr>
            </w:pPr>
          </w:p>
        </w:tc>
        <w:tc>
          <w:tcPr>
            <w:tcW w:w="2580" w:type="dxa"/>
            <w:vAlign w:val="bottom"/>
            <w:tcBorders>
              <w:top w:val="single" w:sz="8" w:color="CFF0FC"/>
            </w:tcBorders>
            <w:shd w:val="clear" w:color="auto" w:fill="CFF0FC"/>
          </w:tcPr>
          <w:p>
            <w:pPr>
              <w:spacing w:after="0"/>
              <w:rPr>
                <w:sz w:val="19"/>
                <w:szCs w:val="19"/>
                <w:color w:val="auto"/>
              </w:rPr>
            </w:pPr>
          </w:p>
        </w:tc>
        <w:tc>
          <w:tcPr>
            <w:tcW w:w="19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000" w:type="dxa"/>
            <w:vAlign w:val="bottom"/>
            <w:gridSpan w:val="3"/>
          </w:tcPr>
          <w:p>
            <w:pPr>
              <w:spacing w:after="0" w:line="203" w:lineRule="exact"/>
              <w:rPr>
                <w:sz w:val="20"/>
                <w:szCs w:val="20"/>
                <w:color w:val="auto"/>
              </w:rPr>
            </w:pPr>
            <w:r>
              <w:rPr>
                <w:rFonts w:ascii="Arial" w:cs="Arial" w:eastAsia="Arial" w:hAnsi="Arial"/>
                <w:sz w:val="20"/>
                <w:szCs w:val="20"/>
                <w:color w:val="auto"/>
              </w:rPr>
              <w:t>Gross profit (loss):</w:t>
            </w:r>
          </w:p>
        </w:tc>
        <w:tc>
          <w:tcPr>
            <w:tcW w:w="1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vMerge w:val="continue"/>
          </w:tcPr>
          <w:p>
            <w:pPr>
              <w:spacing w:after="0"/>
              <w:rPr>
                <w:sz w:val="21"/>
                <w:szCs w:val="21"/>
                <w:color w:val="auto"/>
              </w:rPr>
            </w:pPr>
          </w:p>
        </w:tc>
        <w:tc>
          <w:tcPr>
            <w:tcW w:w="4000" w:type="dxa"/>
            <w:vAlign w:val="bottom"/>
            <w:gridSpan w:val="3"/>
            <w:shd w:val="clear" w:color="auto" w:fill="CFF0FC"/>
          </w:tcPr>
          <w:p>
            <w:pPr>
              <w:spacing w:after="0"/>
              <w:rPr>
                <w:sz w:val="20"/>
                <w:szCs w:val="20"/>
                <w:color w:val="auto"/>
              </w:rPr>
            </w:pPr>
            <w:r>
              <w:rPr>
                <w:rFonts w:ascii="Arial" w:cs="Arial" w:eastAsia="Arial" w:hAnsi="Arial"/>
                <w:sz w:val="20"/>
                <w:szCs w:val="20"/>
                <w:color w:val="auto"/>
              </w:rPr>
              <w:t>Aggregates</w:t>
            </w:r>
          </w:p>
        </w:tc>
        <w:tc>
          <w:tcPr>
            <w:tcW w:w="2140" w:type="dxa"/>
            <w:vAlign w:val="bottom"/>
            <w:gridSpan w:val="2"/>
            <w:shd w:val="clear" w:color="auto" w:fill="CFF0FC"/>
          </w:tcPr>
          <w:p>
            <w:pPr>
              <w:jc w:val="right"/>
              <w:ind w:right="21"/>
              <w:spacing w:after="0"/>
              <w:rPr>
                <w:sz w:val="20"/>
                <w:szCs w:val="20"/>
                <w:color w:val="auto"/>
              </w:rPr>
            </w:pPr>
            <w:r>
              <w:rPr>
                <w:rFonts w:ascii="Arial" w:cs="Arial" w:eastAsia="Arial" w:hAnsi="Arial"/>
                <w:sz w:val="20"/>
                <w:szCs w:val="20"/>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166,166</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119,277</w:t>
            </w:r>
          </w:p>
        </w:tc>
        <w:tc>
          <w:tcPr>
            <w:tcW w:w="160" w:type="dxa"/>
            <w:vAlign w:val="bottom"/>
            <w:shd w:val="clear" w:color="auto" w:fill="CFF0FC"/>
          </w:tcPr>
          <w:p>
            <w:pPr>
              <w:spacing w:after="0"/>
              <w:rPr>
                <w:sz w:val="21"/>
                <w:szCs w:val="21"/>
                <w:color w:val="auto"/>
              </w:rPr>
            </w:pPr>
          </w:p>
        </w:tc>
        <w:tc>
          <w:tcPr>
            <w:tcW w:w="300" w:type="dxa"/>
            <w:vAlign w:val="bottom"/>
            <w:gridSpan w:val="2"/>
            <w:shd w:val="clear" w:color="auto" w:fill="CFF0FC"/>
          </w:tcPr>
          <w:p>
            <w:pPr>
              <w:jc w:val="right"/>
              <w:ind w:right="41"/>
              <w:spacing w:after="0"/>
              <w:rPr>
                <w:sz w:val="20"/>
                <w:szCs w:val="20"/>
                <w:color w:val="auto"/>
              </w:rPr>
            </w:pPr>
            <w:r>
              <w:rPr>
                <w:rFonts w:ascii="Arial" w:cs="Arial" w:eastAsia="Arial" w:hAnsi="Arial"/>
                <w:sz w:val="20"/>
                <w:szCs w:val="20"/>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344,857</w:t>
            </w:r>
          </w:p>
        </w:tc>
        <w:tc>
          <w:tcPr>
            <w:tcW w:w="140" w:type="dxa"/>
            <w:vAlign w:val="bottom"/>
            <w:shd w:val="clear" w:color="auto" w:fill="CFF0FC"/>
          </w:tcPr>
          <w:p>
            <w:pPr>
              <w:spacing w:after="0"/>
              <w:rPr>
                <w:sz w:val="21"/>
                <w:szCs w:val="21"/>
                <w:color w:val="auto"/>
              </w:rPr>
            </w:pPr>
          </w:p>
        </w:tc>
        <w:tc>
          <w:tcPr>
            <w:tcW w:w="320" w:type="dxa"/>
            <w:vAlign w:val="bottom"/>
            <w:gridSpan w:val="2"/>
            <w:shd w:val="clear" w:color="auto" w:fill="CFF0FC"/>
          </w:tcPr>
          <w:p>
            <w:pPr>
              <w:jc w:val="right"/>
              <w:ind w:right="41"/>
              <w:spacing w:after="0"/>
              <w:rPr>
                <w:sz w:val="20"/>
                <w:szCs w:val="20"/>
                <w:color w:val="auto"/>
              </w:rPr>
            </w:pPr>
            <w:r>
              <w:rPr>
                <w:rFonts w:ascii="Arial" w:cs="Arial" w:eastAsia="Arial" w:hAnsi="Arial"/>
                <w:sz w:val="20"/>
                <w:szCs w:val="20"/>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229,471</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000" w:type="dxa"/>
            <w:vAlign w:val="bottom"/>
            <w:gridSpan w:val="3"/>
          </w:tcPr>
          <w:p>
            <w:pPr>
              <w:spacing w:after="0"/>
              <w:rPr>
                <w:sz w:val="20"/>
                <w:szCs w:val="20"/>
                <w:color w:val="auto"/>
              </w:rPr>
            </w:pPr>
            <w:r>
              <w:rPr>
                <w:rFonts w:ascii="Arial" w:cs="Arial" w:eastAsia="Arial" w:hAnsi="Arial"/>
                <w:sz w:val="20"/>
                <w:szCs w:val="20"/>
                <w:color w:val="auto"/>
              </w:rPr>
              <w:t>Asphalt</w:t>
            </w:r>
          </w:p>
        </w:tc>
        <w:tc>
          <w:tcPr>
            <w:tcW w:w="1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10,794</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7,356</w:t>
            </w: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13,644</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10,799</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000" w:type="dxa"/>
            <w:vAlign w:val="bottom"/>
            <w:gridSpan w:val="3"/>
            <w:shd w:val="clear" w:color="auto" w:fill="CFF0FC"/>
          </w:tcPr>
          <w:p>
            <w:pPr>
              <w:spacing w:after="0"/>
              <w:rPr>
                <w:sz w:val="20"/>
                <w:szCs w:val="20"/>
                <w:color w:val="auto"/>
              </w:rPr>
            </w:pPr>
            <w:r>
              <w:rPr>
                <w:rFonts w:ascii="Arial" w:cs="Arial" w:eastAsia="Arial" w:hAnsi="Arial"/>
                <w:sz w:val="20"/>
                <w:szCs w:val="20"/>
                <w:color w:val="auto"/>
              </w:rPr>
              <w:t>Ready Mixed Concrete</w:t>
            </w:r>
          </w:p>
        </w:tc>
        <w:tc>
          <w:tcPr>
            <w:tcW w:w="19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23,557</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18,628</w:t>
            </w:r>
          </w:p>
        </w:tc>
        <w:tc>
          <w:tcPr>
            <w:tcW w:w="16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34,981</w:t>
            </w:r>
          </w:p>
        </w:tc>
        <w:tc>
          <w:tcPr>
            <w:tcW w:w="1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28,554</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000" w:type="dxa"/>
            <w:vAlign w:val="bottom"/>
            <w:tcBorders>
              <w:bottom w:val="single" w:sz="8" w:color="CFF0FC"/>
            </w:tcBorders>
            <w:gridSpan w:val="3"/>
          </w:tcPr>
          <w:p>
            <w:pPr>
              <w:spacing w:after="0"/>
              <w:rPr>
                <w:sz w:val="20"/>
                <w:szCs w:val="20"/>
                <w:color w:val="auto"/>
              </w:rPr>
            </w:pPr>
            <w:r>
              <w:rPr>
                <w:rFonts w:ascii="Arial" w:cs="Arial" w:eastAsia="Arial" w:hAnsi="Arial"/>
                <w:sz w:val="20"/>
                <w:szCs w:val="20"/>
                <w:color w:val="auto"/>
              </w:rPr>
              <w:t>Road Paving</w:t>
            </w:r>
          </w:p>
        </w:tc>
        <w:tc>
          <w:tcPr>
            <w:tcW w:w="1920" w:type="dxa"/>
            <w:vAlign w:val="bottom"/>
            <w:tcBorders>
              <w:bottom w:val="single" w:sz="8" w:color="CFF0FC"/>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11,263</w:t>
            </w:r>
          </w:p>
        </w:tc>
        <w:tc>
          <w:tcPr>
            <w:tcW w:w="220" w:type="dxa"/>
            <w:vAlign w:val="bottom"/>
            <w:tcBorders>
              <w:bottom w:val="single" w:sz="8" w:color="CFF0FC"/>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6,897</w:t>
            </w:r>
          </w:p>
        </w:tc>
        <w:tc>
          <w:tcPr>
            <w:tcW w:w="160" w:type="dxa"/>
            <w:vAlign w:val="bottom"/>
            <w:tcBorders>
              <w:bottom w:val="single" w:sz="8" w:color="CFF0FC"/>
            </w:tcBorders>
          </w:tcPr>
          <w:p>
            <w:pPr>
              <w:spacing w:after="0"/>
              <w:rPr>
                <w:sz w:val="21"/>
                <w:szCs w:val="21"/>
                <w:color w:val="auto"/>
              </w:rPr>
            </w:pPr>
          </w:p>
        </w:tc>
        <w:tc>
          <w:tcPr>
            <w:tcW w:w="60" w:type="dxa"/>
            <w:vAlign w:val="bottom"/>
            <w:tcBorders>
              <w:bottom w:val="single" w:sz="8" w:color="CFF0FC"/>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11,529</w:t>
            </w:r>
          </w:p>
        </w:tc>
        <w:tc>
          <w:tcPr>
            <w:tcW w:w="14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2,665</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00" w:type="dxa"/>
            <w:vAlign w:val="bottom"/>
            <w:gridSpan w:val="3"/>
            <w:shd w:val="clear" w:color="auto" w:fill="CFF0FC"/>
          </w:tcPr>
          <w:p>
            <w:pPr>
              <w:spacing w:after="0"/>
              <w:rPr>
                <w:sz w:val="20"/>
                <w:szCs w:val="20"/>
                <w:color w:val="auto"/>
              </w:rPr>
            </w:pPr>
            <w:r>
              <w:rPr>
                <w:rFonts w:ascii="Arial" w:cs="Arial" w:eastAsia="Arial" w:hAnsi="Arial"/>
                <w:sz w:val="20"/>
                <w:szCs w:val="20"/>
                <w:color w:val="auto"/>
              </w:rPr>
              <w:t>Total Aggregates Business</w:t>
            </w:r>
          </w:p>
        </w:tc>
        <w:tc>
          <w:tcPr>
            <w:tcW w:w="1920" w:type="dxa"/>
            <w:vAlign w:val="bottom"/>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211,780</w:t>
            </w:r>
          </w:p>
        </w:tc>
        <w:tc>
          <w:tcPr>
            <w:tcW w:w="220" w:type="dxa"/>
            <w:vAlign w:val="bottom"/>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152,158</w:t>
            </w:r>
          </w:p>
        </w:tc>
        <w:tc>
          <w:tcPr>
            <w:tcW w:w="16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405,011</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271,489</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020" w:type="dxa"/>
            <w:vAlign w:val="bottom"/>
            <w:gridSpan w:val="4"/>
          </w:tcPr>
          <w:p>
            <w:pPr>
              <w:spacing w:after="0"/>
              <w:rPr>
                <w:sz w:val="20"/>
                <w:szCs w:val="20"/>
                <w:color w:val="auto"/>
              </w:rPr>
            </w:pPr>
            <w:r>
              <w:rPr>
                <w:rFonts w:ascii="Arial" w:cs="Arial" w:eastAsia="Arial" w:hAnsi="Arial"/>
                <w:sz w:val="20"/>
                <w:szCs w:val="20"/>
                <w:color w:val="auto"/>
              </w:rPr>
              <w:t>Cement</w:t>
            </w:r>
          </w:p>
        </w:tc>
        <w:tc>
          <w:tcPr>
            <w:tcW w:w="1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38,244</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24,194</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87,642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24,194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000" w:type="dxa"/>
            <w:vAlign w:val="bottom"/>
            <w:gridSpan w:val="3"/>
            <w:shd w:val="clear" w:color="auto" w:fill="CFF0FC"/>
          </w:tcPr>
          <w:p>
            <w:pPr>
              <w:spacing w:after="0"/>
              <w:rPr>
                <w:sz w:val="20"/>
                <w:szCs w:val="20"/>
                <w:color w:val="auto"/>
              </w:rPr>
            </w:pPr>
            <w:r>
              <w:rPr>
                <w:rFonts w:ascii="Arial" w:cs="Arial" w:eastAsia="Arial" w:hAnsi="Arial"/>
                <w:sz w:val="20"/>
                <w:szCs w:val="20"/>
                <w:color w:val="auto"/>
              </w:rPr>
              <w:t>Magnesia Specialties</w:t>
            </w:r>
          </w:p>
        </w:tc>
        <w:tc>
          <w:tcPr>
            <w:tcW w:w="19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19,391</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20,043</w:t>
            </w:r>
          </w:p>
        </w:tc>
        <w:tc>
          <w:tcPr>
            <w:tcW w:w="16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60,793</w:t>
            </w:r>
          </w:p>
        </w:tc>
        <w:tc>
          <w:tcPr>
            <w:tcW w:w="1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62,192</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000" w:type="dxa"/>
            <w:vAlign w:val="bottom"/>
            <w:gridSpan w:val="3"/>
          </w:tcPr>
          <w:p>
            <w:pPr>
              <w:spacing w:after="0"/>
              <w:rPr>
                <w:sz w:val="20"/>
                <w:szCs w:val="20"/>
                <w:color w:val="auto"/>
              </w:rPr>
            </w:pPr>
            <w:r>
              <w:rPr>
                <w:rFonts w:ascii="Arial" w:cs="Arial" w:eastAsia="Arial" w:hAnsi="Arial"/>
                <w:sz w:val="20"/>
                <w:szCs w:val="20"/>
                <w:color w:val="auto"/>
              </w:rPr>
              <w:t>Corporate</w:t>
            </w:r>
          </w:p>
        </w:tc>
        <w:tc>
          <w:tcPr>
            <w:tcW w:w="1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20"/>
                <w:szCs w:val="20"/>
                <w:color w:val="auto"/>
              </w:rPr>
              <w:t>(6,910)</w:t>
            </w:r>
          </w:p>
        </w:tc>
        <w:tc>
          <w:tcPr>
            <w:tcW w:w="240" w:type="dxa"/>
            <w:vAlign w:val="bottom"/>
          </w:tcPr>
          <w:p>
            <w:pPr>
              <w:spacing w:after="0"/>
              <w:rPr>
                <w:sz w:val="21"/>
                <w:szCs w:val="21"/>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20"/>
                <w:szCs w:val="20"/>
                <w:color w:val="auto"/>
              </w:rPr>
              <w:t>(802)</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20"/>
                <w:szCs w:val="20"/>
                <w:color w:val="auto"/>
              </w:rPr>
              <w:t>(16,528)</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20"/>
                <w:szCs w:val="20"/>
                <w:color w:val="auto"/>
              </w:rPr>
              <w:t>(845)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00" w:type="dxa"/>
            <w:vAlign w:val="bottom"/>
            <w:tcBorders>
              <w:top w:val="single" w:sz="8" w:color="CFF0FC"/>
              <w:bottom w:val="single" w:sz="8" w:color="CFF0FC"/>
            </w:tcBorders>
            <w:gridSpan w:val="3"/>
            <w:shd w:val="clear" w:color="auto" w:fill="CFF0FC"/>
          </w:tcPr>
          <w:p>
            <w:pPr>
              <w:spacing w:after="0"/>
              <w:rPr>
                <w:sz w:val="20"/>
                <w:szCs w:val="20"/>
                <w:color w:val="auto"/>
              </w:rPr>
            </w:pPr>
            <w:r>
              <w:rPr>
                <w:rFonts w:ascii="Arial" w:cs="Arial" w:eastAsia="Arial" w:hAnsi="Arial"/>
                <w:sz w:val="20"/>
                <w:szCs w:val="20"/>
                <w:color w:val="auto"/>
              </w:rPr>
              <w:t>Total</w:t>
            </w:r>
          </w:p>
        </w:tc>
        <w:tc>
          <w:tcPr>
            <w:tcW w:w="1920" w:type="dxa"/>
            <w:vAlign w:val="bottom"/>
            <w:tcBorders>
              <w:top w:val="single" w:sz="8" w:color="CFF0FC"/>
              <w:bottom w:val="single" w:sz="8" w:color="CFF0FC"/>
            </w:tcBorders>
            <w:shd w:val="clear" w:color="auto" w:fill="CFF0FC"/>
          </w:tcPr>
          <w:p>
            <w:pPr>
              <w:spacing w:after="0"/>
              <w:rPr>
                <w:sz w:val="20"/>
                <w:szCs w:val="20"/>
                <w:color w:val="auto"/>
              </w:rPr>
            </w:pPr>
          </w:p>
        </w:tc>
        <w:tc>
          <w:tcPr>
            <w:tcW w:w="220" w:type="dxa"/>
            <w:vAlign w:val="bottom"/>
            <w:tcBorders>
              <w:top w:val="single" w:sz="8" w:color="auto"/>
              <w:bottom w:val="single" w:sz="8" w:color="auto"/>
            </w:tcBorders>
            <w:shd w:val="clear" w:color="auto" w:fill="CFF0FC"/>
          </w:tcPr>
          <w:p>
            <w:pPr>
              <w:jc w:val="right"/>
              <w:ind w:right="21"/>
              <w:spacing w:after="0"/>
              <w:rPr>
                <w:sz w:val="20"/>
                <w:szCs w:val="20"/>
                <w:color w:val="auto"/>
              </w:rPr>
            </w:pPr>
            <w:r>
              <w:rPr>
                <w:rFonts w:ascii="Arial" w:cs="Arial" w:eastAsia="Arial" w:hAnsi="Arial"/>
                <w:sz w:val="20"/>
                <w:szCs w:val="20"/>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262,505</w:t>
            </w:r>
          </w:p>
        </w:tc>
        <w:tc>
          <w:tcPr>
            <w:tcW w:w="220" w:type="dxa"/>
            <w:vAlign w:val="bottom"/>
            <w:tcBorders>
              <w:top w:val="single" w:sz="8" w:color="CFF0FC"/>
              <w:bottom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jc w:val="right"/>
              <w:ind w:right="41"/>
              <w:spacing w:after="0"/>
              <w:rPr>
                <w:sz w:val="20"/>
                <w:szCs w:val="20"/>
                <w:color w:val="auto"/>
              </w:rPr>
            </w:pPr>
            <w:r>
              <w:rPr>
                <w:rFonts w:ascii="Arial" w:cs="Arial" w:eastAsia="Arial" w:hAnsi="Arial"/>
                <w:sz w:val="20"/>
                <w:szCs w:val="20"/>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195,593</w:t>
            </w:r>
          </w:p>
        </w:tc>
        <w:tc>
          <w:tcPr>
            <w:tcW w:w="160" w:type="dxa"/>
            <w:vAlign w:val="bottom"/>
            <w:tcBorders>
              <w:top w:val="single" w:sz="8" w:color="CFF0FC"/>
              <w:bottom w:val="single" w:sz="8" w:color="CFF0FC"/>
            </w:tcBorders>
            <w:shd w:val="clear" w:color="auto" w:fill="CFF0FC"/>
          </w:tcPr>
          <w:p>
            <w:pPr>
              <w:spacing w:after="0"/>
              <w:rPr>
                <w:sz w:val="20"/>
                <w:szCs w:val="20"/>
                <w:color w:val="auto"/>
              </w:rPr>
            </w:pPr>
          </w:p>
        </w:tc>
        <w:tc>
          <w:tcPr>
            <w:tcW w:w="60" w:type="dxa"/>
            <w:vAlign w:val="bottom"/>
            <w:tcBorders>
              <w:top w:val="single" w:sz="8" w:color="CFF0FC"/>
              <w:bottom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jc w:val="right"/>
              <w:ind w:right="41"/>
              <w:spacing w:after="0"/>
              <w:rPr>
                <w:sz w:val="20"/>
                <w:szCs w:val="20"/>
                <w:color w:val="auto"/>
              </w:rPr>
            </w:pPr>
            <w:r>
              <w:rPr>
                <w:rFonts w:ascii="Arial" w:cs="Arial" w:eastAsia="Arial" w:hAnsi="Arial"/>
                <w:sz w:val="20"/>
                <w:szCs w:val="20"/>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536,918</w:t>
            </w:r>
          </w:p>
        </w:tc>
        <w:tc>
          <w:tcPr>
            <w:tcW w:w="140" w:type="dxa"/>
            <w:vAlign w:val="bottom"/>
            <w:tcBorders>
              <w:top w:val="single" w:sz="8" w:color="CFF0FC"/>
              <w:bottom w:val="single" w:sz="8" w:color="CFF0FC"/>
            </w:tcBorders>
            <w:shd w:val="clear" w:color="auto" w:fill="CFF0FC"/>
          </w:tcPr>
          <w:p>
            <w:pPr>
              <w:spacing w:after="0"/>
              <w:rPr>
                <w:sz w:val="20"/>
                <w:szCs w:val="20"/>
                <w:color w:val="auto"/>
              </w:rPr>
            </w:pPr>
          </w:p>
        </w:tc>
        <w:tc>
          <w:tcPr>
            <w:tcW w:w="80" w:type="dxa"/>
            <w:vAlign w:val="bottom"/>
            <w:tcBorders>
              <w:top w:val="single" w:sz="8" w:color="CFF0FC"/>
              <w:bottom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jc w:val="right"/>
              <w:ind w:right="41"/>
              <w:spacing w:after="0"/>
              <w:rPr>
                <w:sz w:val="20"/>
                <w:szCs w:val="20"/>
                <w:color w:val="auto"/>
              </w:rPr>
            </w:pPr>
            <w:r>
              <w:rPr>
                <w:rFonts w:ascii="Arial" w:cs="Arial" w:eastAsia="Arial" w:hAnsi="Arial"/>
                <w:sz w:val="20"/>
                <w:szCs w:val="20"/>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357,030</w:t>
            </w:r>
          </w:p>
        </w:tc>
        <w:tc>
          <w:tcPr>
            <w:tcW w:w="120" w:type="dxa"/>
            <w:vAlign w:val="bottom"/>
            <w:tcBorders>
              <w:top w:val="single" w:sz="8" w:color="CFF0FC"/>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23 of 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3" w:name="page24"/>
    <w:bookmarkEnd w:id="23"/>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September 30, 2015</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NOTES TO CONSOLIDATED FINANCIAL STATEMENTS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207" w:lineRule="exact"/>
        <w:rPr>
          <w:sz w:val="20"/>
          <w:szCs w:val="20"/>
          <w:color w:val="auto"/>
        </w:rPr>
      </w:pPr>
    </w:p>
    <w:p>
      <w:pPr>
        <w:ind w:left="380" w:hanging="372"/>
        <w:spacing w:after="0"/>
        <w:tabs>
          <w:tab w:leader="none" w:pos="380" w:val="left"/>
        </w:tabs>
        <w:numPr>
          <w:ilvl w:val="0"/>
          <w:numId w:val="20"/>
        </w:numPr>
        <w:rPr>
          <w:rFonts w:ascii="Arial" w:cs="Arial" w:eastAsia="Arial" w:hAnsi="Arial"/>
          <w:sz w:val="20"/>
          <w:szCs w:val="20"/>
          <w:b w:val="1"/>
          <w:bCs w:val="1"/>
          <w:color w:val="auto"/>
        </w:rPr>
      </w:pPr>
      <w:r>
        <w:rPr>
          <w:rFonts w:ascii="Arial" w:cs="Arial" w:eastAsia="Arial" w:hAnsi="Arial"/>
          <w:sz w:val="20"/>
          <w:szCs w:val="20"/>
          <w:b w:val="1"/>
          <w:bCs w:val="1"/>
          <w:color w:val="auto"/>
        </w:rPr>
        <w:t>Supplemental Cash Flow Information</w:t>
      </w:r>
    </w:p>
    <w:p>
      <w:pPr>
        <w:spacing w:after="0" w:line="113" w:lineRule="exact"/>
        <w:rPr>
          <w:rFonts w:ascii="Arial" w:cs="Arial" w:eastAsia="Arial" w:hAnsi="Arial"/>
          <w:sz w:val="20"/>
          <w:szCs w:val="20"/>
          <w:b w:val="1"/>
          <w:bCs w:val="1"/>
          <w:color w:val="auto"/>
        </w:rPr>
      </w:pPr>
    </w:p>
    <w:p>
      <w:pPr>
        <w:ind w:left="380"/>
        <w:spacing w:after="0"/>
        <w:rPr>
          <w:rFonts w:ascii="Arial" w:cs="Arial" w:eastAsia="Arial" w:hAnsi="Arial"/>
          <w:sz w:val="20"/>
          <w:szCs w:val="20"/>
          <w:b w:val="1"/>
          <w:bCs w:val="1"/>
          <w:color w:val="auto"/>
        </w:rPr>
      </w:pPr>
      <w:r>
        <w:rPr>
          <w:rFonts w:ascii="Arial" w:cs="Arial" w:eastAsia="Arial" w:hAnsi="Arial"/>
          <w:sz w:val="20"/>
          <w:szCs w:val="20"/>
          <w:color w:val="auto"/>
        </w:rPr>
        <w:t>The components of the change in other assets and liabilities, net, are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4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120" w:type="dxa"/>
            <w:vAlign w:val="bottom"/>
            <w:gridSpan w:val="6"/>
          </w:tcPr>
          <w:p>
            <w:pPr>
              <w:jc w:val="center"/>
              <w:ind w:right="480"/>
              <w:spacing w:after="0"/>
              <w:rPr>
                <w:sz w:val="20"/>
                <w:szCs w:val="20"/>
                <w:color w:val="auto"/>
              </w:rPr>
            </w:pPr>
            <w:r>
              <w:rPr>
                <w:rFonts w:ascii="Arial" w:cs="Arial" w:eastAsia="Arial" w:hAnsi="Arial"/>
                <w:sz w:val="20"/>
                <w:szCs w:val="20"/>
                <w:color w:val="auto"/>
                <w:w w:val="91"/>
              </w:rPr>
              <w:t>Nine Months Ended</w:t>
            </w:r>
          </w:p>
        </w:tc>
      </w:tr>
      <w:tr>
        <w:trPr>
          <w:trHeight w:val="246"/>
        </w:trPr>
        <w:tc>
          <w:tcPr>
            <w:tcW w:w="64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960" w:type="dxa"/>
            <w:vAlign w:val="bottom"/>
            <w:tcBorders>
              <w:bottom w:val="single" w:sz="8" w:color="auto"/>
            </w:tcBorders>
            <w:gridSpan w:val="4"/>
          </w:tcPr>
          <w:p>
            <w:pPr>
              <w:jc w:val="center"/>
              <w:ind w:left="601"/>
              <w:spacing w:after="0"/>
              <w:rPr>
                <w:sz w:val="20"/>
                <w:szCs w:val="20"/>
                <w:color w:val="auto"/>
              </w:rPr>
            </w:pPr>
            <w:r>
              <w:rPr>
                <w:rFonts w:ascii="Arial" w:cs="Arial" w:eastAsia="Arial" w:hAnsi="Arial"/>
                <w:sz w:val="20"/>
                <w:szCs w:val="20"/>
                <w:color w:val="auto"/>
                <w:w w:val="86"/>
              </w:rPr>
              <w:t>September 30,</w:t>
            </w:r>
          </w:p>
        </w:tc>
        <w:tc>
          <w:tcPr>
            <w:tcW w:w="104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r>
      <w:tr>
        <w:trPr>
          <w:trHeight w:val="237"/>
        </w:trPr>
        <w:tc>
          <w:tcPr>
            <w:tcW w:w="64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81"/>
              <w:spacing w:after="0"/>
              <w:rPr>
                <w:sz w:val="20"/>
                <w:szCs w:val="20"/>
                <w:color w:val="auto"/>
              </w:rPr>
            </w:pPr>
            <w:r>
              <w:rPr>
                <w:rFonts w:ascii="Arial" w:cs="Arial" w:eastAsia="Arial" w:hAnsi="Arial"/>
                <w:sz w:val="20"/>
                <w:szCs w:val="20"/>
                <w:color w:val="auto"/>
              </w:rPr>
              <w:t>2015</w:t>
            </w:r>
          </w:p>
        </w:tc>
        <w:tc>
          <w:tcPr>
            <w:tcW w:w="2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501"/>
              <w:spacing w:after="0"/>
              <w:rPr>
                <w:sz w:val="20"/>
                <w:szCs w:val="20"/>
                <w:color w:val="auto"/>
              </w:rPr>
            </w:pPr>
            <w:r>
              <w:rPr>
                <w:rFonts w:ascii="Arial" w:cs="Arial" w:eastAsia="Arial" w:hAnsi="Arial"/>
                <w:sz w:val="20"/>
                <w:szCs w:val="20"/>
                <w:color w:val="auto"/>
                <w:w w:val="94"/>
              </w:rPr>
              <w:t>2014</w:t>
            </w:r>
          </w:p>
        </w:tc>
        <w:tc>
          <w:tcPr>
            <w:tcW w:w="120" w:type="dxa"/>
            <w:vAlign w:val="bottom"/>
          </w:tcPr>
          <w:p>
            <w:pPr>
              <w:spacing w:after="0"/>
              <w:rPr>
                <w:sz w:val="20"/>
                <w:szCs w:val="20"/>
                <w:color w:val="auto"/>
              </w:rPr>
            </w:pPr>
          </w:p>
        </w:tc>
      </w:tr>
      <w:tr>
        <w:trPr>
          <w:trHeight w:val="233"/>
        </w:trPr>
        <w:tc>
          <w:tcPr>
            <w:tcW w:w="64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0" w:type="dxa"/>
            <w:vAlign w:val="bottom"/>
            <w:gridSpan w:val="5"/>
          </w:tcPr>
          <w:p>
            <w:pPr>
              <w:jc w:val="center"/>
              <w:ind w:right="261"/>
              <w:spacing w:after="0"/>
              <w:rPr>
                <w:sz w:val="20"/>
                <w:szCs w:val="20"/>
                <w:color w:val="auto"/>
              </w:rPr>
            </w:pPr>
            <w:r>
              <w:rPr>
                <w:rFonts w:ascii="Arial" w:cs="Arial" w:eastAsia="Arial" w:hAnsi="Arial"/>
                <w:sz w:val="20"/>
                <w:szCs w:val="20"/>
                <w:i w:val="1"/>
                <w:iCs w:val="1"/>
                <w:color w:val="auto"/>
                <w:w w:val="91"/>
              </w:rPr>
              <w:t>(Dollars in Thousands)</w:t>
            </w:r>
          </w:p>
        </w:tc>
        <w:tc>
          <w:tcPr>
            <w:tcW w:w="120" w:type="dxa"/>
            <w:vAlign w:val="bottom"/>
          </w:tcPr>
          <w:p>
            <w:pPr>
              <w:spacing w:after="0"/>
              <w:rPr>
                <w:sz w:val="20"/>
                <w:szCs w:val="20"/>
                <w:color w:val="auto"/>
              </w:rPr>
            </w:pPr>
          </w:p>
        </w:tc>
      </w:tr>
      <w:tr>
        <w:trPr>
          <w:trHeight w:val="246"/>
        </w:trPr>
        <w:tc>
          <w:tcPr>
            <w:tcW w:w="6460" w:type="dxa"/>
            <w:vAlign w:val="bottom"/>
          </w:tcPr>
          <w:p>
            <w:pPr>
              <w:spacing w:after="0"/>
              <w:rPr>
                <w:sz w:val="20"/>
                <w:szCs w:val="20"/>
                <w:color w:val="auto"/>
              </w:rPr>
            </w:pPr>
            <w:r>
              <w:rPr>
                <w:rFonts w:ascii="Arial" w:cs="Arial" w:eastAsia="Arial" w:hAnsi="Arial"/>
                <w:sz w:val="20"/>
                <w:szCs w:val="20"/>
                <w:color w:val="auto"/>
              </w:rPr>
              <w:t>Other current and noncurrent assets</w:t>
            </w:r>
          </w:p>
        </w:tc>
        <w:tc>
          <w:tcPr>
            <w:tcW w:w="1840" w:type="dxa"/>
            <w:vAlign w:val="bottom"/>
            <w:gridSpan w:val="2"/>
          </w:tcPr>
          <w:p>
            <w:pPr>
              <w:jc w:val="right"/>
              <w:ind w:right="141"/>
              <w:spacing w:after="0"/>
              <w:rPr>
                <w:sz w:val="20"/>
                <w:szCs w:val="20"/>
                <w:color w:val="auto"/>
              </w:rPr>
            </w:pPr>
            <w:r>
              <w:rPr>
                <w:rFonts w:ascii="Arial" w:cs="Arial" w:eastAsia="Arial" w:hAnsi="Arial"/>
                <w:sz w:val="20"/>
                <w:szCs w:val="20"/>
                <w:color w:val="auto"/>
              </w:rPr>
              <w:t>$</w:t>
            </w:r>
          </w:p>
        </w:tc>
        <w:tc>
          <w:tcPr>
            <w:tcW w:w="1440" w:type="dxa"/>
            <w:vAlign w:val="bottom"/>
            <w:gridSpan w:val="2"/>
          </w:tcPr>
          <w:p>
            <w:pPr>
              <w:jc w:val="right"/>
              <w:ind w:right="160"/>
              <w:spacing w:after="0"/>
              <w:rPr>
                <w:sz w:val="20"/>
                <w:szCs w:val="20"/>
                <w:color w:val="auto"/>
              </w:rPr>
            </w:pPr>
            <w:r>
              <w:rPr>
                <w:rFonts w:ascii="Arial" w:cs="Arial" w:eastAsia="Arial" w:hAnsi="Arial"/>
                <w:sz w:val="20"/>
                <w:szCs w:val="20"/>
                <w:color w:val="auto"/>
              </w:rPr>
              <w:t>(4,579)</w:t>
            </w:r>
          </w:p>
        </w:tc>
        <w:tc>
          <w:tcPr>
            <w:tcW w:w="520" w:type="dxa"/>
            <w:vAlign w:val="bottom"/>
            <w:gridSpan w:val="2"/>
          </w:tcPr>
          <w:p>
            <w:pPr>
              <w:jc w:val="right"/>
              <w:ind w:right="343"/>
              <w:spacing w:after="0"/>
              <w:rPr>
                <w:sz w:val="20"/>
                <w:szCs w:val="20"/>
                <w:color w:val="auto"/>
              </w:rPr>
            </w:pPr>
            <w:r>
              <w:rPr>
                <w:rFonts w:ascii="Arial" w:cs="Arial" w:eastAsia="Arial" w:hAnsi="Arial"/>
                <w:sz w:val="20"/>
                <w:szCs w:val="20"/>
                <w:color w:val="auto"/>
                <w:w w:val="71"/>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3,998</w:t>
            </w:r>
          </w:p>
        </w:tc>
        <w:tc>
          <w:tcPr>
            <w:tcW w:w="120" w:type="dxa"/>
            <w:vAlign w:val="bottom"/>
          </w:tcPr>
          <w:p>
            <w:pPr>
              <w:spacing w:after="0"/>
              <w:rPr>
                <w:sz w:val="21"/>
                <w:szCs w:val="21"/>
                <w:color w:val="auto"/>
              </w:rPr>
            </w:pPr>
          </w:p>
        </w:tc>
      </w:tr>
      <w:tr>
        <w:trPr>
          <w:trHeight w:val="243"/>
        </w:trPr>
        <w:tc>
          <w:tcPr>
            <w:tcW w:w="6460" w:type="dxa"/>
            <w:vAlign w:val="bottom"/>
            <w:shd w:val="clear" w:color="auto" w:fill="CFF0FC"/>
          </w:tcPr>
          <w:p>
            <w:pPr>
              <w:spacing w:after="0"/>
              <w:rPr>
                <w:sz w:val="20"/>
                <w:szCs w:val="20"/>
                <w:color w:val="auto"/>
              </w:rPr>
            </w:pPr>
            <w:r>
              <w:rPr>
                <w:rFonts w:ascii="Arial" w:cs="Arial" w:eastAsia="Arial" w:hAnsi="Arial"/>
                <w:sz w:val="20"/>
                <w:szCs w:val="20"/>
                <w:color w:val="auto"/>
              </w:rPr>
              <w:t>Accrued salaries, benefits and payroll taxes</w:t>
            </w:r>
          </w:p>
        </w:tc>
        <w:tc>
          <w:tcPr>
            <w:tcW w:w="15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160"/>
              <w:spacing w:after="0"/>
              <w:rPr>
                <w:sz w:val="20"/>
                <w:szCs w:val="20"/>
                <w:color w:val="auto"/>
              </w:rPr>
            </w:pPr>
            <w:r>
              <w:rPr>
                <w:rFonts w:ascii="Arial" w:cs="Arial" w:eastAsia="Arial" w:hAnsi="Arial"/>
                <w:sz w:val="20"/>
                <w:szCs w:val="20"/>
                <w:color w:val="auto"/>
              </w:rPr>
              <w:t>(11,829)</w:t>
            </w:r>
          </w:p>
        </w:tc>
        <w:tc>
          <w:tcPr>
            <w:tcW w:w="2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27,911</w:t>
            </w:r>
          </w:p>
        </w:tc>
        <w:tc>
          <w:tcPr>
            <w:tcW w:w="120" w:type="dxa"/>
            <w:vAlign w:val="bottom"/>
            <w:shd w:val="clear" w:color="auto" w:fill="CFF0FC"/>
          </w:tcPr>
          <w:p>
            <w:pPr>
              <w:spacing w:after="0"/>
              <w:rPr>
                <w:sz w:val="21"/>
                <w:szCs w:val="21"/>
                <w:color w:val="auto"/>
              </w:rPr>
            </w:pPr>
          </w:p>
        </w:tc>
      </w:tr>
      <w:tr>
        <w:trPr>
          <w:trHeight w:val="243"/>
        </w:trPr>
        <w:tc>
          <w:tcPr>
            <w:tcW w:w="6460" w:type="dxa"/>
            <w:vAlign w:val="bottom"/>
          </w:tcPr>
          <w:p>
            <w:pPr>
              <w:spacing w:after="0"/>
              <w:rPr>
                <w:sz w:val="20"/>
                <w:szCs w:val="20"/>
                <w:color w:val="auto"/>
              </w:rPr>
            </w:pPr>
            <w:r>
              <w:rPr>
                <w:rFonts w:ascii="Arial" w:cs="Arial" w:eastAsia="Arial" w:hAnsi="Arial"/>
                <w:sz w:val="20"/>
                <w:szCs w:val="20"/>
                <w:color w:val="auto"/>
              </w:rPr>
              <w:t>Accrued insurance and other taxes</w:t>
            </w:r>
          </w:p>
        </w:tc>
        <w:tc>
          <w:tcPr>
            <w:tcW w:w="1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12,152</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10,510</w:t>
            </w:r>
          </w:p>
        </w:tc>
        <w:tc>
          <w:tcPr>
            <w:tcW w:w="120" w:type="dxa"/>
            <w:vAlign w:val="bottom"/>
          </w:tcPr>
          <w:p>
            <w:pPr>
              <w:spacing w:after="0"/>
              <w:rPr>
                <w:sz w:val="21"/>
                <w:szCs w:val="21"/>
                <w:color w:val="auto"/>
              </w:rPr>
            </w:pPr>
          </w:p>
        </w:tc>
      </w:tr>
      <w:tr>
        <w:trPr>
          <w:trHeight w:val="243"/>
        </w:trPr>
        <w:tc>
          <w:tcPr>
            <w:tcW w:w="6460" w:type="dxa"/>
            <w:vAlign w:val="bottom"/>
            <w:shd w:val="clear" w:color="auto" w:fill="CFF0FC"/>
          </w:tcPr>
          <w:p>
            <w:pPr>
              <w:spacing w:after="0"/>
              <w:rPr>
                <w:sz w:val="20"/>
                <w:szCs w:val="20"/>
                <w:color w:val="auto"/>
              </w:rPr>
            </w:pPr>
            <w:r>
              <w:rPr>
                <w:rFonts w:ascii="Arial" w:cs="Arial" w:eastAsia="Arial" w:hAnsi="Arial"/>
                <w:sz w:val="20"/>
                <w:szCs w:val="20"/>
                <w:color w:val="auto"/>
              </w:rPr>
              <w:t>Accrued income taxes</w:t>
            </w:r>
          </w:p>
        </w:tc>
        <w:tc>
          <w:tcPr>
            <w:tcW w:w="15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13,143</w:t>
            </w:r>
          </w:p>
        </w:tc>
        <w:tc>
          <w:tcPr>
            <w:tcW w:w="2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7,096</w:t>
            </w:r>
          </w:p>
        </w:tc>
        <w:tc>
          <w:tcPr>
            <w:tcW w:w="120" w:type="dxa"/>
            <w:vAlign w:val="bottom"/>
            <w:shd w:val="clear" w:color="auto" w:fill="CFF0FC"/>
          </w:tcPr>
          <w:p>
            <w:pPr>
              <w:spacing w:after="0"/>
              <w:rPr>
                <w:sz w:val="21"/>
                <w:szCs w:val="21"/>
                <w:color w:val="auto"/>
              </w:rPr>
            </w:pPr>
          </w:p>
        </w:tc>
      </w:tr>
      <w:tr>
        <w:trPr>
          <w:trHeight w:val="243"/>
        </w:trPr>
        <w:tc>
          <w:tcPr>
            <w:tcW w:w="6460" w:type="dxa"/>
            <w:vAlign w:val="bottom"/>
          </w:tcPr>
          <w:p>
            <w:pPr>
              <w:spacing w:after="0"/>
              <w:rPr>
                <w:sz w:val="20"/>
                <w:szCs w:val="20"/>
                <w:color w:val="auto"/>
              </w:rPr>
            </w:pPr>
            <w:r>
              <w:rPr>
                <w:rFonts w:ascii="Arial" w:cs="Arial" w:eastAsia="Arial" w:hAnsi="Arial"/>
                <w:sz w:val="20"/>
                <w:szCs w:val="20"/>
                <w:color w:val="auto"/>
              </w:rPr>
              <w:t>Accrued pension, postretirement and postemployment benefits</w:t>
            </w:r>
          </w:p>
        </w:tc>
        <w:tc>
          <w:tcPr>
            <w:tcW w:w="1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20"/>
                <w:szCs w:val="20"/>
                <w:color w:val="auto"/>
              </w:rPr>
              <w:t>(24,232)</w:t>
            </w: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20"/>
                <w:szCs w:val="20"/>
                <w:color w:val="auto"/>
              </w:rPr>
              <w:t>(2,136)</w:t>
            </w:r>
          </w:p>
        </w:tc>
      </w:tr>
      <w:tr>
        <w:trPr>
          <w:trHeight w:val="243"/>
        </w:trPr>
        <w:tc>
          <w:tcPr>
            <w:tcW w:w="6460" w:type="dxa"/>
            <w:vAlign w:val="bottom"/>
            <w:shd w:val="clear" w:color="auto" w:fill="CFF0FC"/>
          </w:tcPr>
          <w:p>
            <w:pPr>
              <w:spacing w:after="0"/>
              <w:rPr>
                <w:sz w:val="20"/>
                <w:szCs w:val="20"/>
                <w:color w:val="auto"/>
              </w:rPr>
            </w:pPr>
            <w:r>
              <w:rPr>
                <w:rFonts w:ascii="Arial" w:cs="Arial" w:eastAsia="Arial" w:hAnsi="Arial"/>
                <w:sz w:val="20"/>
                <w:szCs w:val="20"/>
                <w:color w:val="auto"/>
              </w:rPr>
              <w:t>Other current and noncurrent liabilities</w:t>
            </w:r>
          </w:p>
        </w:tc>
        <w:tc>
          <w:tcPr>
            <w:tcW w:w="15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4,770</w:t>
            </w:r>
          </w:p>
        </w:tc>
        <w:tc>
          <w:tcPr>
            <w:tcW w:w="2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20"/>
                <w:szCs w:val="20"/>
                <w:color w:val="auto"/>
              </w:rPr>
              <w:t>(742)</w:t>
            </w:r>
          </w:p>
        </w:tc>
      </w:tr>
      <w:tr>
        <w:trPr>
          <w:trHeight w:val="237"/>
        </w:trPr>
        <w:tc>
          <w:tcPr>
            <w:tcW w:w="64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340" w:type="dxa"/>
            <w:vAlign w:val="bottom"/>
            <w:tcBorders>
              <w:top w:val="single" w:sz="8" w:color="auto"/>
              <w:bottom w:val="single" w:sz="8" w:color="auto"/>
            </w:tcBorders>
          </w:tcPr>
          <w:p>
            <w:pPr>
              <w:jc w:val="right"/>
              <w:ind w:right="141"/>
              <w:spacing w:after="0"/>
              <w:rPr>
                <w:sz w:val="20"/>
                <w:szCs w:val="20"/>
                <w:color w:val="auto"/>
              </w:rPr>
            </w:pPr>
            <w:r>
              <w:rPr>
                <w:rFonts w:ascii="Arial" w:cs="Arial" w:eastAsia="Arial" w:hAnsi="Arial"/>
                <w:sz w:val="20"/>
                <w:szCs w:val="20"/>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(10,575)</w:t>
            </w:r>
          </w:p>
        </w:tc>
        <w:tc>
          <w:tcPr>
            <w:tcW w:w="2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ind w:right="343"/>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46,637</w:t>
            </w:r>
          </w:p>
        </w:tc>
        <w:tc>
          <w:tcPr>
            <w:tcW w:w="120" w:type="dxa"/>
            <w:vAlign w:val="bottom"/>
          </w:tcPr>
          <w:p>
            <w:pPr>
              <w:spacing w:after="0"/>
              <w:rPr>
                <w:sz w:val="20"/>
                <w:szCs w:val="20"/>
                <w:color w:val="auto"/>
              </w:rPr>
            </w:pPr>
          </w:p>
        </w:tc>
      </w:tr>
      <w:tr>
        <w:trPr>
          <w:trHeight w:val="20"/>
        </w:trPr>
        <w:tc>
          <w:tcPr>
            <w:tcW w:w="64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5" w:lineRule="exact"/>
        <w:rPr>
          <w:sz w:val="20"/>
          <w:szCs w:val="20"/>
          <w:color w:val="auto"/>
        </w:rPr>
      </w:pPr>
    </w:p>
    <w:p>
      <w:pPr>
        <w:ind w:left="380"/>
        <w:spacing w:after="0" w:line="316" w:lineRule="auto"/>
        <w:rPr>
          <w:sz w:val="20"/>
          <w:szCs w:val="20"/>
          <w:color w:val="auto"/>
        </w:rPr>
      </w:pPr>
      <w:r>
        <w:rPr>
          <w:rFonts w:ascii="Arial" w:cs="Arial" w:eastAsia="Arial" w:hAnsi="Arial"/>
          <w:sz w:val="18"/>
          <w:szCs w:val="18"/>
          <w:color w:val="auto"/>
        </w:rPr>
        <w:t>The change in accrued salaries, benefits and payroll taxes in 2015 is primarily attributable to payments of severance expense. The change in accrued pension, postretirement and postemployment benefits in 2015 is predominately due to increased plan contributions.</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6800" w:type="dxa"/>
            <w:vAlign w:val="bottom"/>
          </w:tcPr>
          <w:p>
            <w:pPr>
              <w:ind w:left="380"/>
              <w:spacing w:after="0"/>
              <w:rPr>
                <w:sz w:val="20"/>
                <w:szCs w:val="20"/>
                <w:color w:val="auto"/>
              </w:rPr>
            </w:pPr>
            <w:r>
              <w:rPr>
                <w:rFonts w:ascii="Arial" w:cs="Arial" w:eastAsia="Arial" w:hAnsi="Arial"/>
                <w:sz w:val="20"/>
                <w:szCs w:val="20"/>
                <w:color w:val="auto"/>
              </w:rPr>
              <w:t>Noncash investing and financing activities are as follows:</w:t>
            </w:r>
          </w:p>
        </w:tc>
        <w:tc>
          <w:tcPr>
            <w:tcW w:w="1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5"/>
        </w:trPr>
        <w:tc>
          <w:tcPr>
            <w:tcW w:w="68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920" w:type="dxa"/>
            <w:vAlign w:val="bottom"/>
            <w:gridSpan w:val="2"/>
          </w:tcPr>
          <w:p>
            <w:pPr>
              <w:jc w:val="center"/>
              <w:spacing w:after="0"/>
              <w:rPr>
                <w:sz w:val="20"/>
                <w:szCs w:val="20"/>
                <w:color w:val="auto"/>
              </w:rPr>
            </w:pPr>
            <w:r>
              <w:rPr>
                <w:rFonts w:ascii="Arial" w:cs="Arial" w:eastAsia="Arial" w:hAnsi="Arial"/>
                <w:sz w:val="20"/>
                <w:szCs w:val="20"/>
                <w:color w:val="auto"/>
                <w:w w:val="91"/>
              </w:rPr>
              <w:t>Nine Months Ended</w:t>
            </w: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6800" w:type="dxa"/>
            <w:vAlign w:val="bottom"/>
          </w:tcPr>
          <w:p>
            <w:pPr>
              <w:spacing w:after="0"/>
              <w:rPr>
                <w:sz w:val="21"/>
                <w:szCs w:val="21"/>
                <w:color w:val="auto"/>
              </w:rPr>
            </w:pPr>
          </w:p>
        </w:tc>
        <w:tc>
          <w:tcPr>
            <w:tcW w:w="1280" w:type="dxa"/>
            <w:vAlign w:val="bottom"/>
            <w:tcBorders>
              <w:bottom w:val="single" w:sz="8" w:color="auto"/>
            </w:tcBorders>
          </w:tcPr>
          <w:p>
            <w:pPr>
              <w:spacing w:after="0"/>
              <w:rPr>
                <w:sz w:val="21"/>
                <w:szCs w:val="21"/>
                <w:color w:val="auto"/>
              </w:rPr>
            </w:pPr>
          </w:p>
        </w:tc>
        <w:tc>
          <w:tcPr>
            <w:tcW w:w="1920" w:type="dxa"/>
            <w:vAlign w:val="bottom"/>
            <w:tcBorders>
              <w:bottom w:val="single" w:sz="8" w:color="auto"/>
            </w:tcBorders>
            <w:gridSpan w:val="2"/>
          </w:tcPr>
          <w:p>
            <w:pPr>
              <w:jc w:val="center"/>
              <w:spacing w:after="0"/>
              <w:rPr>
                <w:sz w:val="20"/>
                <w:szCs w:val="20"/>
                <w:color w:val="auto"/>
              </w:rPr>
            </w:pPr>
            <w:r>
              <w:rPr>
                <w:rFonts w:ascii="Arial" w:cs="Arial" w:eastAsia="Arial" w:hAnsi="Arial"/>
                <w:sz w:val="20"/>
                <w:szCs w:val="20"/>
                <w:color w:val="auto"/>
                <w:w w:val="86"/>
              </w:rPr>
              <w:t>September 30,</w:t>
            </w:r>
          </w:p>
        </w:tc>
        <w:tc>
          <w:tcPr>
            <w:tcW w:w="130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800" w:type="dxa"/>
            <w:vAlign w:val="bottom"/>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2015</w:t>
            </w:r>
          </w:p>
        </w:tc>
        <w:tc>
          <w:tcPr>
            <w:tcW w:w="9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761"/>
              <w:spacing w:after="0"/>
              <w:rPr>
                <w:sz w:val="20"/>
                <w:szCs w:val="20"/>
                <w:color w:val="auto"/>
              </w:rPr>
            </w:pPr>
            <w:r>
              <w:rPr>
                <w:rFonts w:ascii="Arial" w:cs="Arial" w:eastAsia="Arial" w:hAnsi="Arial"/>
                <w:sz w:val="20"/>
                <w:szCs w:val="20"/>
                <w:color w:val="auto"/>
                <w:w w:val="94"/>
              </w:rPr>
              <w:t>2014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6800" w:type="dxa"/>
            <w:vAlign w:val="bottom"/>
            <w:vMerge w:val="restart"/>
          </w:tcPr>
          <w:p>
            <w:pPr>
              <w:spacing w:after="0"/>
              <w:rPr>
                <w:sz w:val="20"/>
                <w:szCs w:val="20"/>
                <w:color w:val="auto"/>
              </w:rPr>
            </w:pPr>
            <w:r>
              <w:rPr>
                <w:rFonts w:ascii="Arial" w:cs="Arial" w:eastAsia="Arial" w:hAnsi="Arial"/>
                <w:sz w:val="20"/>
                <w:szCs w:val="20"/>
                <w:color w:val="auto"/>
              </w:rPr>
              <w:t>Noncash investing and financing activities:</w:t>
            </w:r>
          </w:p>
        </w:tc>
        <w:tc>
          <w:tcPr>
            <w:tcW w:w="1280" w:type="dxa"/>
            <w:vAlign w:val="bottom"/>
          </w:tcPr>
          <w:p>
            <w:pPr>
              <w:spacing w:after="0"/>
              <w:rPr>
                <w:sz w:val="21"/>
                <w:szCs w:val="21"/>
                <w:color w:val="auto"/>
              </w:rPr>
            </w:pPr>
          </w:p>
        </w:tc>
        <w:tc>
          <w:tcPr>
            <w:tcW w:w="1920" w:type="dxa"/>
            <w:vAlign w:val="bottom"/>
            <w:gridSpan w:val="2"/>
          </w:tcPr>
          <w:p>
            <w:pPr>
              <w:jc w:val="center"/>
              <w:spacing w:after="0"/>
              <w:rPr>
                <w:sz w:val="20"/>
                <w:szCs w:val="20"/>
                <w:color w:val="auto"/>
              </w:rPr>
            </w:pPr>
            <w:r>
              <w:rPr>
                <w:rFonts w:ascii="Arial" w:cs="Arial" w:eastAsia="Arial" w:hAnsi="Arial"/>
                <w:sz w:val="20"/>
                <w:szCs w:val="20"/>
                <w:i w:val="1"/>
                <w:iCs w:val="1"/>
                <w:color w:val="auto"/>
                <w:w w:val="91"/>
              </w:rPr>
              <w:t>(Dollars in Thousands)</w:t>
            </w: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6800" w:type="dxa"/>
            <w:vAlign w:val="bottom"/>
            <w:vMerge w:val="continue"/>
          </w:tcPr>
          <w:p>
            <w:pPr>
              <w:spacing w:after="0"/>
              <w:rPr>
                <w:sz w:val="20"/>
                <w:szCs w:val="20"/>
                <w:color w:val="auto"/>
              </w:rPr>
            </w:pPr>
          </w:p>
        </w:tc>
        <w:tc>
          <w:tcPr>
            <w:tcW w:w="1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800" w:type="dxa"/>
            <w:vAlign w:val="bottom"/>
            <w:shd w:val="clear" w:color="auto" w:fill="CFF0FC"/>
          </w:tcPr>
          <w:p>
            <w:pPr>
              <w:ind w:left="260"/>
              <w:spacing w:after="0"/>
              <w:rPr>
                <w:sz w:val="20"/>
                <w:szCs w:val="20"/>
                <w:color w:val="auto"/>
              </w:rPr>
            </w:pPr>
            <w:r>
              <w:rPr>
                <w:rFonts w:ascii="Arial" w:cs="Arial" w:eastAsia="Arial" w:hAnsi="Arial"/>
                <w:sz w:val="20"/>
                <w:szCs w:val="20"/>
                <w:color w:val="auto"/>
              </w:rPr>
              <w:t>Acquisition of assets through capital lease</w:t>
            </w:r>
          </w:p>
        </w:tc>
        <w:tc>
          <w:tcPr>
            <w:tcW w:w="1280" w:type="dxa"/>
            <w:vAlign w:val="bottom"/>
            <w:shd w:val="clear" w:color="auto" w:fill="CFF0FC"/>
          </w:tcPr>
          <w:p>
            <w:pPr>
              <w:jc w:val="right"/>
              <w:ind w:right="1081"/>
              <w:spacing w:after="0"/>
              <w:rPr>
                <w:sz w:val="20"/>
                <w:szCs w:val="20"/>
                <w:color w:val="auto"/>
              </w:rPr>
            </w:pPr>
            <w:r>
              <w:rPr>
                <w:rFonts w:ascii="Arial" w:cs="Arial" w:eastAsia="Arial" w:hAnsi="Arial"/>
                <w:sz w:val="20"/>
                <w:szCs w:val="20"/>
                <w:color w:val="auto"/>
                <w:w w:val="71"/>
              </w:rPr>
              <w:t>$</w:t>
            </w:r>
          </w:p>
        </w:tc>
        <w:tc>
          <w:tcPr>
            <w:tcW w:w="9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1,445</w:t>
            </w:r>
          </w:p>
        </w:tc>
        <w:tc>
          <w:tcPr>
            <w:tcW w:w="960" w:type="dxa"/>
            <w:vAlign w:val="bottom"/>
            <w:shd w:val="clear" w:color="auto" w:fill="CFF0FC"/>
          </w:tcPr>
          <w:p>
            <w:pPr>
              <w:jc w:val="right"/>
              <w:ind w:right="601"/>
              <w:spacing w:after="0"/>
              <w:rPr>
                <w:sz w:val="20"/>
                <w:szCs w:val="20"/>
                <w:color w:val="auto"/>
              </w:rPr>
            </w:pPr>
            <w:r>
              <w:rPr>
                <w:rFonts w:ascii="Arial" w:cs="Arial" w:eastAsia="Arial" w:hAnsi="Arial"/>
                <w:sz w:val="20"/>
                <w:szCs w:val="20"/>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7,788</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800" w:type="dxa"/>
            <w:vAlign w:val="bottom"/>
          </w:tcPr>
          <w:p>
            <w:pPr>
              <w:ind w:left="260"/>
              <w:spacing w:after="0"/>
              <w:rPr>
                <w:sz w:val="20"/>
                <w:szCs w:val="20"/>
                <w:color w:val="auto"/>
              </w:rPr>
            </w:pPr>
            <w:r>
              <w:rPr>
                <w:rFonts w:ascii="Arial" w:cs="Arial" w:eastAsia="Arial" w:hAnsi="Arial"/>
                <w:sz w:val="20"/>
                <w:szCs w:val="20"/>
                <w:color w:val="auto"/>
              </w:rPr>
              <w:t>Acquisition of land through seller financing</w:t>
            </w:r>
          </w:p>
        </w:tc>
        <w:tc>
          <w:tcPr>
            <w:tcW w:w="1280" w:type="dxa"/>
            <w:vAlign w:val="bottom"/>
          </w:tcPr>
          <w:p>
            <w:pPr>
              <w:spacing w:after="0"/>
              <w:rPr>
                <w:sz w:val="21"/>
                <w:szCs w:val="21"/>
                <w:color w:val="auto"/>
              </w:rPr>
            </w:pPr>
          </w:p>
        </w:tc>
        <w:tc>
          <w:tcPr>
            <w:tcW w:w="96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9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1,500</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800" w:type="dxa"/>
            <w:vAlign w:val="bottom"/>
            <w:shd w:val="clear" w:color="auto" w:fill="CFF0FC"/>
          </w:tcPr>
          <w:p>
            <w:pPr>
              <w:ind w:left="260"/>
              <w:spacing w:after="0"/>
              <w:rPr>
                <w:sz w:val="20"/>
                <w:szCs w:val="20"/>
                <w:color w:val="auto"/>
              </w:rPr>
            </w:pPr>
            <w:r>
              <w:rPr>
                <w:rFonts w:ascii="Arial" w:cs="Arial" w:eastAsia="Arial" w:hAnsi="Arial"/>
                <w:sz w:val="20"/>
                <w:szCs w:val="20"/>
                <w:color w:val="auto"/>
              </w:rPr>
              <w:t>Acquisition of assets through asset exchange</w:t>
            </w:r>
          </w:p>
        </w:tc>
        <w:tc>
          <w:tcPr>
            <w:tcW w:w="1280" w:type="dxa"/>
            <w:vAlign w:val="bottom"/>
            <w:shd w:val="clear" w:color="auto" w:fill="CFF0FC"/>
          </w:tcPr>
          <w:p>
            <w:pPr>
              <w:spacing w:after="0"/>
              <w:rPr>
                <w:sz w:val="21"/>
                <w:szCs w:val="21"/>
                <w:color w:val="auto"/>
              </w:rPr>
            </w:pPr>
          </w:p>
        </w:tc>
        <w:tc>
          <w:tcPr>
            <w:tcW w:w="9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5,000</w:t>
            </w:r>
          </w:p>
        </w:tc>
        <w:tc>
          <w:tcPr>
            <w:tcW w:w="96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2,091</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6800" w:type="dxa"/>
            <w:vAlign w:val="bottom"/>
          </w:tcPr>
          <w:p>
            <w:pPr>
              <w:ind w:left="260"/>
              <w:spacing w:after="0" w:line="227" w:lineRule="exact"/>
              <w:rPr>
                <w:sz w:val="20"/>
                <w:szCs w:val="20"/>
                <w:color w:val="auto"/>
              </w:rPr>
            </w:pPr>
            <w:r>
              <w:rPr>
                <w:rFonts w:ascii="Arial" w:cs="Arial" w:eastAsia="Arial" w:hAnsi="Arial"/>
                <w:sz w:val="20"/>
                <w:szCs w:val="20"/>
                <w:color w:val="auto"/>
              </w:rPr>
              <w:t>Acquisition of TXI assets and liabilities assumed through</w:t>
            </w:r>
          </w:p>
        </w:tc>
        <w:tc>
          <w:tcPr>
            <w:tcW w:w="1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6800" w:type="dxa"/>
            <w:vAlign w:val="bottom"/>
          </w:tcPr>
          <w:p>
            <w:pPr>
              <w:ind w:left="500"/>
              <w:spacing w:after="0"/>
              <w:rPr>
                <w:sz w:val="20"/>
                <w:szCs w:val="20"/>
                <w:color w:val="auto"/>
              </w:rPr>
            </w:pPr>
            <w:r>
              <w:rPr>
                <w:rFonts w:ascii="Arial" w:cs="Arial" w:eastAsia="Arial" w:hAnsi="Arial"/>
                <w:sz w:val="20"/>
                <w:szCs w:val="20"/>
                <w:color w:val="auto"/>
              </w:rPr>
              <w:t>issuances of common stock and options</w:t>
            </w:r>
          </w:p>
        </w:tc>
        <w:tc>
          <w:tcPr>
            <w:tcW w:w="1280" w:type="dxa"/>
            <w:vAlign w:val="bottom"/>
          </w:tcPr>
          <w:p>
            <w:pPr>
              <w:spacing w:after="0"/>
              <w:rPr>
                <w:sz w:val="21"/>
                <w:szCs w:val="21"/>
                <w:color w:val="auto"/>
              </w:rPr>
            </w:pPr>
          </w:p>
        </w:tc>
        <w:tc>
          <w:tcPr>
            <w:tcW w:w="96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9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2,691,986</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24 of 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4" w:name="page25"/>
    <w:bookmarkEnd w:id="24"/>
    <w:p>
      <w:pPr>
        <w:jc w:val="center"/>
        <w:ind w:right="20"/>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FORM 10-Q</w:t>
      </w:r>
    </w:p>
    <w:p>
      <w:pPr>
        <w:jc w:val="center"/>
        <w:ind w:right="20"/>
        <w:spacing w:after="0"/>
        <w:rPr>
          <w:sz w:val="20"/>
          <w:szCs w:val="20"/>
          <w:color w:val="auto"/>
        </w:rPr>
      </w:pPr>
      <w:r>
        <w:rPr>
          <w:rFonts w:ascii="Arial" w:cs="Arial" w:eastAsia="Arial" w:hAnsi="Arial"/>
          <w:sz w:val="20"/>
          <w:szCs w:val="20"/>
          <w:color w:val="auto"/>
        </w:rPr>
        <w:t>For the Quarter Ended September 30, 2015</w:t>
      </w:r>
    </w:p>
    <w:p>
      <w:pPr>
        <w:spacing w:after="0" w:line="200"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RESULTS OF OPERATIONS</w:t>
      </w:r>
    </w:p>
    <w:p>
      <w:pPr>
        <w:jc w:val="center"/>
        <w:ind w:right="20"/>
        <w:spacing w:after="0"/>
        <w:rPr>
          <w:sz w:val="20"/>
          <w:szCs w:val="20"/>
          <w:color w:val="auto"/>
        </w:rPr>
      </w:pPr>
      <w:r>
        <w:rPr>
          <w:rFonts w:ascii="Arial" w:cs="Arial" w:eastAsia="Arial" w:hAnsi="Arial"/>
          <w:sz w:val="20"/>
          <w:szCs w:val="20"/>
          <w:color w:val="auto"/>
        </w:rPr>
        <w:t>Third Quarter Ended September 30, 2015</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Item 2. Management’s Discussion and Analysis of Financial Condition and Results of Operations.</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OVERVIEW</w:t>
      </w:r>
    </w:p>
    <w:p>
      <w:pPr>
        <w:spacing w:after="0" w:line="108" w:lineRule="exact"/>
        <w:rPr>
          <w:sz w:val="20"/>
          <w:szCs w:val="20"/>
          <w:color w:val="auto"/>
        </w:rPr>
      </w:pPr>
    </w:p>
    <w:p>
      <w:pPr>
        <w:jc w:val="both"/>
        <w:ind w:right="20"/>
        <w:spacing w:after="0" w:line="255" w:lineRule="auto"/>
        <w:rPr>
          <w:sz w:val="20"/>
          <w:szCs w:val="20"/>
          <w:color w:val="auto"/>
        </w:rPr>
      </w:pPr>
      <w:r>
        <w:rPr>
          <w:rFonts w:ascii="Arial" w:cs="Arial" w:eastAsia="Arial" w:hAnsi="Arial"/>
          <w:sz w:val="19"/>
          <w:szCs w:val="19"/>
          <w:color w:val="auto"/>
        </w:rPr>
        <w:t>Martin Marietta Materials, Inc. (the “Corporation” or “Martin Marietta”) is a leading supplier of aggregates products (crushed stone, sand and gravel) and heavy building materials for the construction industry, including infrastructure, nonresidential, residential, railroad ballast, agricultural and chemical grade stone used in environmental applications. The Corporation’s annual consolidated net sales and operating earnings are predominately derived from its Aggregates business, which mines, processes and sells granite, limestone, sand, gravel and other aggregates-related downstream products, including asphalt, ready mixed concrete and road paving construction services for use in all sectors of the public infrastructure, environmental industries, nonresidential and residential construction industries, as well as agriculture, railroad ballast, chemical, utility and other uses. The Aggregates business shipped and delivered aggregates, asphalt products and ready mixed concrete from a network of more than 400 quarries, underground mines, distribution facilities and plants in 26 states, Canada, the Bahamas and the Caribbean Islands. The Aggregates business’ products are used primarily by commercial customers principally in domestic construction of highways and other infrastructure projects and for nonresidential and residential building development. Aggregates products are also used in the railroad, agricultural, utility and environmental industries.</w:t>
      </w:r>
    </w:p>
    <w:p>
      <w:pPr>
        <w:spacing w:after="0" w:line="188"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The Corporation currently conducts its Aggregates business through three reportable business segments: Mid-America Group, Southeast Group and West Group.</w:t>
      </w:r>
    </w:p>
    <w:p>
      <w:pPr>
        <w:spacing w:after="0" w:line="63"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AGGREGATES BUSINESS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800" w:type="dxa"/>
            <w:vAlign w:val="bottom"/>
            <w:tcBorders>
              <w:top w:val="single" w:sz="8" w:color="auto"/>
            </w:tcBorders>
            <w:gridSpan w:val="2"/>
          </w:tcPr>
          <w:p>
            <w:pPr>
              <w:jc w:val="center"/>
              <w:ind w:right="100"/>
              <w:spacing w:after="0"/>
              <w:rPr>
                <w:sz w:val="20"/>
                <w:szCs w:val="20"/>
                <w:color w:val="auto"/>
              </w:rPr>
            </w:pPr>
            <w:r>
              <w:rPr>
                <w:rFonts w:ascii="Arial" w:cs="Arial" w:eastAsia="Arial" w:hAnsi="Arial"/>
                <w:sz w:val="20"/>
                <w:szCs w:val="20"/>
                <w:color w:val="auto"/>
                <w:w w:val="87"/>
              </w:rPr>
              <w:t>Reportable Segments</w:t>
            </w:r>
          </w:p>
        </w:tc>
        <w:tc>
          <w:tcPr>
            <w:tcW w:w="4720" w:type="dxa"/>
            <w:vAlign w:val="bottom"/>
            <w:tcBorders>
              <w:top w:val="single" w:sz="8" w:color="auto"/>
            </w:tcBorders>
            <w:gridSpan w:val="2"/>
          </w:tcPr>
          <w:p>
            <w:pPr>
              <w:jc w:val="center"/>
              <w:ind w:right="100"/>
              <w:spacing w:after="0"/>
              <w:rPr>
                <w:sz w:val="20"/>
                <w:szCs w:val="20"/>
                <w:color w:val="auto"/>
              </w:rPr>
            </w:pPr>
            <w:r>
              <w:rPr>
                <w:rFonts w:ascii="Arial" w:cs="Arial" w:eastAsia="Arial" w:hAnsi="Arial"/>
                <w:sz w:val="20"/>
                <w:szCs w:val="20"/>
                <w:color w:val="auto"/>
                <w:w w:val="93"/>
              </w:rPr>
              <w:t>Mid-America Group</w:t>
            </w:r>
          </w:p>
        </w:tc>
        <w:tc>
          <w:tcPr>
            <w:tcW w:w="1920" w:type="dxa"/>
            <w:vAlign w:val="bottom"/>
            <w:tcBorders>
              <w:top w:val="single" w:sz="8" w:color="auto"/>
            </w:tcBorders>
            <w:gridSpan w:val="2"/>
          </w:tcPr>
          <w:p>
            <w:pPr>
              <w:jc w:val="center"/>
              <w:ind w:right="120"/>
              <w:spacing w:after="0"/>
              <w:rPr>
                <w:sz w:val="20"/>
                <w:szCs w:val="20"/>
                <w:color w:val="auto"/>
              </w:rPr>
            </w:pPr>
            <w:r>
              <w:rPr>
                <w:rFonts w:ascii="Arial" w:cs="Arial" w:eastAsia="Arial" w:hAnsi="Arial"/>
                <w:sz w:val="20"/>
                <w:szCs w:val="20"/>
                <w:color w:val="auto"/>
                <w:w w:val="87"/>
              </w:rPr>
              <w:t>Southeast Group</w:t>
            </w:r>
          </w:p>
        </w:tc>
        <w:tc>
          <w:tcPr>
            <w:tcW w:w="2980" w:type="dxa"/>
            <w:vAlign w:val="bottom"/>
            <w:tcBorders>
              <w:top w:val="single" w:sz="8" w:color="auto"/>
            </w:tcBorders>
          </w:tcPr>
          <w:p>
            <w:pPr>
              <w:jc w:val="center"/>
              <w:spacing w:after="0"/>
              <w:rPr>
                <w:sz w:val="20"/>
                <w:szCs w:val="20"/>
                <w:color w:val="auto"/>
              </w:rPr>
            </w:pPr>
            <w:r>
              <w:rPr>
                <w:rFonts w:ascii="Arial" w:cs="Arial" w:eastAsia="Arial" w:hAnsi="Arial"/>
                <w:sz w:val="20"/>
                <w:szCs w:val="20"/>
                <w:color w:val="auto"/>
                <w:w w:val="88"/>
              </w:rPr>
              <w:t>West Group</w:t>
            </w:r>
          </w:p>
        </w:tc>
        <w:tc>
          <w:tcPr>
            <w:tcW w:w="20" w:type="dxa"/>
            <w:vAlign w:val="bottom"/>
          </w:tcPr>
          <w:p>
            <w:pPr>
              <w:spacing w:after="0"/>
              <w:rPr>
                <w:sz w:val="20"/>
                <w:szCs w:val="20"/>
                <w:color w:val="auto"/>
              </w:rPr>
            </w:pPr>
          </w:p>
        </w:tc>
      </w:tr>
      <w:tr>
        <w:trPr>
          <w:trHeight w:val="206"/>
        </w:trPr>
        <w:tc>
          <w:tcPr>
            <w:tcW w:w="1700" w:type="dxa"/>
            <w:vAlign w:val="bottom"/>
            <w:tcBorders>
              <w:top w:val="single" w:sz="8" w:color="auto"/>
            </w:tcBorders>
          </w:tcPr>
          <w:p>
            <w:pPr>
              <w:jc w:val="center"/>
              <w:spacing w:after="0" w:line="207" w:lineRule="exact"/>
              <w:rPr>
                <w:sz w:val="20"/>
                <w:szCs w:val="20"/>
                <w:color w:val="auto"/>
              </w:rPr>
            </w:pPr>
            <w:r>
              <w:rPr>
                <w:rFonts w:ascii="Arial" w:cs="Arial" w:eastAsia="Arial" w:hAnsi="Arial"/>
                <w:sz w:val="20"/>
                <w:szCs w:val="20"/>
                <w:color w:val="auto"/>
                <w:w w:val="90"/>
              </w:rPr>
              <w:t>Operating Locations</w:t>
            </w:r>
          </w:p>
        </w:tc>
        <w:tc>
          <w:tcPr>
            <w:tcW w:w="100" w:type="dxa"/>
            <w:vAlign w:val="bottom"/>
          </w:tcPr>
          <w:p>
            <w:pPr>
              <w:spacing w:after="0"/>
              <w:rPr>
                <w:sz w:val="17"/>
                <w:szCs w:val="17"/>
                <w:color w:val="auto"/>
              </w:rPr>
            </w:pPr>
          </w:p>
        </w:tc>
        <w:tc>
          <w:tcPr>
            <w:tcW w:w="4600" w:type="dxa"/>
            <w:vAlign w:val="bottom"/>
            <w:tcBorders>
              <w:top w:val="single" w:sz="8" w:color="auto"/>
            </w:tcBorders>
          </w:tcPr>
          <w:p>
            <w:pPr>
              <w:jc w:val="center"/>
              <w:spacing w:after="0" w:line="207" w:lineRule="exact"/>
              <w:rPr>
                <w:sz w:val="20"/>
                <w:szCs w:val="20"/>
                <w:color w:val="auto"/>
              </w:rPr>
            </w:pPr>
            <w:r>
              <w:rPr>
                <w:rFonts w:ascii="Arial" w:cs="Arial" w:eastAsia="Arial" w:hAnsi="Arial"/>
                <w:sz w:val="20"/>
                <w:szCs w:val="20"/>
                <w:color w:val="auto"/>
                <w:w w:val="90"/>
              </w:rPr>
              <w:t>Indiana, Iowa, northern Kansas, Kentucky, Maryland,</w:t>
            </w:r>
          </w:p>
        </w:tc>
        <w:tc>
          <w:tcPr>
            <w:tcW w:w="120" w:type="dxa"/>
            <w:vAlign w:val="bottom"/>
          </w:tcPr>
          <w:p>
            <w:pPr>
              <w:spacing w:after="0"/>
              <w:rPr>
                <w:sz w:val="17"/>
                <w:szCs w:val="17"/>
                <w:color w:val="auto"/>
              </w:rPr>
            </w:pPr>
          </w:p>
        </w:tc>
        <w:tc>
          <w:tcPr>
            <w:tcW w:w="1800" w:type="dxa"/>
            <w:vAlign w:val="bottom"/>
            <w:tcBorders>
              <w:top w:val="single" w:sz="8" w:color="auto"/>
            </w:tcBorders>
          </w:tcPr>
          <w:p>
            <w:pPr>
              <w:jc w:val="center"/>
              <w:spacing w:after="0" w:line="207" w:lineRule="exact"/>
              <w:rPr>
                <w:sz w:val="20"/>
                <w:szCs w:val="20"/>
                <w:color w:val="auto"/>
              </w:rPr>
            </w:pPr>
            <w:r>
              <w:rPr>
                <w:rFonts w:ascii="Arial" w:cs="Arial" w:eastAsia="Arial" w:hAnsi="Arial"/>
                <w:sz w:val="20"/>
                <w:szCs w:val="20"/>
                <w:color w:val="auto"/>
                <w:w w:val="91"/>
              </w:rPr>
              <w:t>Alabama, Florida,</w:t>
            </w:r>
          </w:p>
        </w:tc>
        <w:tc>
          <w:tcPr>
            <w:tcW w:w="120" w:type="dxa"/>
            <w:vAlign w:val="bottom"/>
          </w:tcPr>
          <w:p>
            <w:pPr>
              <w:spacing w:after="0"/>
              <w:rPr>
                <w:sz w:val="17"/>
                <w:szCs w:val="17"/>
                <w:color w:val="auto"/>
              </w:rPr>
            </w:pPr>
          </w:p>
        </w:tc>
        <w:tc>
          <w:tcPr>
            <w:tcW w:w="2980" w:type="dxa"/>
            <w:vAlign w:val="bottom"/>
            <w:tcBorders>
              <w:top w:val="single" w:sz="8" w:color="auto"/>
            </w:tcBorders>
          </w:tcPr>
          <w:p>
            <w:pPr>
              <w:jc w:val="center"/>
              <w:spacing w:after="0" w:line="207" w:lineRule="exact"/>
              <w:rPr>
                <w:sz w:val="20"/>
                <w:szCs w:val="20"/>
                <w:color w:val="auto"/>
              </w:rPr>
            </w:pPr>
            <w:r>
              <w:rPr>
                <w:rFonts w:ascii="Arial" w:cs="Arial" w:eastAsia="Arial" w:hAnsi="Arial"/>
                <w:sz w:val="20"/>
                <w:szCs w:val="20"/>
                <w:color w:val="auto"/>
                <w:w w:val="88"/>
              </w:rPr>
              <w:t>Arkansas, Colorado, southern</w:t>
            </w:r>
          </w:p>
        </w:tc>
        <w:tc>
          <w:tcPr>
            <w:tcW w:w="20" w:type="dxa"/>
            <w:vAlign w:val="bottom"/>
          </w:tcPr>
          <w:p>
            <w:pPr>
              <w:spacing w:after="0"/>
              <w:rPr>
                <w:sz w:val="17"/>
                <w:szCs w:val="17"/>
                <w:color w:val="auto"/>
              </w:rPr>
            </w:pPr>
          </w:p>
        </w:tc>
      </w:tr>
      <w:tr>
        <w:trPr>
          <w:trHeight w:val="230"/>
        </w:trPr>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720" w:type="dxa"/>
            <w:vAlign w:val="bottom"/>
            <w:gridSpan w:val="2"/>
          </w:tcPr>
          <w:p>
            <w:pPr>
              <w:jc w:val="center"/>
              <w:ind w:right="120"/>
              <w:spacing w:after="0"/>
              <w:rPr>
                <w:sz w:val="20"/>
                <w:szCs w:val="20"/>
                <w:color w:val="auto"/>
              </w:rPr>
            </w:pPr>
            <w:r>
              <w:rPr>
                <w:rFonts w:ascii="Arial" w:cs="Arial" w:eastAsia="Arial" w:hAnsi="Arial"/>
                <w:sz w:val="20"/>
                <w:szCs w:val="20"/>
                <w:color w:val="auto"/>
                <w:w w:val="90"/>
              </w:rPr>
              <w:t>Minnesota, Missouri, eastern Nebraska, North Carolina,</w:t>
            </w:r>
          </w:p>
        </w:tc>
        <w:tc>
          <w:tcPr>
            <w:tcW w:w="1920" w:type="dxa"/>
            <w:vAlign w:val="bottom"/>
            <w:gridSpan w:val="2"/>
          </w:tcPr>
          <w:p>
            <w:pPr>
              <w:jc w:val="center"/>
              <w:ind w:right="120"/>
              <w:spacing w:after="0"/>
              <w:rPr>
                <w:sz w:val="20"/>
                <w:szCs w:val="20"/>
                <w:color w:val="auto"/>
              </w:rPr>
            </w:pPr>
            <w:r>
              <w:rPr>
                <w:rFonts w:ascii="Arial" w:cs="Arial" w:eastAsia="Arial" w:hAnsi="Arial"/>
                <w:sz w:val="20"/>
                <w:szCs w:val="20"/>
                <w:color w:val="auto"/>
                <w:w w:val="85"/>
              </w:rPr>
              <w:t>Georgia, Tennessee,</w:t>
            </w:r>
          </w:p>
        </w:tc>
        <w:tc>
          <w:tcPr>
            <w:tcW w:w="2980" w:type="dxa"/>
            <w:vAlign w:val="bottom"/>
          </w:tcPr>
          <w:p>
            <w:pPr>
              <w:jc w:val="center"/>
              <w:spacing w:after="0"/>
              <w:rPr>
                <w:sz w:val="20"/>
                <w:szCs w:val="20"/>
                <w:color w:val="auto"/>
              </w:rPr>
            </w:pPr>
            <w:r>
              <w:rPr>
                <w:rFonts w:ascii="Arial" w:cs="Arial" w:eastAsia="Arial" w:hAnsi="Arial"/>
                <w:sz w:val="20"/>
                <w:szCs w:val="20"/>
                <w:color w:val="auto"/>
                <w:w w:val="89"/>
              </w:rPr>
              <w:t>Kansas, Louisiana, western</w:t>
            </w:r>
          </w:p>
        </w:tc>
        <w:tc>
          <w:tcPr>
            <w:tcW w:w="20" w:type="dxa"/>
            <w:vAlign w:val="bottom"/>
          </w:tcPr>
          <w:p>
            <w:pPr>
              <w:spacing w:after="0"/>
              <w:rPr>
                <w:sz w:val="19"/>
                <w:szCs w:val="19"/>
                <w:color w:val="auto"/>
              </w:rPr>
            </w:pPr>
          </w:p>
        </w:tc>
      </w:tr>
      <w:tr>
        <w:trPr>
          <w:trHeight w:val="230"/>
        </w:trPr>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720" w:type="dxa"/>
            <w:vAlign w:val="bottom"/>
            <w:gridSpan w:val="2"/>
          </w:tcPr>
          <w:p>
            <w:pPr>
              <w:jc w:val="center"/>
              <w:ind w:right="100"/>
              <w:spacing w:after="0"/>
              <w:rPr>
                <w:sz w:val="20"/>
                <w:szCs w:val="20"/>
                <w:color w:val="auto"/>
              </w:rPr>
            </w:pPr>
            <w:r>
              <w:rPr>
                <w:rFonts w:ascii="Arial" w:cs="Arial" w:eastAsia="Arial" w:hAnsi="Arial"/>
                <w:sz w:val="20"/>
                <w:szCs w:val="20"/>
                <w:color w:val="auto"/>
                <w:w w:val="90"/>
              </w:rPr>
              <w:t>Ohio, South Carolina, Virginia, Washington and West</w:t>
            </w:r>
          </w:p>
        </w:tc>
        <w:tc>
          <w:tcPr>
            <w:tcW w:w="1920" w:type="dxa"/>
            <w:vAlign w:val="bottom"/>
            <w:gridSpan w:val="2"/>
          </w:tcPr>
          <w:p>
            <w:pPr>
              <w:jc w:val="center"/>
              <w:ind w:right="120"/>
              <w:spacing w:after="0"/>
              <w:rPr>
                <w:sz w:val="20"/>
                <w:szCs w:val="20"/>
                <w:color w:val="auto"/>
              </w:rPr>
            </w:pPr>
            <w:r>
              <w:rPr>
                <w:rFonts w:ascii="Arial" w:cs="Arial" w:eastAsia="Arial" w:hAnsi="Arial"/>
                <w:sz w:val="20"/>
                <w:szCs w:val="20"/>
                <w:color w:val="auto"/>
                <w:w w:val="88"/>
              </w:rPr>
              <w:t>Nova Scotia and the</w:t>
            </w:r>
          </w:p>
        </w:tc>
        <w:tc>
          <w:tcPr>
            <w:tcW w:w="2980" w:type="dxa"/>
            <w:vAlign w:val="bottom"/>
          </w:tcPr>
          <w:p>
            <w:pPr>
              <w:jc w:val="center"/>
              <w:spacing w:after="0"/>
              <w:rPr>
                <w:sz w:val="20"/>
                <w:szCs w:val="20"/>
                <w:color w:val="auto"/>
              </w:rPr>
            </w:pPr>
            <w:r>
              <w:rPr>
                <w:rFonts w:ascii="Arial" w:cs="Arial" w:eastAsia="Arial" w:hAnsi="Arial"/>
                <w:sz w:val="20"/>
                <w:szCs w:val="20"/>
                <w:color w:val="auto"/>
                <w:w w:val="87"/>
              </w:rPr>
              <w:t>Nebraska, Nevada, Oklahoma, Texas,</w:t>
            </w:r>
          </w:p>
        </w:tc>
        <w:tc>
          <w:tcPr>
            <w:tcW w:w="20" w:type="dxa"/>
            <w:vAlign w:val="bottom"/>
          </w:tcPr>
          <w:p>
            <w:pPr>
              <w:spacing w:after="0"/>
              <w:rPr>
                <w:sz w:val="19"/>
                <w:szCs w:val="19"/>
                <w:color w:val="auto"/>
              </w:rPr>
            </w:pPr>
          </w:p>
        </w:tc>
      </w:tr>
      <w:tr>
        <w:trPr>
          <w:trHeight w:val="250"/>
        </w:trPr>
        <w:tc>
          <w:tcPr>
            <w:tcW w:w="1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720" w:type="dxa"/>
            <w:vAlign w:val="bottom"/>
            <w:gridSpan w:val="2"/>
          </w:tcPr>
          <w:p>
            <w:pPr>
              <w:jc w:val="center"/>
              <w:ind w:right="120"/>
              <w:spacing w:after="0"/>
              <w:rPr>
                <w:sz w:val="20"/>
                <w:szCs w:val="20"/>
                <w:color w:val="auto"/>
              </w:rPr>
            </w:pPr>
            <w:r>
              <w:rPr>
                <w:rFonts w:ascii="Arial" w:cs="Arial" w:eastAsia="Arial" w:hAnsi="Arial"/>
                <w:sz w:val="20"/>
                <w:szCs w:val="20"/>
                <w:color w:val="auto"/>
                <w:w w:val="95"/>
              </w:rPr>
              <w:t>Virginia</w:t>
            </w:r>
          </w:p>
        </w:tc>
        <w:tc>
          <w:tcPr>
            <w:tcW w:w="1920" w:type="dxa"/>
            <w:vAlign w:val="bottom"/>
            <w:gridSpan w:val="2"/>
          </w:tcPr>
          <w:p>
            <w:pPr>
              <w:jc w:val="center"/>
              <w:ind w:right="120"/>
              <w:spacing w:after="0"/>
              <w:rPr>
                <w:sz w:val="20"/>
                <w:szCs w:val="20"/>
                <w:color w:val="auto"/>
              </w:rPr>
            </w:pPr>
            <w:r>
              <w:rPr>
                <w:rFonts w:ascii="Arial" w:cs="Arial" w:eastAsia="Arial" w:hAnsi="Arial"/>
                <w:sz w:val="20"/>
                <w:szCs w:val="20"/>
                <w:color w:val="auto"/>
                <w:w w:val="85"/>
              </w:rPr>
              <w:t>Bahamas</w:t>
            </w:r>
          </w:p>
        </w:tc>
        <w:tc>
          <w:tcPr>
            <w:tcW w:w="2980" w:type="dxa"/>
            <w:vAlign w:val="bottom"/>
          </w:tcPr>
          <w:p>
            <w:pPr>
              <w:jc w:val="center"/>
              <w:spacing w:after="0"/>
              <w:rPr>
                <w:sz w:val="20"/>
                <w:szCs w:val="20"/>
                <w:color w:val="auto"/>
              </w:rPr>
            </w:pPr>
            <w:r>
              <w:rPr>
                <w:rFonts w:ascii="Arial" w:cs="Arial" w:eastAsia="Arial" w:hAnsi="Arial"/>
                <w:sz w:val="20"/>
                <w:szCs w:val="20"/>
                <w:color w:val="auto"/>
                <w:w w:val="90"/>
              </w:rPr>
              <w:t>Utah and Wyoming</w:t>
            </w:r>
          </w:p>
        </w:tc>
        <w:tc>
          <w:tcPr>
            <w:tcW w:w="20" w:type="dxa"/>
            <w:vAlign w:val="bottom"/>
          </w:tcPr>
          <w:p>
            <w:pPr>
              <w:spacing w:after="0"/>
              <w:rPr>
                <w:sz w:val="21"/>
                <w:szCs w:val="21"/>
                <w:color w:val="auto"/>
              </w:rPr>
            </w:pPr>
          </w:p>
        </w:tc>
      </w:tr>
      <w:tr>
        <w:trPr>
          <w:trHeight w:val="438"/>
        </w:trPr>
        <w:tc>
          <w:tcPr>
            <w:tcW w:w="1800" w:type="dxa"/>
            <w:vAlign w:val="bottom"/>
            <w:gridSpan w:val="2"/>
          </w:tcPr>
          <w:p>
            <w:pPr>
              <w:jc w:val="center"/>
              <w:ind w:right="100"/>
              <w:spacing w:after="0"/>
              <w:rPr>
                <w:sz w:val="20"/>
                <w:szCs w:val="20"/>
                <w:color w:val="auto"/>
              </w:rPr>
            </w:pPr>
            <w:r>
              <w:rPr>
                <w:rFonts w:ascii="Arial" w:cs="Arial" w:eastAsia="Arial" w:hAnsi="Arial"/>
                <w:sz w:val="20"/>
                <w:szCs w:val="20"/>
                <w:color w:val="auto"/>
                <w:w w:val="90"/>
              </w:rPr>
              <w:t>Primary Product</w:t>
            </w:r>
          </w:p>
        </w:tc>
        <w:tc>
          <w:tcPr>
            <w:tcW w:w="4720" w:type="dxa"/>
            <w:vAlign w:val="bottom"/>
            <w:gridSpan w:val="2"/>
          </w:tcPr>
          <w:p>
            <w:pPr>
              <w:jc w:val="center"/>
              <w:ind w:right="100"/>
              <w:spacing w:after="0"/>
              <w:rPr>
                <w:sz w:val="20"/>
                <w:szCs w:val="20"/>
                <w:color w:val="auto"/>
              </w:rPr>
            </w:pPr>
            <w:r>
              <w:rPr>
                <w:rFonts w:ascii="Arial" w:cs="Arial" w:eastAsia="Arial" w:hAnsi="Arial"/>
                <w:sz w:val="20"/>
                <w:szCs w:val="20"/>
                <w:color w:val="auto"/>
                <w:w w:val="87"/>
              </w:rPr>
              <w:t>Aggregates (crushed stone, sand and gravel)</w:t>
            </w:r>
          </w:p>
        </w:tc>
        <w:tc>
          <w:tcPr>
            <w:tcW w:w="1920" w:type="dxa"/>
            <w:vAlign w:val="bottom"/>
            <w:gridSpan w:val="2"/>
          </w:tcPr>
          <w:p>
            <w:pPr>
              <w:jc w:val="center"/>
              <w:ind w:right="120"/>
              <w:spacing w:after="0"/>
              <w:rPr>
                <w:sz w:val="20"/>
                <w:szCs w:val="20"/>
                <w:color w:val="auto"/>
              </w:rPr>
            </w:pPr>
            <w:r>
              <w:rPr>
                <w:rFonts w:ascii="Arial" w:cs="Arial" w:eastAsia="Arial" w:hAnsi="Arial"/>
                <w:sz w:val="20"/>
                <w:szCs w:val="20"/>
                <w:color w:val="auto"/>
                <w:w w:val="88"/>
              </w:rPr>
              <w:t>Aggregates (crushed</w:t>
            </w:r>
          </w:p>
        </w:tc>
        <w:tc>
          <w:tcPr>
            <w:tcW w:w="2980" w:type="dxa"/>
            <w:vAlign w:val="bottom"/>
          </w:tcPr>
          <w:p>
            <w:pPr>
              <w:jc w:val="center"/>
              <w:spacing w:after="0"/>
              <w:rPr>
                <w:sz w:val="20"/>
                <w:szCs w:val="20"/>
                <w:color w:val="auto"/>
              </w:rPr>
            </w:pPr>
            <w:r>
              <w:rPr>
                <w:rFonts w:ascii="Arial" w:cs="Arial" w:eastAsia="Arial" w:hAnsi="Arial"/>
                <w:sz w:val="20"/>
                <w:szCs w:val="20"/>
                <w:color w:val="auto"/>
                <w:w w:val="86"/>
              </w:rPr>
              <w:t>Aggregates (crushed stone, sand and</w:t>
            </w:r>
          </w:p>
        </w:tc>
        <w:tc>
          <w:tcPr>
            <w:tcW w:w="20" w:type="dxa"/>
            <w:vAlign w:val="bottom"/>
          </w:tcPr>
          <w:p>
            <w:pPr>
              <w:spacing w:after="0"/>
              <w:rPr>
                <w:sz w:val="24"/>
                <w:szCs w:val="24"/>
                <w:color w:val="auto"/>
              </w:rPr>
            </w:pPr>
          </w:p>
        </w:tc>
      </w:tr>
      <w:tr>
        <w:trPr>
          <w:trHeight w:val="230"/>
        </w:trPr>
        <w:tc>
          <w:tcPr>
            <w:tcW w:w="1800" w:type="dxa"/>
            <w:vAlign w:val="bottom"/>
            <w:gridSpan w:val="2"/>
          </w:tcPr>
          <w:p>
            <w:pPr>
              <w:jc w:val="center"/>
              <w:ind w:left="21"/>
              <w:spacing w:after="0"/>
              <w:rPr>
                <w:sz w:val="20"/>
                <w:szCs w:val="20"/>
                <w:color w:val="auto"/>
              </w:rPr>
            </w:pPr>
            <w:r>
              <w:rPr>
                <w:rFonts w:ascii="Arial" w:cs="Arial" w:eastAsia="Arial" w:hAnsi="Arial"/>
                <w:sz w:val="20"/>
                <w:szCs w:val="20"/>
                <w:color w:val="auto"/>
                <w:w w:val="91"/>
              </w:rPr>
              <w:t>Lines</w:t>
            </w:r>
          </w:p>
        </w:tc>
        <w:tc>
          <w:tcPr>
            <w:tcW w:w="4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20" w:type="dxa"/>
            <w:vAlign w:val="bottom"/>
            <w:gridSpan w:val="2"/>
          </w:tcPr>
          <w:p>
            <w:pPr>
              <w:jc w:val="center"/>
              <w:ind w:right="120"/>
              <w:spacing w:after="0"/>
              <w:rPr>
                <w:sz w:val="20"/>
                <w:szCs w:val="20"/>
                <w:color w:val="auto"/>
              </w:rPr>
            </w:pPr>
            <w:r>
              <w:rPr>
                <w:rFonts w:ascii="Arial" w:cs="Arial" w:eastAsia="Arial" w:hAnsi="Arial"/>
                <w:sz w:val="20"/>
                <w:szCs w:val="20"/>
                <w:color w:val="auto"/>
                <w:w w:val="84"/>
              </w:rPr>
              <w:t>stone, sand and</w:t>
            </w:r>
          </w:p>
        </w:tc>
        <w:tc>
          <w:tcPr>
            <w:tcW w:w="2980" w:type="dxa"/>
            <w:vAlign w:val="bottom"/>
          </w:tcPr>
          <w:p>
            <w:pPr>
              <w:jc w:val="center"/>
              <w:spacing w:after="0"/>
              <w:rPr>
                <w:sz w:val="20"/>
                <w:szCs w:val="20"/>
                <w:color w:val="auto"/>
              </w:rPr>
            </w:pPr>
            <w:r>
              <w:rPr>
                <w:rFonts w:ascii="Arial" w:cs="Arial" w:eastAsia="Arial" w:hAnsi="Arial"/>
                <w:sz w:val="20"/>
                <w:szCs w:val="20"/>
                <w:color w:val="auto"/>
                <w:w w:val="89"/>
              </w:rPr>
              <w:t>gravel), asphalt, ready mixed</w:t>
            </w:r>
          </w:p>
        </w:tc>
        <w:tc>
          <w:tcPr>
            <w:tcW w:w="20" w:type="dxa"/>
            <w:vAlign w:val="bottom"/>
          </w:tcPr>
          <w:p>
            <w:pPr>
              <w:spacing w:after="0"/>
              <w:rPr>
                <w:sz w:val="19"/>
                <w:szCs w:val="19"/>
                <w:color w:val="auto"/>
              </w:rPr>
            </w:pPr>
          </w:p>
        </w:tc>
      </w:tr>
      <w:tr>
        <w:trPr>
          <w:trHeight w:val="250"/>
        </w:trPr>
        <w:tc>
          <w:tcPr>
            <w:tcW w:w="1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920" w:type="dxa"/>
            <w:vAlign w:val="bottom"/>
            <w:gridSpan w:val="2"/>
          </w:tcPr>
          <w:p>
            <w:pPr>
              <w:jc w:val="center"/>
              <w:ind w:right="120"/>
              <w:spacing w:after="0"/>
              <w:rPr>
                <w:sz w:val="20"/>
                <w:szCs w:val="20"/>
                <w:color w:val="auto"/>
              </w:rPr>
            </w:pPr>
            <w:r>
              <w:rPr>
                <w:rFonts w:ascii="Arial" w:cs="Arial" w:eastAsia="Arial" w:hAnsi="Arial"/>
                <w:sz w:val="20"/>
                <w:szCs w:val="20"/>
                <w:color w:val="auto"/>
                <w:w w:val="91"/>
              </w:rPr>
              <w:t>gravel)</w:t>
            </w:r>
          </w:p>
        </w:tc>
        <w:tc>
          <w:tcPr>
            <w:tcW w:w="2980" w:type="dxa"/>
            <w:vAlign w:val="bottom"/>
          </w:tcPr>
          <w:p>
            <w:pPr>
              <w:jc w:val="center"/>
              <w:spacing w:after="0"/>
              <w:rPr>
                <w:sz w:val="20"/>
                <w:szCs w:val="20"/>
                <w:color w:val="auto"/>
              </w:rPr>
            </w:pPr>
            <w:r>
              <w:rPr>
                <w:rFonts w:ascii="Arial" w:cs="Arial" w:eastAsia="Arial" w:hAnsi="Arial"/>
                <w:sz w:val="20"/>
                <w:szCs w:val="20"/>
                <w:color w:val="auto"/>
                <w:w w:val="87"/>
              </w:rPr>
              <w:t>concrete and road paving</w:t>
            </w:r>
          </w:p>
        </w:tc>
        <w:tc>
          <w:tcPr>
            <w:tcW w:w="20" w:type="dxa"/>
            <w:vAlign w:val="bottom"/>
          </w:tcPr>
          <w:p>
            <w:pPr>
              <w:spacing w:after="0"/>
              <w:rPr>
                <w:sz w:val="21"/>
                <w:szCs w:val="21"/>
                <w:color w:val="auto"/>
              </w:rPr>
            </w:pPr>
          </w:p>
        </w:tc>
      </w:tr>
      <w:tr>
        <w:trPr>
          <w:trHeight w:val="438"/>
        </w:trPr>
        <w:tc>
          <w:tcPr>
            <w:tcW w:w="1800" w:type="dxa"/>
            <w:vAlign w:val="bottom"/>
            <w:gridSpan w:val="2"/>
          </w:tcPr>
          <w:p>
            <w:pPr>
              <w:jc w:val="center"/>
              <w:ind w:right="100"/>
              <w:spacing w:after="0"/>
              <w:rPr>
                <w:sz w:val="20"/>
                <w:szCs w:val="20"/>
                <w:color w:val="auto"/>
              </w:rPr>
            </w:pPr>
            <w:r>
              <w:rPr>
                <w:rFonts w:ascii="Arial" w:cs="Arial" w:eastAsia="Arial" w:hAnsi="Arial"/>
                <w:sz w:val="20"/>
                <w:szCs w:val="20"/>
                <w:color w:val="auto"/>
                <w:w w:val="91"/>
              </w:rPr>
              <w:t>Primary Types of</w:t>
            </w:r>
          </w:p>
        </w:tc>
        <w:tc>
          <w:tcPr>
            <w:tcW w:w="4720" w:type="dxa"/>
            <w:vAlign w:val="bottom"/>
            <w:gridSpan w:val="2"/>
          </w:tcPr>
          <w:p>
            <w:pPr>
              <w:jc w:val="center"/>
              <w:ind w:right="120"/>
              <w:spacing w:after="0"/>
              <w:rPr>
                <w:sz w:val="20"/>
                <w:szCs w:val="20"/>
                <w:color w:val="auto"/>
              </w:rPr>
            </w:pPr>
            <w:r>
              <w:rPr>
                <w:rFonts w:ascii="Arial" w:cs="Arial" w:eastAsia="Arial" w:hAnsi="Arial"/>
                <w:sz w:val="20"/>
                <w:szCs w:val="20"/>
                <w:color w:val="auto"/>
                <w:w w:val="91"/>
              </w:rPr>
              <w:t>Quarries and Distribution Facilities</w:t>
            </w:r>
          </w:p>
        </w:tc>
        <w:tc>
          <w:tcPr>
            <w:tcW w:w="1920" w:type="dxa"/>
            <w:vAlign w:val="bottom"/>
            <w:gridSpan w:val="2"/>
          </w:tcPr>
          <w:p>
            <w:pPr>
              <w:jc w:val="center"/>
              <w:ind w:right="100"/>
              <w:spacing w:after="0"/>
              <w:rPr>
                <w:sz w:val="20"/>
                <w:szCs w:val="20"/>
                <w:color w:val="auto"/>
              </w:rPr>
            </w:pPr>
            <w:r>
              <w:rPr>
                <w:rFonts w:ascii="Arial" w:cs="Arial" w:eastAsia="Arial" w:hAnsi="Arial"/>
                <w:sz w:val="20"/>
                <w:szCs w:val="20"/>
                <w:color w:val="auto"/>
                <w:w w:val="88"/>
              </w:rPr>
              <w:t>Quarries and</w:t>
            </w:r>
          </w:p>
        </w:tc>
        <w:tc>
          <w:tcPr>
            <w:tcW w:w="2980" w:type="dxa"/>
            <w:vAlign w:val="bottom"/>
          </w:tcPr>
          <w:p>
            <w:pPr>
              <w:jc w:val="center"/>
              <w:spacing w:after="0"/>
              <w:rPr>
                <w:sz w:val="20"/>
                <w:szCs w:val="20"/>
                <w:color w:val="auto"/>
              </w:rPr>
            </w:pPr>
            <w:r>
              <w:rPr>
                <w:rFonts w:ascii="Arial" w:cs="Arial" w:eastAsia="Arial" w:hAnsi="Arial"/>
                <w:sz w:val="20"/>
                <w:szCs w:val="20"/>
                <w:color w:val="auto"/>
                <w:w w:val="87"/>
              </w:rPr>
              <w:t>Quarries, Plants and</w:t>
            </w:r>
          </w:p>
        </w:tc>
        <w:tc>
          <w:tcPr>
            <w:tcW w:w="20" w:type="dxa"/>
            <w:vAlign w:val="bottom"/>
          </w:tcPr>
          <w:p>
            <w:pPr>
              <w:spacing w:after="0"/>
              <w:rPr>
                <w:sz w:val="24"/>
                <w:szCs w:val="24"/>
                <w:color w:val="auto"/>
              </w:rPr>
            </w:pPr>
          </w:p>
        </w:tc>
      </w:tr>
      <w:tr>
        <w:trPr>
          <w:trHeight w:val="230"/>
        </w:trPr>
        <w:tc>
          <w:tcPr>
            <w:tcW w:w="1800" w:type="dxa"/>
            <w:vAlign w:val="bottom"/>
            <w:gridSpan w:val="2"/>
          </w:tcPr>
          <w:p>
            <w:pPr>
              <w:jc w:val="center"/>
              <w:ind w:left="21"/>
              <w:spacing w:after="0"/>
              <w:rPr>
                <w:sz w:val="20"/>
                <w:szCs w:val="20"/>
                <w:color w:val="auto"/>
              </w:rPr>
            </w:pPr>
            <w:r>
              <w:rPr>
                <w:rFonts w:ascii="Arial" w:cs="Arial" w:eastAsia="Arial" w:hAnsi="Arial"/>
                <w:sz w:val="20"/>
                <w:szCs w:val="20"/>
                <w:color w:val="auto"/>
                <w:w w:val="89"/>
              </w:rPr>
              <w:t>Aggregates</w:t>
            </w:r>
          </w:p>
        </w:tc>
        <w:tc>
          <w:tcPr>
            <w:tcW w:w="4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20" w:type="dxa"/>
            <w:vAlign w:val="bottom"/>
            <w:gridSpan w:val="2"/>
          </w:tcPr>
          <w:p>
            <w:pPr>
              <w:jc w:val="center"/>
              <w:ind w:right="120"/>
              <w:spacing w:after="0"/>
              <w:rPr>
                <w:sz w:val="20"/>
                <w:szCs w:val="20"/>
                <w:color w:val="auto"/>
              </w:rPr>
            </w:pPr>
            <w:r>
              <w:rPr>
                <w:rFonts w:ascii="Arial" w:cs="Arial" w:eastAsia="Arial" w:hAnsi="Arial"/>
                <w:sz w:val="20"/>
                <w:szCs w:val="20"/>
                <w:color w:val="auto"/>
                <w:w w:val="93"/>
              </w:rPr>
              <w:t>Distribution Facilities</w:t>
            </w:r>
          </w:p>
        </w:tc>
        <w:tc>
          <w:tcPr>
            <w:tcW w:w="2980" w:type="dxa"/>
            <w:vAlign w:val="bottom"/>
          </w:tcPr>
          <w:p>
            <w:pPr>
              <w:jc w:val="center"/>
              <w:spacing w:after="0"/>
              <w:rPr>
                <w:sz w:val="20"/>
                <w:szCs w:val="20"/>
                <w:color w:val="auto"/>
              </w:rPr>
            </w:pPr>
            <w:r>
              <w:rPr>
                <w:rFonts w:ascii="Arial" w:cs="Arial" w:eastAsia="Arial" w:hAnsi="Arial"/>
                <w:sz w:val="20"/>
                <w:szCs w:val="20"/>
                <w:color w:val="auto"/>
                <w:w w:val="94"/>
              </w:rPr>
              <w:t>Distribution Facilities</w:t>
            </w:r>
          </w:p>
        </w:tc>
        <w:tc>
          <w:tcPr>
            <w:tcW w:w="20" w:type="dxa"/>
            <w:vAlign w:val="bottom"/>
          </w:tcPr>
          <w:p>
            <w:pPr>
              <w:spacing w:after="0"/>
              <w:rPr>
                <w:sz w:val="19"/>
                <w:szCs w:val="19"/>
                <w:color w:val="auto"/>
              </w:rPr>
            </w:pPr>
          </w:p>
        </w:tc>
      </w:tr>
      <w:tr>
        <w:trPr>
          <w:trHeight w:val="250"/>
        </w:trPr>
        <w:tc>
          <w:tcPr>
            <w:tcW w:w="1800" w:type="dxa"/>
            <w:vAlign w:val="bottom"/>
            <w:gridSpan w:val="2"/>
          </w:tcPr>
          <w:p>
            <w:pPr>
              <w:jc w:val="center"/>
              <w:ind w:left="41"/>
              <w:spacing w:after="0"/>
              <w:rPr>
                <w:sz w:val="20"/>
                <w:szCs w:val="20"/>
                <w:color w:val="auto"/>
              </w:rPr>
            </w:pPr>
            <w:r>
              <w:rPr>
                <w:rFonts w:ascii="Arial" w:cs="Arial" w:eastAsia="Arial" w:hAnsi="Arial"/>
                <w:sz w:val="20"/>
                <w:szCs w:val="20"/>
                <w:color w:val="auto"/>
                <w:w w:val="91"/>
              </w:rPr>
              <w:t>Locations</w:t>
            </w:r>
          </w:p>
        </w:tc>
        <w:tc>
          <w:tcPr>
            <w:tcW w:w="4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9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438"/>
        </w:trPr>
        <w:tc>
          <w:tcPr>
            <w:tcW w:w="1800" w:type="dxa"/>
            <w:vAlign w:val="bottom"/>
            <w:gridSpan w:val="2"/>
          </w:tcPr>
          <w:p>
            <w:pPr>
              <w:jc w:val="center"/>
              <w:ind w:right="80"/>
              <w:spacing w:after="0"/>
              <w:rPr>
                <w:sz w:val="20"/>
                <w:szCs w:val="20"/>
                <w:color w:val="auto"/>
              </w:rPr>
            </w:pPr>
            <w:r>
              <w:rPr>
                <w:rFonts w:ascii="Arial" w:cs="Arial" w:eastAsia="Arial" w:hAnsi="Arial"/>
                <w:sz w:val="20"/>
                <w:szCs w:val="20"/>
                <w:color w:val="auto"/>
                <w:w w:val="91"/>
              </w:rPr>
              <w:t>Primary Modes of</w:t>
            </w:r>
          </w:p>
        </w:tc>
        <w:tc>
          <w:tcPr>
            <w:tcW w:w="4720" w:type="dxa"/>
            <w:vAlign w:val="bottom"/>
            <w:gridSpan w:val="2"/>
          </w:tcPr>
          <w:p>
            <w:pPr>
              <w:jc w:val="center"/>
              <w:ind w:right="100"/>
              <w:spacing w:after="0"/>
              <w:rPr>
                <w:sz w:val="20"/>
                <w:szCs w:val="20"/>
                <w:color w:val="auto"/>
              </w:rPr>
            </w:pPr>
            <w:r>
              <w:rPr>
                <w:rFonts w:ascii="Arial" w:cs="Arial" w:eastAsia="Arial" w:hAnsi="Arial"/>
                <w:sz w:val="20"/>
                <w:szCs w:val="20"/>
                <w:color w:val="auto"/>
                <w:w w:val="91"/>
              </w:rPr>
              <w:t>Truck and Rail</w:t>
            </w:r>
          </w:p>
        </w:tc>
        <w:tc>
          <w:tcPr>
            <w:tcW w:w="1920" w:type="dxa"/>
            <w:vAlign w:val="bottom"/>
            <w:gridSpan w:val="2"/>
          </w:tcPr>
          <w:p>
            <w:pPr>
              <w:jc w:val="center"/>
              <w:ind w:right="120"/>
              <w:spacing w:after="0"/>
              <w:rPr>
                <w:sz w:val="20"/>
                <w:szCs w:val="20"/>
                <w:color w:val="auto"/>
              </w:rPr>
            </w:pPr>
            <w:r>
              <w:rPr>
                <w:rFonts w:ascii="Arial" w:cs="Arial" w:eastAsia="Arial" w:hAnsi="Arial"/>
                <w:sz w:val="20"/>
                <w:szCs w:val="20"/>
                <w:color w:val="auto"/>
                <w:w w:val="90"/>
              </w:rPr>
              <w:t>Truck, Rail and Water</w:t>
            </w:r>
          </w:p>
        </w:tc>
        <w:tc>
          <w:tcPr>
            <w:tcW w:w="2980" w:type="dxa"/>
            <w:vAlign w:val="bottom"/>
          </w:tcPr>
          <w:p>
            <w:pPr>
              <w:jc w:val="center"/>
              <w:spacing w:after="0"/>
              <w:rPr>
                <w:sz w:val="20"/>
                <w:szCs w:val="20"/>
                <w:color w:val="auto"/>
              </w:rPr>
            </w:pPr>
            <w:r>
              <w:rPr>
                <w:rFonts w:ascii="Arial" w:cs="Arial" w:eastAsia="Arial" w:hAnsi="Arial"/>
                <w:sz w:val="20"/>
                <w:szCs w:val="20"/>
                <w:color w:val="auto"/>
                <w:w w:val="91"/>
              </w:rPr>
              <w:t>Truck and Rail</w:t>
            </w:r>
          </w:p>
        </w:tc>
        <w:tc>
          <w:tcPr>
            <w:tcW w:w="20" w:type="dxa"/>
            <w:vAlign w:val="bottom"/>
          </w:tcPr>
          <w:p>
            <w:pPr>
              <w:spacing w:after="0"/>
              <w:rPr>
                <w:sz w:val="24"/>
                <w:szCs w:val="24"/>
                <w:color w:val="auto"/>
              </w:rPr>
            </w:pPr>
          </w:p>
        </w:tc>
      </w:tr>
      <w:tr>
        <w:trPr>
          <w:trHeight w:val="230"/>
        </w:trPr>
        <w:tc>
          <w:tcPr>
            <w:tcW w:w="1800" w:type="dxa"/>
            <w:vAlign w:val="bottom"/>
            <w:gridSpan w:val="2"/>
          </w:tcPr>
          <w:p>
            <w:pPr>
              <w:jc w:val="center"/>
              <w:ind w:left="21"/>
              <w:spacing w:after="0"/>
              <w:rPr>
                <w:sz w:val="20"/>
                <w:szCs w:val="20"/>
                <w:color w:val="auto"/>
              </w:rPr>
            </w:pPr>
            <w:r>
              <w:rPr>
                <w:rFonts w:ascii="Arial" w:cs="Arial" w:eastAsia="Arial" w:hAnsi="Arial"/>
                <w:sz w:val="20"/>
                <w:szCs w:val="20"/>
                <w:color w:val="auto"/>
                <w:w w:val="91"/>
              </w:rPr>
              <w:t>Transportation for</w:t>
            </w:r>
          </w:p>
        </w:tc>
        <w:tc>
          <w:tcPr>
            <w:tcW w:w="4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1800" w:type="dxa"/>
            <w:vAlign w:val="bottom"/>
            <w:gridSpan w:val="2"/>
          </w:tcPr>
          <w:p>
            <w:pPr>
              <w:jc w:val="center"/>
              <w:ind w:left="21"/>
              <w:spacing w:after="0"/>
              <w:rPr>
                <w:sz w:val="20"/>
                <w:szCs w:val="20"/>
                <w:color w:val="auto"/>
              </w:rPr>
            </w:pPr>
            <w:r>
              <w:rPr>
                <w:rFonts w:ascii="Arial" w:cs="Arial" w:eastAsia="Arial" w:hAnsi="Arial"/>
                <w:sz w:val="20"/>
                <w:szCs w:val="20"/>
                <w:color w:val="auto"/>
                <w:w w:val="89"/>
              </w:rPr>
              <w:t>Aggregates</w:t>
            </w:r>
          </w:p>
        </w:tc>
        <w:tc>
          <w:tcPr>
            <w:tcW w:w="4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50"/>
        </w:trPr>
        <w:tc>
          <w:tcPr>
            <w:tcW w:w="1800" w:type="dxa"/>
            <w:vAlign w:val="bottom"/>
            <w:gridSpan w:val="2"/>
          </w:tcPr>
          <w:p>
            <w:pPr>
              <w:jc w:val="center"/>
              <w:ind w:left="21"/>
              <w:spacing w:after="0"/>
              <w:rPr>
                <w:sz w:val="20"/>
                <w:szCs w:val="20"/>
                <w:color w:val="auto"/>
              </w:rPr>
            </w:pPr>
            <w:r>
              <w:rPr>
                <w:rFonts w:ascii="Arial" w:cs="Arial" w:eastAsia="Arial" w:hAnsi="Arial"/>
                <w:sz w:val="20"/>
                <w:szCs w:val="20"/>
                <w:color w:val="auto"/>
                <w:w w:val="92"/>
              </w:rPr>
              <w:t>Product Line</w:t>
            </w:r>
          </w:p>
        </w:tc>
        <w:tc>
          <w:tcPr>
            <w:tcW w:w="4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9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675"/>
        </w:trPr>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720" w:type="dxa"/>
            <w:vAlign w:val="bottom"/>
            <w:gridSpan w:val="2"/>
          </w:tcPr>
          <w:p>
            <w:pPr>
              <w:ind w:left="3360"/>
              <w:spacing w:after="0"/>
              <w:rPr>
                <w:sz w:val="20"/>
                <w:szCs w:val="20"/>
                <w:color w:val="auto"/>
              </w:rPr>
            </w:pPr>
            <w:r>
              <w:rPr>
                <w:rFonts w:ascii="Arial" w:cs="Arial" w:eastAsia="Arial" w:hAnsi="Arial"/>
                <w:sz w:val="20"/>
                <w:szCs w:val="20"/>
                <w:color w:val="auto"/>
              </w:rPr>
              <w:t>Page 25 of 63</w:t>
            </w:r>
          </w:p>
        </w:tc>
        <w:tc>
          <w:tcPr>
            <w:tcW w:w="1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1"/>
        </w:trPr>
        <w:tc>
          <w:tcPr>
            <w:tcW w:w="17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6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8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9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25" w:name="page26"/>
    <w:bookmarkEnd w:id="25"/>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September 30, 2015</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rPr>
          <w:sz w:val="20"/>
          <w:szCs w:val="20"/>
          <w:color w:val="auto"/>
        </w:rPr>
      </w:pPr>
      <w:r>
        <w:rPr>
          <w:rFonts w:ascii="Arial" w:cs="Arial" w:eastAsia="Arial" w:hAnsi="Arial"/>
          <w:sz w:val="20"/>
          <w:szCs w:val="20"/>
          <w:color w:val="auto"/>
        </w:rPr>
        <w:t>Third Quarter Ended September 30, 2015</w:t>
      </w:r>
    </w:p>
    <w:p>
      <w:pPr>
        <w:jc w:val="center"/>
        <w:spacing w:after="0"/>
        <w:rPr>
          <w:sz w:val="20"/>
          <w:szCs w:val="20"/>
          <w:color w:val="auto"/>
        </w:rPr>
      </w:pPr>
      <w:r>
        <w:rPr>
          <w:rFonts w:ascii="Arial" w:cs="Arial" w:eastAsia="Arial" w:hAnsi="Arial"/>
          <w:sz w:val="20"/>
          <w:szCs w:val="20"/>
          <w:color w:val="auto"/>
        </w:rPr>
        <w:t>(Continued)</w:t>
      </w:r>
    </w:p>
    <w:p>
      <w:pPr>
        <w:spacing w:after="0" w:line="213"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The Cement business produces Portland and specialty cements, such as masonry and oil well cements. Similar to the Aggregates business, cement is used in infrastructure projects, nonresidential and residential construction, and the railroad, agricultural, utility and environmental industries. The production facilities are located in Midlothian, Texas, south of Dallas/Fort Worth and Hunter, Texas, between Austin and San Antonio. The limestone reserves used as a raw material are located on property, owned by the Corporation, adjacent to each of the plants. In addition to the manufacturing facilities, the Corporation operates three cement distribution terminals. On September 30, 2015, the Corporation sold its California cement operations.</w:t>
      </w:r>
    </w:p>
    <w:p>
      <w:pPr>
        <w:spacing w:after="0" w:line="88"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Corporation also has a Magnesia Specialties segment that produces magnesia-based chemicals products used in industrial, agricultural and environmental applications and dolomitic lime sold primarily to customers in the steel industry.</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CRITICAL ACCOUNTING POLICIES</w:t>
      </w:r>
    </w:p>
    <w:p>
      <w:pPr>
        <w:spacing w:after="0" w:line="108"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The Corporation outlined its critical accounting policies in its Annual Report on Form 10-K for the year ended December 31, 2014. There were no changes to the Corporation’s critical accounting policies during the nine months ended September 30, 2015.</w:t>
      </w:r>
    </w:p>
    <w:p>
      <w:pPr>
        <w:spacing w:after="0" w:line="261" w:lineRule="exact"/>
        <w:rPr>
          <w:sz w:val="20"/>
          <w:szCs w:val="20"/>
          <w:color w:val="auto"/>
        </w:rPr>
      </w:pPr>
    </w:p>
    <w:p>
      <w:pPr>
        <w:spacing w:after="0"/>
        <w:rPr>
          <w:sz w:val="20"/>
          <w:szCs w:val="20"/>
          <w:color w:val="auto"/>
        </w:rPr>
      </w:pPr>
      <w:r>
        <w:rPr>
          <w:rFonts w:ascii="Arial" w:cs="Arial" w:eastAsia="Arial" w:hAnsi="Arial"/>
          <w:sz w:val="20"/>
          <w:szCs w:val="20"/>
          <w:color w:val="auto"/>
        </w:rPr>
        <w:t>RESULTS OF OPERATIONS</w:t>
      </w:r>
    </w:p>
    <w:p>
      <w:pPr>
        <w:spacing w:after="0" w:line="108"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Except as indicated, the comparative analysis in this Management’s Discussion and Analysis of Financial Condition and Results of Operations reflects results from continuing operations and is based on net sales and cost of sales. Gross margin and operating margin calculated as percentages of total revenues represent the most directly comparable financial measures calculated in accordance with generally accepted accounting principles (“GAAP”). However, gross margin as a percentage of net sales and operating margin as a percentage of net sales represent non-GAAP measures. The Corporation presents these ratios calculated based on net sales, as it is consistent with the basis by which management reviews the Corporation’s operating results. Further, management believes it is consistent with the basis by which investors analyze the Corporation’s operating results given that freight and delivery revenues and costs represent pass-throughs and have no profit mark-up. The following tables present the calculations of gross margin and operating margin for the three and nine months ended September 30, 2015 and 2014 in accordance with GAAP and reconciliations of the ratios as percentages of total revenues to percentages of net sales.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5740" w:type="dxa"/>
            <w:vAlign w:val="bottom"/>
          </w:tcPr>
          <w:p>
            <w:pPr>
              <w:spacing w:after="0"/>
              <w:rPr>
                <w:sz w:val="20"/>
                <w:szCs w:val="20"/>
                <w:color w:val="auto"/>
              </w:rPr>
            </w:pPr>
            <w:r>
              <w:rPr>
                <w:rFonts w:ascii="Arial" w:cs="Arial" w:eastAsia="Arial" w:hAnsi="Arial"/>
                <w:sz w:val="20"/>
                <w:szCs w:val="20"/>
                <w:b w:val="1"/>
                <w:bCs w:val="1"/>
                <w:color w:val="auto"/>
              </w:rPr>
              <w:t>Consolidated Gross Margin in Accordance with GAAP</w:t>
            </w:r>
          </w:p>
        </w:tc>
        <w:tc>
          <w:tcPr>
            <w:tcW w:w="220" w:type="dxa"/>
            <w:vAlign w:val="bottom"/>
          </w:tcPr>
          <w:p>
            <w:pPr>
              <w:spacing w:after="0"/>
              <w:rPr>
                <w:sz w:val="22"/>
                <w:szCs w:val="22"/>
                <w:color w:val="auto"/>
              </w:rPr>
            </w:pPr>
          </w:p>
        </w:tc>
        <w:tc>
          <w:tcPr>
            <w:tcW w:w="2560" w:type="dxa"/>
            <w:vAlign w:val="bottom"/>
            <w:gridSpan w:val="6"/>
            <w:vMerge w:val="restart"/>
          </w:tcPr>
          <w:p>
            <w:pPr>
              <w:jc w:val="right"/>
              <w:ind w:right="640"/>
              <w:spacing w:after="0"/>
              <w:rPr>
                <w:sz w:val="20"/>
                <w:szCs w:val="20"/>
                <w:color w:val="auto"/>
              </w:rPr>
            </w:pPr>
            <w:r>
              <w:rPr>
                <w:rFonts w:ascii="Arial" w:cs="Arial" w:eastAsia="Arial" w:hAnsi="Arial"/>
                <w:sz w:val="20"/>
                <w:szCs w:val="20"/>
                <w:color w:val="auto"/>
              </w:rPr>
              <w:t>Three Months Ended</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560" w:type="dxa"/>
            <w:vAlign w:val="bottom"/>
            <w:gridSpan w:val="5"/>
            <w:vMerge w:val="restart"/>
          </w:tcPr>
          <w:p>
            <w:pPr>
              <w:jc w:val="right"/>
              <w:ind w:right="700"/>
              <w:spacing w:after="0"/>
              <w:rPr>
                <w:sz w:val="20"/>
                <w:szCs w:val="20"/>
                <w:color w:val="auto"/>
              </w:rPr>
            </w:pPr>
            <w:r>
              <w:rPr>
                <w:rFonts w:ascii="Arial" w:cs="Arial" w:eastAsia="Arial" w:hAnsi="Arial"/>
                <w:sz w:val="20"/>
                <w:szCs w:val="20"/>
                <w:color w:val="auto"/>
              </w:rPr>
              <w:t>Nine Months Ended</w:t>
            </w:r>
          </w:p>
        </w:tc>
        <w:tc>
          <w:tcPr>
            <w:tcW w:w="0" w:type="dxa"/>
            <w:vAlign w:val="bottom"/>
          </w:tcPr>
          <w:p>
            <w:pPr>
              <w:spacing w:after="0"/>
              <w:rPr>
                <w:sz w:val="1"/>
                <w:szCs w:val="1"/>
                <w:color w:val="auto"/>
              </w:rPr>
            </w:pPr>
          </w:p>
        </w:tc>
      </w:tr>
      <w:tr>
        <w:trPr>
          <w:trHeight w:val="236"/>
        </w:trPr>
        <w:tc>
          <w:tcPr>
            <w:tcW w:w="5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60" w:type="dxa"/>
            <w:vAlign w:val="bottom"/>
            <w:gridSpan w:val="6"/>
            <w:vMerge w:val="continue"/>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60" w:type="dxa"/>
            <w:vAlign w:val="bottom"/>
            <w:gridSpan w:val="5"/>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57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560" w:type="dxa"/>
            <w:vAlign w:val="bottom"/>
            <w:gridSpan w:val="6"/>
          </w:tcPr>
          <w:p>
            <w:pPr>
              <w:jc w:val="right"/>
              <w:ind w:right="920"/>
              <w:spacing w:after="0"/>
              <w:rPr>
                <w:sz w:val="20"/>
                <w:szCs w:val="20"/>
                <w:color w:val="auto"/>
              </w:rPr>
            </w:pPr>
            <w:r>
              <w:rPr>
                <w:rFonts w:ascii="Arial" w:cs="Arial" w:eastAsia="Arial" w:hAnsi="Arial"/>
                <w:sz w:val="20"/>
                <w:szCs w:val="20"/>
                <w:color w:val="auto"/>
              </w:rPr>
              <w:t>September 30,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560" w:type="dxa"/>
            <w:vAlign w:val="bottom"/>
            <w:gridSpan w:val="5"/>
          </w:tcPr>
          <w:p>
            <w:pPr>
              <w:jc w:val="right"/>
              <w:ind w:right="920"/>
              <w:spacing w:after="0"/>
              <w:rPr>
                <w:sz w:val="20"/>
                <w:szCs w:val="20"/>
                <w:color w:val="auto"/>
              </w:rPr>
            </w:pPr>
            <w:r>
              <w:rPr>
                <w:rFonts w:ascii="Arial" w:cs="Arial" w:eastAsia="Arial" w:hAnsi="Arial"/>
                <w:sz w:val="20"/>
                <w:szCs w:val="20"/>
                <w:color w:val="auto"/>
              </w:rPr>
              <w:t>September 30,</w:t>
            </w:r>
          </w:p>
        </w:tc>
        <w:tc>
          <w:tcPr>
            <w:tcW w:w="0" w:type="dxa"/>
            <w:vAlign w:val="bottom"/>
          </w:tcPr>
          <w:p>
            <w:pPr>
              <w:spacing w:after="0"/>
              <w:rPr>
                <w:sz w:val="1"/>
                <w:szCs w:val="1"/>
                <w:color w:val="auto"/>
              </w:rPr>
            </w:pPr>
          </w:p>
        </w:tc>
      </w:tr>
      <w:tr>
        <w:trPr>
          <w:trHeight w:val="237"/>
        </w:trPr>
        <w:tc>
          <w:tcPr>
            <w:tcW w:w="574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281"/>
              <w:spacing w:after="0"/>
              <w:rPr>
                <w:sz w:val="20"/>
                <w:szCs w:val="20"/>
                <w:color w:val="auto"/>
              </w:rPr>
            </w:pPr>
            <w:r>
              <w:rPr>
                <w:rFonts w:ascii="Arial" w:cs="Arial" w:eastAsia="Arial" w:hAnsi="Arial"/>
                <w:sz w:val="20"/>
                <w:szCs w:val="20"/>
                <w:color w:val="auto"/>
              </w:rPr>
              <w:t>2015</w:t>
            </w:r>
          </w:p>
        </w:tc>
        <w:tc>
          <w:tcPr>
            <w:tcW w:w="220" w:type="dxa"/>
            <w:vAlign w:val="bottom"/>
            <w:tcBorders>
              <w:top w:val="single" w:sz="8" w:color="auto"/>
              <w:bottom w:val="single" w:sz="8" w:color="auto"/>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81"/>
              <w:spacing w:after="0"/>
              <w:rPr>
                <w:sz w:val="20"/>
                <w:szCs w:val="20"/>
                <w:color w:val="auto"/>
              </w:rPr>
            </w:pPr>
            <w:r>
              <w:rPr>
                <w:rFonts w:ascii="Arial" w:cs="Arial" w:eastAsia="Arial" w:hAnsi="Arial"/>
                <w:sz w:val="20"/>
                <w:szCs w:val="20"/>
                <w:color w:val="auto"/>
              </w:rPr>
              <w:t>2014</w:t>
            </w:r>
          </w:p>
        </w:tc>
        <w:tc>
          <w:tcPr>
            <w:tcW w:w="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81"/>
              <w:spacing w:after="0"/>
              <w:rPr>
                <w:sz w:val="20"/>
                <w:szCs w:val="20"/>
                <w:color w:val="auto"/>
              </w:rPr>
            </w:pPr>
            <w:r>
              <w:rPr>
                <w:rFonts w:ascii="Arial" w:cs="Arial" w:eastAsia="Arial" w:hAnsi="Arial"/>
                <w:sz w:val="20"/>
                <w:szCs w:val="20"/>
                <w:color w:val="auto"/>
              </w:rPr>
              <w:t>2015</w:t>
            </w:r>
          </w:p>
        </w:tc>
        <w:tc>
          <w:tcPr>
            <w:tcW w:w="300" w:type="dxa"/>
            <w:vAlign w:val="bottom"/>
            <w:tcBorders>
              <w:top w:val="single" w:sz="8" w:color="auto"/>
              <w:bottom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301"/>
              <w:spacing w:after="0"/>
              <w:rPr>
                <w:sz w:val="20"/>
                <w:szCs w:val="20"/>
                <w:color w:val="auto"/>
              </w:rPr>
            </w:pPr>
            <w:r>
              <w:rPr>
                <w:rFonts w:ascii="Arial" w:cs="Arial" w:eastAsia="Arial" w:hAnsi="Arial"/>
                <w:sz w:val="20"/>
                <w:szCs w:val="20"/>
                <w:color w:val="auto"/>
              </w:rPr>
              <w:t>2014</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60" w:type="dxa"/>
            <w:vAlign w:val="bottom"/>
            <w:gridSpan w:val="6"/>
          </w:tcPr>
          <w:p>
            <w:pPr>
              <w:jc w:val="right"/>
              <w:ind w:right="680"/>
              <w:spacing w:after="0"/>
              <w:rPr>
                <w:sz w:val="20"/>
                <w:szCs w:val="20"/>
                <w:color w:val="auto"/>
              </w:rPr>
            </w:pPr>
            <w:r>
              <w:rPr>
                <w:rFonts w:ascii="Arial" w:cs="Arial" w:eastAsia="Arial" w:hAnsi="Arial"/>
                <w:sz w:val="20"/>
                <w:szCs w:val="20"/>
                <w:i w:val="1"/>
                <w:iCs w:val="1"/>
                <w:color w:val="auto"/>
                <w:w w:val="97"/>
              </w:rPr>
              <w:t>(Dollars in Thousands)</w:t>
            </w: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740" w:type="dxa"/>
            <w:vAlign w:val="bottom"/>
            <w:shd w:val="clear" w:color="auto" w:fill="CFF2FA"/>
          </w:tcPr>
          <w:p>
            <w:pPr>
              <w:spacing w:after="0"/>
              <w:rPr>
                <w:sz w:val="20"/>
                <w:szCs w:val="20"/>
                <w:color w:val="auto"/>
              </w:rPr>
            </w:pPr>
            <w:r>
              <w:rPr>
                <w:rFonts w:ascii="Arial" w:cs="Arial" w:eastAsia="Arial" w:hAnsi="Arial"/>
                <w:sz w:val="20"/>
                <w:szCs w:val="20"/>
                <w:color w:val="auto"/>
              </w:rPr>
              <w:t>Gross profit</w:t>
            </w:r>
          </w:p>
        </w:tc>
        <w:tc>
          <w:tcPr>
            <w:tcW w:w="220" w:type="dxa"/>
            <w:vAlign w:val="bottom"/>
            <w:shd w:val="clear" w:color="auto" w:fill="CFF2FA"/>
          </w:tcPr>
          <w:p>
            <w:pPr>
              <w:jc w:val="right"/>
              <w:ind w:right="21"/>
              <w:spacing w:after="0"/>
              <w:rPr>
                <w:sz w:val="20"/>
                <w:szCs w:val="20"/>
                <w:color w:val="auto"/>
              </w:rPr>
            </w:pPr>
            <w:r>
              <w:rPr>
                <w:rFonts w:ascii="Arial" w:cs="Arial" w:eastAsia="Arial" w:hAnsi="Arial"/>
                <w:sz w:val="20"/>
                <w:szCs w:val="20"/>
                <w:color w:val="auto"/>
                <w:w w:val="71"/>
              </w:rPr>
              <w:t>$</w:t>
            </w:r>
          </w:p>
        </w:tc>
        <w:tc>
          <w:tcPr>
            <w:tcW w:w="940" w:type="dxa"/>
            <w:vAlign w:val="bottom"/>
            <w:shd w:val="clear" w:color="auto" w:fill="CFF2FA"/>
          </w:tcPr>
          <w:p>
            <w:pPr>
              <w:jc w:val="right"/>
              <w:spacing w:after="0"/>
              <w:rPr>
                <w:sz w:val="20"/>
                <w:szCs w:val="20"/>
                <w:color w:val="auto"/>
              </w:rPr>
            </w:pPr>
            <w:r>
              <w:rPr>
                <w:rFonts w:ascii="Arial" w:cs="Arial" w:eastAsia="Arial" w:hAnsi="Arial"/>
                <w:sz w:val="20"/>
                <w:szCs w:val="20"/>
                <w:color w:val="auto"/>
              </w:rPr>
              <w:t>262,505</w:t>
            </w:r>
          </w:p>
        </w:tc>
        <w:tc>
          <w:tcPr>
            <w:tcW w:w="220" w:type="dxa"/>
            <w:vAlign w:val="bottom"/>
            <w:shd w:val="clear" w:color="auto" w:fill="CFF2FA"/>
          </w:tcPr>
          <w:p>
            <w:pPr>
              <w:spacing w:after="0"/>
              <w:rPr>
                <w:sz w:val="21"/>
                <w:szCs w:val="21"/>
                <w:color w:val="auto"/>
              </w:rPr>
            </w:pPr>
          </w:p>
        </w:tc>
        <w:tc>
          <w:tcPr>
            <w:tcW w:w="300" w:type="dxa"/>
            <w:vAlign w:val="bottom"/>
            <w:gridSpan w:val="2"/>
            <w:shd w:val="clear" w:color="auto" w:fill="CFF2FA"/>
          </w:tcPr>
          <w:p>
            <w:pPr>
              <w:jc w:val="right"/>
              <w:ind w:right="21"/>
              <w:spacing w:after="0"/>
              <w:rPr>
                <w:sz w:val="20"/>
                <w:szCs w:val="20"/>
                <w:color w:val="auto"/>
              </w:rPr>
            </w:pPr>
            <w:r>
              <w:rPr>
                <w:rFonts w:ascii="Arial" w:cs="Arial" w:eastAsia="Arial" w:hAnsi="Arial"/>
                <w:sz w:val="20"/>
                <w:szCs w:val="20"/>
                <w:color w:val="auto"/>
              </w:rPr>
              <w:t>$</w:t>
            </w:r>
          </w:p>
        </w:tc>
        <w:tc>
          <w:tcPr>
            <w:tcW w:w="920" w:type="dxa"/>
            <w:vAlign w:val="bottom"/>
            <w:shd w:val="clear" w:color="auto" w:fill="CFF2FA"/>
          </w:tcPr>
          <w:p>
            <w:pPr>
              <w:jc w:val="right"/>
              <w:spacing w:after="0"/>
              <w:rPr>
                <w:sz w:val="20"/>
                <w:szCs w:val="20"/>
                <w:color w:val="auto"/>
              </w:rPr>
            </w:pPr>
            <w:r>
              <w:rPr>
                <w:rFonts w:ascii="Arial" w:cs="Arial" w:eastAsia="Arial" w:hAnsi="Arial"/>
                <w:sz w:val="20"/>
                <w:szCs w:val="20"/>
                <w:color w:val="auto"/>
              </w:rPr>
              <w:t>195,593</w:t>
            </w:r>
          </w:p>
        </w:tc>
        <w:tc>
          <w:tcPr>
            <w:tcW w:w="180" w:type="dxa"/>
            <w:vAlign w:val="bottom"/>
            <w:shd w:val="clear" w:color="auto" w:fill="CFF2FA"/>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20" w:type="dxa"/>
            <w:vAlign w:val="bottom"/>
            <w:shd w:val="clear" w:color="auto" w:fill="CFF2FA"/>
          </w:tcPr>
          <w:p>
            <w:pPr>
              <w:jc w:val="right"/>
              <w:ind w:right="21"/>
              <w:spacing w:after="0"/>
              <w:rPr>
                <w:sz w:val="20"/>
                <w:szCs w:val="20"/>
                <w:color w:val="auto"/>
              </w:rPr>
            </w:pPr>
            <w:r>
              <w:rPr>
                <w:rFonts w:ascii="Arial" w:cs="Arial" w:eastAsia="Arial" w:hAnsi="Arial"/>
                <w:sz w:val="20"/>
                <w:szCs w:val="20"/>
                <w:color w:val="auto"/>
                <w:w w:val="71"/>
              </w:rPr>
              <w:t>$</w:t>
            </w:r>
          </w:p>
        </w:tc>
        <w:tc>
          <w:tcPr>
            <w:tcW w:w="920" w:type="dxa"/>
            <w:vAlign w:val="bottom"/>
            <w:shd w:val="clear" w:color="auto" w:fill="CFF2FA"/>
          </w:tcPr>
          <w:p>
            <w:pPr>
              <w:jc w:val="right"/>
              <w:spacing w:after="0"/>
              <w:rPr>
                <w:sz w:val="20"/>
                <w:szCs w:val="20"/>
                <w:color w:val="auto"/>
              </w:rPr>
            </w:pPr>
            <w:r>
              <w:rPr>
                <w:rFonts w:ascii="Arial" w:cs="Arial" w:eastAsia="Arial" w:hAnsi="Arial"/>
                <w:sz w:val="20"/>
                <w:szCs w:val="20"/>
                <w:color w:val="auto"/>
              </w:rPr>
              <w:t>536,918</w:t>
            </w:r>
          </w:p>
        </w:tc>
        <w:tc>
          <w:tcPr>
            <w:tcW w:w="300" w:type="dxa"/>
            <w:vAlign w:val="bottom"/>
            <w:shd w:val="clear" w:color="auto" w:fill="CFF2FA"/>
          </w:tcPr>
          <w:p>
            <w:pPr>
              <w:spacing w:after="0"/>
              <w:rPr>
                <w:sz w:val="21"/>
                <w:szCs w:val="21"/>
                <w:color w:val="auto"/>
              </w:rPr>
            </w:pPr>
          </w:p>
        </w:tc>
        <w:tc>
          <w:tcPr>
            <w:tcW w:w="220" w:type="dxa"/>
            <w:vAlign w:val="bottom"/>
            <w:shd w:val="clear" w:color="auto" w:fill="CFF2FA"/>
          </w:tcPr>
          <w:p>
            <w:pPr>
              <w:jc w:val="right"/>
              <w:ind w:right="21"/>
              <w:spacing w:after="0"/>
              <w:rPr>
                <w:sz w:val="20"/>
                <w:szCs w:val="20"/>
                <w:color w:val="auto"/>
              </w:rPr>
            </w:pPr>
            <w:r>
              <w:rPr>
                <w:rFonts w:ascii="Arial" w:cs="Arial" w:eastAsia="Arial" w:hAnsi="Arial"/>
                <w:sz w:val="20"/>
                <w:szCs w:val="20"/>
                <w:color w:val="auto"/>
                <w:w w:val="71"/>
              </w:rPr>
              <w:t>$</w:t>
            </w:r>
          </w:p>
        </w:tc>
        <w:tc>
          <w:tcPr>
            <w:tcW w:w="940" w:type="dxa"/>
            <w:vAlign w:val="bottom"/>
            <w:shd w:val="clear" w:color="auto" w:fill="CFF2FA"/>
          </w:tcPr>
          <w:p>
            <w:pPr>
              <w:jc w:val="right"/>
              <w:spacing w:after="0"/>
              <w:rPr>
                <w:sz w:val="20"/>
                <w:szCs w:val="20"/>
                <w:color w:val="auto"/>
              </w:rPr>
            </w:pPr>
            <w:r>
              <w:rPr>
                <w:rFonts w:ascii="Arial" w:cs="Arial" w:eastAsia="Arial" w:hAnsi="Arial"/>
                <w:sz w:val="20"/>
                <w:szCs w:val="20"/>
                <w:color w:val="auto"/>
              </w:rPr>
              <w:t>357,030</w:t>
            </w:r>
          </w:p>
        </w:tc>
        <w:tc>
          <w:tcPr>
            <w:tcW w:w="180" w:type="dxa"/>
            <w:vAlign w:val="bottom"/>
            <w:shd w:val="clear" w:color="auto" w:fill="CFF2FA"/>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740" w:type="dxa"/>
            <w:vAlign w:val="bottom"/>
            <w:tcBorders>
              <w:top w:val="single" w:sz="8" w:color="CFF2FA"/>
              <w:bottom w:val="single" w:sz="8" w:color="CFF2FA"/>
            </w:tcBorders>
            <w:vMerge w:val="restart"/>
          </w:tcPr>
          <w:p>
            <w:pPr>
              <w:spacing w:after="0"/>
              <w:rPr>
                <w:sz w:val="20"/>
                <w:szCs w:val="20"/>
                <w:color w:val="auto"/>
              </w:rPr>
            </w:pPr>
            <w:r>
              <w:rPr>
                <w:rFonts w:ascii="Arial" w:cs="Arial" w:eastAsia="Arial" w:hAnsi="Arial"/>
                <w:sz w:val="20"/>
                <w:szCs w:val="20"/>
                <w:color w:val="auto"/>
              </w:rPr>
              <w:t>Total revenues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2FA"/>
            </w:tcBorders>
          </w:tcPr>
          <w:p>
            <w:pPr>
              <w:spacing w:after="0" w:line="20" w:lineRule="exact"/>
              <w:rPr>
                <w:sz w:val="1"/>
                <w:szCs w:val="1"/>
                <w:color w:val="auto"/>
              </w:rPr>
            </w:pPr>
          </w:p>
        </w:tc>
        <w:tc>
          <w:tcPr>
            <w:tcW w:w="80" w:type="dxa"/>
            <w:vAlign w:val="bottom"/>
            <w:tcBorders>
              <w:top w:val="single" w:sz="8" w:color="CFF2FA"/>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2FA"/>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2FA"/>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2FA"/>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740" w:type="dxa"/>
            <w:vAlign w:val="bottom"/>
            <w:tcBorders>
              <w:bottom w:val="single" w:sz="8" w:color="CFF2FA"/>
            </w:tcBorders>
            <w:vMerge w:val="continue"/>
          </w:tcPr>
          <w:p>
            <w:pPr>
              <w:spacing w:after="0"/>
              <w:rPr>
                <w:sz w:val="22"/>
                <w:szCs w:val="22"/>
                <w:color w:val="auto"/>
              </w:rPr>
            </w:pPr>
          </w:p>
        </w:tc>
        <w:tc>
          <w:tcPr>
            <w:tcW w:w="220" w:type="dxa"/>
            <w:vAlign w:val="bottom"/>
            <w:tcBorders>
              <w:bottom w:val="single" w:sz="8" w:color="auto"/>
            </w:tcBorders>
          </w:tcPr>
          <w:p>
            <w:pPr>
              <w:jc w:val="right"/>
              <w:ind w:right="21"/>
              <w:spacing w:after="0" w:line="224" w:lineRule="exact"/>
              <w:rPr>
                <w:sz w:val="20"/>
                <w:szCs w:val="20"/>
                <w:color w:val="auto"/>
              </w:rPr>
            </w:pPr>
            <w:r>
              <w:rPr>
                <w:rFonts w:ascii="Arial" w:cs="Arial" w:eastAsia="Arial" w:hAnsi="Arial"/>
                <w:sz w:val="20"/>
                <w:szCs w:val="20"/>
                <w:color w:val="auto"/>
                <w:w w:val="71"/>
              </w:rPr>
              <w:t>$</w:t>
            </w:r>
          </w:p>
        </w:tc>
        <w:tc>
          <w:tcPr>
            <w:tcW w:w="940" w:type="dxa"/>
            <w:vAlign w:val="bottom"/>
            <w:tcBorders>
              <w:bottom w:val="single" w:sz="8" w:color="auto"/>
            </w:tcBorders>
          </w:tcPr>
          <w:p>
            <w:pPr>
              <w:jc w:val="right"/>
              <w:spacing w:after="0" w:line="224" w:lineRule="exact"/>
              <w:rPr>
                <w:sz w:val="20"/>
                <w:szCs w:val="20"/>
                <w:color w:val="auto"/>
              </w:rPr>
            </w:pPr>
            <w:r>
              <w:rPr>
                <w:rFonts w:ascii="Arial" w:cs="Arial" w:eastAsia="Arial" w:hAnsi="Arial"/>
                <w:sz w:val="20"/>
                <w:szCs w:val="20"/>
                <w:color w:val="auto"/>
              </w:rPr>
              <w:t>1,082,249</w:t>
            </w:r>
          </w:p>
        </w:tc>
        <w:tc>
          <w:tcPr>
            <w:tcW w:w="220" w:type="dxa"/>
            <w:vAlign w:val="bottom"/>
            <w:tcBorders>
              <w:bottom w:val="single" w:sz="8" w:color="CFF2FA"/>
            </w:tcBorders>
          </w:tcPr>
          <w:p>
            <w:pPr>
              <w:spacing w:after="0"/>
              <w:rPr>
                <w:sz w:val="22"/>
                <w:szCs w:val="22"/>
                <w:color w:val="auto"/>
              </w:rPr>
            </w:pPr>
          </w:p>
        </w:tc>
        <w:tc>
          <w:tcPr>
            <w:tcW w:w="80" w:type="dxa"/>
            <w:vAlign w:val="bottom"/>
            <w:tcBorders>
              <w:bottom w:val="single" w:sz="8" w:color="CFF2FA"/>
            </w:tcBorders>
          </w:tcPr>
          <w:p>
            <w:pPr>
              <w:spacing w:after="0"/>
              <w:rPr>
                <w:sz w:val="22"/>
                <w:szCs w:val="22"/>
                <w:color w:val="auto"/>
              </w:rPr>
            </w:pPr>
          </w:p>
        </w:tc>
        <w:tc>
          <w:tcPr>
            <w:tcW w:w="220" w:type="dxa"/>
            <w:vAlign w:val="bottom"/>
            <w:tcBorders>
              <w:bottom w:val="single" w:sz="8" w:color="auto"/>
            </w:tcBorders>
          </w:tcPr>
          <w:p>
            <w:pPr>
              <w:jc w:val="right"/>
              <w:ind w:right="21"/>
              <w:spacing w:after="0" w:line="224" w:lineRule="exact"/>
              <w:rPr>
                <w:sz w:val="20"/>
                <w:szCs w:val="20"/>
                <w:color w:val="auto"/>
              </w:rPr>
            </w:pPr>
            <w:r>
              <w:rPr>
                <w:rFonts w:ascii="Arial" w:cs="Arial" w:eastAsia="Arial" w:hAnsi="Arial"/>
                <w:sz w:val="20"/>
                <w:szCs w:val="20"/>
                <w:color w:val="auto"/>
                <w:w w:val="71"/>
              </w:rPr>
              <w:t>$</w:t>
            </w:r>
          </w:p>
        </w:tc>
        <w:tc>
          <w:tcPr>
            <w:tcW w:w="920" w:type="dxa"/>
            <w:vAlign w:val="bottom"/>
            <w:tcBorders>
              <w:bottom w:val="single" w:sz="8" w:color="auto"/>
            </w:tcBorders>
          </w:tcPr>
          <w:p>
            <w:pPr>
              <w:jc w:val="right"/>
              <w:spacing w:after="0" w:line="224" w:lineRule="exact"/>
              <w:rPr>
                <w:sz w:val="20"/>
                <w:szCs w:val="20"/>
                <w:color w:val="auto"/>
              </w:rPr>
            </w:pPr>
            <w:r>
              <w:rPr>
                <w:rFonts w:ascii="Arial" w:cs="Arial" w:eastAsia="Arial" w:hAnsi="Arial"/>
                <w:sz w:val="20"/>
                <w:szCs w:val="20"/>
                <w:color w:val="auto"/>
                <w:w w:val="98"/>
              </w:rPr>
              <w:t>1,003,723</w:t>
            </w:r>
          </w:p>
        </w:tc>
        <w:tc>
          <w:tcPr>
            <w:tcW w:w="180" w:type="dxa"/>
            <w:vAlign w:val="bottom"/>
            <w:tcBorders>
              <w:bottom w:val="single" w:sz="8" w:color="CFF2FA"/>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21"/>
              <w:spacing w:after="0" w:line="224" w:lineRule="exact"/>
              <w:rPr>
                <w:sz w:val="20"/>
                <w:szCs w:val="20"/>
                <w:color w:val="auto"/>
              </w:rPr>
            </w:pPr>
            <w:r>
              <w:rPr>
                <w:rFonts w:ascii="Arial" w:cs="Arial" w:eastAsia="Arial" w:hAnsi="Arial"/>
                <w:sz w:val="20"/>
                <w:szCs w:val="20"/>
                <w:color w:val="auto"/>
                <w:w w:val="71"/>
              </w:rPr>
              <w:t>$</w:t>
            </w:r>
          </w:p>
        </w:tc>
        <w:tc>
          <w:tcPr>
            <w:tcW w:w="920" w:type="dxa"/>
            <w:vAlign w:val="bottom"/>
            <w:tcBorders>
              <w:bottom w:val="single" w:sz="8" w:color="auto"/>
            </w:tcBorders>
          </w:tcPr>
          <w:p>
            <w:pPr>
              <w:jc w:val="right"/>
              <w:spacing w:after="0" w:line="224" w:lineRule="exact"/>
              <w:rPr>
                <w:sz w:val="20"/>
                <w:szCs w:val="20"/>
                <w:color w:val="auto"/>
              </w:rPr>
            </w:pPr>
            <w:r>
              <w:rPr>
                <w:rFonts w:ascii="Arial" w:cs="Arial" w:eastAsia="Arial" w:hAnsi="Arial"/>
                <w:sz w:val="20"/>
                <w:szCs w:val="20"/>
                <w:color w:val="auto"/>
              </w:rPr>
              <w:t>2,695,014</w:t>
            </w:r>
          </w:p>
        </w:tc>
        <w:tc>
          <w:tcPr>
            <w:tcW w:w="300" w:type="dxa"/>
            <w:vAlign w:val="bottom"/>
            <w:tcBorders>
              <w:bottom w:val="single" w:sz="8" w:color="CFF2FA"/>
            </w:tcBorders>
          </w:tcPr>
          <w:p>
            <w:pPr>
              <w:spacing w:after="0"/>
              <w:rPr>
                <w:sz w:val="22"/>
                <w:szCs w:val="22"/>
                <w:color w:val="auto"/>
              </w:rPr>
            </w:pPr>
          </w:p>
        </w:tc>
        <w:tc>
          <w:tcPr>
            <w:tcW w:w="220" w:type="dxa"/>
            <w:vAlign w:val="bottom"/>
            <w:tcBorders>
              <w:bottom w:val="single" w:sz="8" w:color="auto"/>
            </w:tcBorders>
          </w:tcPr>
          <w:p>
            <w:pPr>
              <w:jc w:val="right"/>
              <w:ind w:right="21"/>
              <w:spacing w:after="0" w:line="224" w:lineRule="exact"/>
              <w:rPr>
                <w:sz w:val="20"/>
                <w:szCs w:val="20"/>
                <w:color w:val="auto"/>
              </w:rPr>
            </w:pPr>
            <w:r>
              <w:rPr>
                <w:rFonts w:ascii="Arial" w:cs="Arial" w:eastAsia="Arial" w:hAnsi="Arial"/>
                <w:sz w:val="20"/>
                <w:szCs w:val="20"/>
                <w:color w:val="auto"/>
                <w:w w:val="71"/>
              </w:rPr>
              <w:t>$</w:t>
            </w:r>
          </w:p>
        </w:tc>
        <w:tc>
          <w:tcPr>
            <w:tcW w:w="940" w:type="dxa"/>
            <w:vAlign w:val="bottom"/>
            <w:tcBorders>
              <w:bottom w:val="single" w:sz="8" w:color="auto"/>
            </w:tcBorders>
          </w:tcPr>
          <w:p>
            <w:pPr>
              <w:jc w:val="right"/>
              <w:spacing w:after="0" w:line="224" w:lineRule="exact"/>
              <w:rPr>
                <w:sz w:val="20"/>
                <w:szCs w:val="20"/>
                <w:color w:val="auto"/>
              </w:rPr>
            </w:pPr>
            <w:r>
              <w:rPr>
                <w:rFonts w:ascii="Arial" w:cs="Arial" w:eastAsia="Arial" w:hAnsi="Arial"/>
                <w:sz w:val="20"/>
                <w:szCs w:val="20"/>
                <w:color w:val="auto"/>
              </w:rPr>
              <w:t>2,101,578</w:t>
            </w:r>
          </w:p>
        </w:tc>
        <w:tc>
          <w:tcPr>
            <w:tcW w:w="180" w:type="dxa"/>
            <w:vAlign w:val="bottom"/>
            <w:tcBorders>
              <w:bottom w:val="single" w:sz="8" w:color="CFF2FA"/>
            </w:tcBorders>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5740" w:type="dxa"/>
            <w:vAlign w:val="bottom"/>
            <w:shd w:val="clear" w:color="auto" w:fill="CFF2FA"/>
          </w:tcPr>
          <w:p>
            <w:pPr>
              <w:spacing w:after="0" w:line="224" w:lineRule="exact"/>
              <w:rPr>
                <w:sz w:val="20"/>
                <w:szCs w:val="20"/>
                <w:color w:val="auto"/>
              </w:rPr>
            </w:pPr>
            <w:r>
              <w:rPr>
                <w:rFonts w:ascii="Arial" w:cs="Arial" w:eastAsia="Arial" w:hAnsi="Arial"/>
                <w:sz w:val="20"/>
                <w:szCs w:val="20"/>
                <w:color w:val="auto"/>
              </w:rPr>
              <w:t>Gross margin</w:t>
            </w:r>
          </w:p>
        </w:tc>
        <w:tc>
          <w:tcPr>
            <w:tcW w:w="220" w:type="dxa"/>
            <w:vAlign w:val="bottom"/>
            <w:shd w:val="clear" w:color="auto" w:fill="CFF2FA"/>
          </w:tcPr>
          <w:p>
            <w:pPr>
              <w:spacing w:after="0"/>
              <w:rPr>
                <w:sz w:val="19"/>
                <w:szCs w:val="19"/>
                <w:color w:val="auto"/>
              </w:rPr>
            </w:pPr>
          </w:p>
        </w:tc>
        <w:tc>
          <w:tcPr>
            <w:tcW w:w="1160" w:type="dxa"/>
            <w:vAlign w:val="bottom"/>
            <w:gridSpan w:val="2"/>
            <w:shd w:val="clear" w:color="auto" w:fill="CFF2FA"/>
          </w:tcPr>
          <w:p>
            <w:pPr>
              <w:jc w:val="right"/>
              <w:ind w:right="60"/>
              <w:spacing w:after="0" w:line="224" w:lineRule="exact"/>
              <w:rPr>
                <w:sz w:val="20"/>
                <w:szCs w:val="20"/>
                <w:color w:val="auto"/>
              </w:rPr>
            </w:pPr>
            <w:r>
              <w:rPr>
                <w:rFonts w:ascii="Arial" w:cs="Arial" w:eastAsia="Arial" w:hAnsi="Arial"/>
                <w:sz w:val="20"/>
                <w:szCs w:val="20"/>
                <w:color w:val="auto"/>
              </w:rPr>
              <w:t>24.3%</w:t>
            </w:r>
          </w:p>
        </w:tc>
        <w:tc>
          <w:tcPr>
            <w:tcW w:w="80" w:type="dxa"/>
            <w:vAlign w:val="bottom"/>
            <w:shd w:val="clear" w:color="auto" w:fill="CFF2FA"/>
          </w:tcPr>
          <w:p>
            <w:pPr>
              <w:spacing w:after="0"/>
              <w:rPr>
                <w:sz w:val="19"/>
                <w:szCs w:val="19"/>
                <w:color w:val="auto"/>
              </w:rPr>
            </w:pPr>
          </w:p>
        </w:tc>
        <w:tc>
          <w:tcPr>
            <w:tcW w:w="220" w:type="dxa"/>
            <w:vAlign w:val="bottom"/>
            <w:shd w:val="clear" w:color="auto" w:fill="CFF2FA"/>
          </w:tcPr>
          <w:p>
            <w:pPr>
              <w:spacing w:after="0"/>
              <w:rPr>
                <w:sz w:val="19"/>
                <w:szCs w:val="19"/>
                <w:color w:val="auto"/>
              </w:rPr>
            </w:pPr>
          </w:p>
        </w:tc>
        <w:tc>
          <w:tcPr>
            <w:tcW w:w="1100" w:type="dxa"/>
            <w:vAlign w:val="bottom"/>
            <w:gridSpan w:val="2"/>
            <w:shd w:val="clear" w:color="auto" w:fill="CFF2FA"/>
          </w:tcPr>
          <w:p>
            <w:pPr>
              <w:jc w:val="right"/>
              <w:ind w:right="20"/>
              <w:spacing w:after="0" w:line="224" w:lineRule="exact"/>
              <w:rPr>
                <w:sz w:val="20"/>
                <w:szCs w:val="20"/>
                <w:color w:val="auto"/>
              </w:rPr>
            </w:pPr>
            <w:r>
              <w:rPr>
                <w:rFonts w:ascii="Arial" w:cs="Arial" w:eastAsia="Arial" w:hAnsi="Arial"/>
                <w:sz w:val="20"/>
                <w:szCs w:val="20"/>
                <w:color w:val="auto"/>
              </w:rPr>
              <w:t>19.5%</w:t>
            </w:r>
          </w:p>
        </w:tc>
        <w:tc>
          <w:tcPr>
            <w:tcW w:w="120" w:type="dxa"/>
            <w:vAlign w:val="bottom"/>
            <w:shd w:val="clear" w:color="auto" w:fill="CFF0FC"/>
          </w:tcPr>
          <w:p>
            <w:pPr>
              <w:spacing w:after="0"/>
              <w:rPr>
                <w:sz w:val="19"/>
                <w:szCs w:val="19"/>
                <w:color w:val="auto"/>
              </w:rPr>
            </w:pPr>
          </w:p>
        </w:tc>
        <w:tc>
          <w:tcPr>
            <w:tcW w:w="220" w:type="dxa"/>
            <w:vAlign w:val="bottom"/>
            <w:shd w:val="clear" w:color="auto" w:fill="CFF2FA"/>
          </w:tcPr>
          <w:p>
            <w:pPr>
              <w:spacing w:after="0"/>
              <w:rPr>
                <w:sz w:val="19"/>
                <w:szCs w:val="19"/>
                <w:color w:val="auto"/>
              </w:rPr>
            </w:pPr>
          </w:p>
        </w:tc>
        <w:tc>
          <w:tcPr>
            <w:tcW w:w="1220" w:type="dxa"/>
            <w:vAlign w:val="bottom"/>
            <w:gridSpan w:val="2"/>
            <w:shd w:val="clear" w:color="auto" w:fill="CFF2FA"/>
          </w:tcPr>
          <w:p>
            <w:pPr>
              <w:jc w:val="right"/>
              <w:ind w:right="120"/>
              <w:spacing w:after="0" w:line="224" w:lineRule="exact"/>
              <w:rPr>
                <w:sz w:val="20"/>
                <w:szCs w:val="20"/>
                <w:color w:val="auto"/>
              </w:rPr>
            </w:pPr>
            <w:r>
              <w:rPr>
                <w:rFonts w:ascii="Arial" w:cs="Arial" w:eastAsia="Arial" w:hAnsi="Arial"/>
                <w:sz w:val="20"/>
                <w:szCs w:val="20"/>
                <w:color w:val="auto"/>
              </w:rPr>
              <w:t>19.9%</w:t>
            </w:r>
          </w:p>
        </w:tc>
        <w:tc>
          <w:tcPr>
            <w:tcW w:w="220" w:type="dxa"/>
            <w:vAlign w:val="bottom"/>
            <w:shd w:val="clear" w:color="auto" w:fill="CFF2FA"/>
          </w:tcPr>
          <w:p>
            <w:pPr>
              <w:spacing w:after="0"/>
              <w:rPr>
                <w:sz w:val="19"/>
                <w:szCs w:val="19"/>
                <w:color w:val="auto"/>
              </w:rPr>
            </w:pPr>
          </w:p>
        </w:tc>
        <w:tc>
          <w:tcPr>
            <w:tcW w:w="1120" w:type="dxa"/>
            <w:vAlign w:val="bottom"/>
            <w:gridSpan w:val="2"/>
            <w:shd w:val="clear" w:color="auto" w:fill="CFF2FA"/>
          </w:tcPr>
          <w:p>
            <w:pPr>
              <w:jc w:val="right"/>
              <w:ind w:right="20"/>
              <w:spacing w:after="0" w:line="224" w:lineRule="exact"/>
              <w:rPr>
                <w:sz w:val="20"/>
                <w:szCs w:val="20"/>
                <w:color w:val="auto"/>
              </w:rPr>
            </w:pPr>
            <w:r>
              <w:rPr>
                <w:rFonts w:ascii="Arial" w:cs="Arial" w:eastAsia="Arial" w:hAnsi="Arial"/>
                <w:sz w:val="20"/>
                <w:szCs w:val="20"/>
                <w:color w:val="auto"/>
              </w:rPr>
              <w:t>17.0%</w:t>
            </w:r>
          </w:p>
        </w:tc>
        <w:tc>
          <w:tcPr>
            <w:tcW w:w="0" w:type="dxa"/>
            <w:vAlign w:val="bottom"/>
          </w:tcPr>
          <w:p>
            <w:pPr>
              <w:spacing w:after="0"/>
              <w:rPr>
                <w:sz w:val="1"/>
                <w:szCs w:val="1"/>
                <w:color w:val="auto"/>
              </w:rPr>
            </w:pPr>
          </w:p>
        </w:tc>
      </w:tr>
      <w:tr>
        <w:trPr>
          <w:trHeight w:val="20"/>
        </w:trPr>
        <w:tc>
          <w:tcPr>
            <w:tcW w:w="5740" w:type="dxa"/>
            <w:vAlign w:val="bottom"/>
            <w:tcBorders>
              <w:top w:val="single" w:sz="8" w:color="CFF2FA"/>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2FA"/>
            </w:tcBorders>
          </w:tcPr>
          <w:p>
            <w:pPr>
              <w:spacing w:after="0" w:line="20" w:lineRule="exact"/>
              <w:rPr>
                <w:sz w:val="1"/>
                <w:szCs w:val="1"/>
                <w:color w:val="auto"/>
              </w:rPr>
            </w:pPr>
          </w:p>
        </w:tc>
        <w:tc>
          <w:tcPr>
            <w:tcW w:w="80" w:type="dxa"/>
            <w:vAlign w:val="bottom"/>
            <w:tcBorders>
              <w:top w:val="single" w:sz="8" w:color="CFF2FA"/>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2FA"/>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2FA"/>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2FA"/>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26 of 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6" w:name="page27"/>
    <w:bookmarkEnd w:id="26"/>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September 30, 2015</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rPr>
          <w:sz w:val="20"/>
          <w:szCs w:val="20"/>
          <w:color w:val="auto"/>
        </w:rPr>
      </w:pPr>
      <w:r>
        <w:rPr>
          <w:rFonts w:ascii="Arial" w:cs="Arial" w:eastAsia="Arial" w:hAnsi="Arial"/>
          <w:sz w:val="20"/>
          <w:szCs w:val="20"/>
          <w:color w:val="auto"/>
        </w:rPr>
        <w:t>Third Quarter Ended September 30, 2015</w:t>
      </w:r>
    </w:p>
    <w:p>
      <w:pPr>
        <w:jc w:val="center"/>
        <w:spacing w:after="0"/>
        <w:rPr>
          <w:sz w:val="20"/>
          <w:szCs w:val="20"/>
          <w:color w:val="auto"/>
        </w:rPr>
      </w:pPr>
      <w:r>
        <w:rPr>
          <w:rFonts w:ascii="Arial" w:cs="Arial" w:eastAsia="Arial" w:hAnsi="Arial"/>
          <w:sz w:val="20"/>
          <w:szCs w:val="20"/>
          <w:color w:val="auto"/>
        </w:rPr>
        <w:t>(Continued)</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6000" w:type="dxa"/>
            <w:vAlign w:val="bottom"/>
            <w:gridSpan w:val="3"/>
          </w:tcPr>
          <w:p>
            <w:pPr>
              <w:spacing w:after="0"/>
              <w:rPr>
                <w:sz w:val="20"/>
                <w:szCs w:val="20"/>
                <w:color w:val="auto"/>
              </w:rPr>
            </w:pPr>
            <w:r>
              <w:rPr>
                <w:rFonts w:ascii="Arial" w:cs="Arial" w:eastAsia="Arial" w:hAnsi="Arial"/>
                <w:sz w:val="20"/>
                <w:szCs w:val="20"/>
                <w:b w:val="1"/>
                <w:bCs w:val="1"/>
                <w:color w:val="auto"/>
                <w:w w:val="90"/>
              </w:rPr>
              <w:t>Consolidated Gross Margin Excluding Freight and Delivery Revenues</w:t>
            </w:r>
          </w:p>
        </w:tc>
        <w:tc>
          <w:tcPr>
            <w:tcW w:w="9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65"/>
        </w:trPr>
        <w:tc>
          <w:tcPr>
            <w:tcW w:w="20" w:type="dxa"/>
            <w:vAlign w:val="bottom"/>
          </w:tcPr>
          <w:p>
            <w:pPr>
              <w:spacing w:after="0"/>
              <w:rPr>
                <w:sz w:val="24"/>
                <w:szCs w:val="24"/>
                <w:color w:val="auto"/>
              </w:rPr>
            </w:pPr>
          </w:p>
        </w:tc>
        <w:tc>
          <w:tcPr>
            <w:tcW w:w="5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520" w:type="dxa"/>
            <w:vAlign w:val="bottom"/>
            <w:gridSpan w:val="6"/>
          </w:tcPr>
          <w:p>
            <w:pPr>
              <w:jc w:val="center"/>
              <w:ind w:right="440"/>
              <w:spacing w:after="0"/>
              <w:rPr>
                <w:sz w:val="20"/>
                <w:szCs w:val="20"/>
                <w:color w:val="auto"/>
              </w:rPr>
            </w:pPr>
            <w:r>
              <w:rPr>
                <w:rFonts w:ascii="Arial" w:cs="Arial" w:eastAsia="Arial" w:hAnsi="Arial"/>
                <w:sz w:val="20"/>
                <w:szCs w:val="20"/>
                <w:color w:val="auto"/>
                <w:w w:val="89"/>
              </w:rPr>
              <w:t>Three Months Ended</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60" w:type="dxa"/>
            <w:vAlign w:val="bottom"/>
            <w:gridSpan w:val="5"/>
          </w:tcPr>
          <w:p>
            <w:pPr>
              <w:jc w:val="center"/>
              <w:ind w:right="420"/>
              <w:spacing w:after="0"/>
              <w:rPr>
                <w:sz w:val="20"/>
                <w:szCs w:val="20"/>
                <w:color w:val="auto"/>
              </w:rPr>
            </w:pPr>
            <w:r>
              <w:rPr>
                <w:rFonts w:ascii="Arial" w:cs="Arial" w:eastAsia="Arial" w:hAnsi="Arial"/>
                <w:sz w:val="20"/>
                <w:szCs w:val="20"/>
                <w:color w:val="auto"/>
                <w:w w:val="89"/>
              </w:rPr>
              <w:t>Nine Months Ended</w:t>
            </w: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57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520" w:type="dxa"/>
            <w:vAlign w:val="bottom"/>
            <w:gridSpan w:val="6"/>
          </w:tcPr>
          <w:p>
            <w:pPr>
              <w:jc w:val="center"/>
              <w:ind w:right="460"/>
              <w:spacing w:after="0"/>
              <w:rPr>
                <w:sz w:val="20"/>
                <w:szCs w:val="20"/>
                <w:color w:val="auto"/>
              </w:rPr>
            </w:pPr>
            <w:r>
              <w:rPr>
                <w:rFonts w:ascii="Arial" w:cs="Arial" w:eastAsia="Arial" w:hAnsi="Arial"/>
                <w:sz w:val="20"/>
                <w:szCs w:val="20"/>
                <w:color w:val="auto"/>
                <w:w w:val="86"/>
              </w:rPr>
              <w:t>September 30,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560" w:type="dxa"/>
            <w:vAlign w:val="bottom"/>
            <w:gridSpan w:val="5"/>
          </w:tcPr>
          <w:p>
            <w:pPr>
              <w:jc w:val="center"/>
              <w:ind w:right="420"/>
              <w:spacing w:after="0"/>
              <w:rPr>
                <w:sz w:val="20"/>
                <w:szCs w:val="20"/>
                <w:color w:val="auto"/>
              </w:rPr>
            </w:pPr>
            <w:r>
              <w:rPr>
                <w:rFonts w:ascii="Arial" w:cs="Arial" w:eastAsia="Arial" w:hAnsi="Arial"/>
                <w:sz w:val="20"/>
                <w:szCs w:val="20"/>
                <w:color w:val="auto"/>
                <w:w w:val="86"/>
              </w:rPr>
              <w:t>September 30,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72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81"/>
              <w:spacing w:after="0"/>
              <w:rPr>
                <w:sz w:val="20"/>
                <w:szCs w:val="20"/>
                <w:color w:val="auto"/>
              </w:rPr>
            </w:pPr>
            <w:r>
              <w:rPr>
                <w:rFonts w:ascii="Arial" w:cs="Arial" w:eastAsia="Arial" w:hAnsi="Arial"/>
                <w:sz w:val="20"/>
                <w:szCs w:val="20"/>
                <w:color w:val="auto"/>
              </w:rPr>
              <w:t>2015</w:t>
            </w:r>
          </w:p>
        </w:tc>
        <w:tc>
          <w:tcPr>
            <w:tcW w:w="220" w:type="dxa"/>
            <w:vAlign w:val="bottom"/>
            <w:tcBorders>
              <w:top w:val="single" w:sz="8" w:color="auto"/>
              <w:bottom w:val="single" w:sz="8" w:color="auto"/>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20"/>
                <w:szCs w:val="20"/>
                <w:color w:val="auto"/>
              </w:rPr>
              <w:t>2014</w:t>
            </w:r>
          </w:p>
        </w:tc>
        <w:tc>
          <w:tcPr>
            <w:tcW w:w="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81"/>
              <w:spacing w:after="0"/>
              <w:rPr>
                <w:sz w:val="20"/>
                <w:szCs w:val="20"/>
                <w:color w:val="auto"/>
              </w:rPr>
            </w:pPr>
            <w:r>
              <w:rPr>
                <w:rFonts w:ascii="Arial" w:cs="Arial" w:eastAsia="Arial" w:hAnsi="Arial"/>
                <w:sz w:val="20"/>
                <w:szCs w:val="20"/>
                <w:color w:val="auto"/>
              </w:rPr>
              <w:t>2015</w:t>
            </w:r>
          </w:p>
        </w:tc>
        <w:tc>
          <w:tcPr>
            <w:tcW w:w="300" w:type="dxa"/>
            <w:vAlign w:val="bottom"/>
            <w:tcBorders>
              <w:top w:val="single" w:sz="8" w:color="auto"/>
              <w:bottom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301"/>
              <w:spacing w:after="0"/>
              <w:rPr>
                <w:sz w:val="20"/>
                <w:szCs w:val="20"/>
                <w:color w:val="auto"/>
              </w:rPr>
            </w:pPr>
            <w:r>
              <w:rPr>
                <w:rFonts w:ascii="Arial" w:cs="Arial" w:eastAsia="Arial" w:hAnsi="Arial"/>
                <w:sz w:val="20"/>
                <w:szCs w:val="20"/>
                <w:color w:val="auto"/>
              </w:rPr>
              <w:t>2014</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60" w:type="dxa"/>
            <w:vAlign w:val="bottom"/>
            <w:gridSpan w:val="6"/>
          </w:tcPr>
          <w:p>
            <w:pPr>
              <w:ind w:left="140"/>
              <w:spacing w:after="0"/>
              <w:rPr>
                <w:sz w:val="20"/>
                <w:szCs w:val="20"/>
                <w:color w:val="auto"/>
              </w:rPr>
            </w:pPr>
            <w:r>
              <w:rPr>
                <w:rFonts w:ascii="Arial" w:cs="Arial" w:eastAsia="Arial" w:hAnsi="Arial"/>
                <w:sz w:val="20"/>
                <w:szCs w:val="20"/>
                <w:i w:val="1"/>
                <w:iCs w:val="1"/>
                <w:color w:val="auto"/>
              </w:rPr>
              <w:t>(Dollars in Thousands)</w:t>
            </w: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720" w:type="dxa"/>
            <w:vAlign w:val="bottom"/>
            <w:shd w:val="clear" w:color="auto" w:fill="CFF2FA"/>
          </w:tcPr>
          <w:p>
            <w:pPr>
              <w:spacing w:after="0"/>
              <w:rPr>
                <w:sz w:val="20"/>
                <w:szCs w:val="20"/>
                <w:color w:val="auto"/>
              </w:rPr>
            </w:pPr>
            <w:r>
              <w:rPr>
                <w:rFonts w:ascii="Arial" w:cs="Arial" w:eastAsia="Arial" w:hAnsi="Arial"/>
                <w:sz w:val="20"/>
                <w:szCs w:val="20"/>
                <w:color w:val="auto"/>
              </w:rPr>
              <w:t>Gross profit</w:t>
            </w:r>
          </w:p>
        </w:tc>
        <w:tc>
          <w:tcPr>
            <w:tcW w:w="260" w:type="dxa"/>
            <w:vAlign w:val="bottom"/>
            <w:shd w:val="clear" w:color="auto" w:fill="CFF2FA"/>
          </w:tcPr>
          <w:p>
            <w:pPr>
              <w:jc w:val="right"/>
              <w:ind w:right="61"/>
              <w:spacing w:after="0"/>
              <w:rPr>
                <w:sz w:val="20"/>
                <w:szCs w:val="20"/>
                <w:color w:val="auto"/>
              </w:rPr>
            </w:pPr>
            <w:r>
              <w:rPr>
                <w:rFonts w:ascii="Arial" w:cs="Arial" w:eastAsia="Arial" w:hAnsi="Arial"/>
                <w:sz w:val="20"/>
                <w:szCs w:val="20"/>
                <w:color w:val="auto"/>
                <w:w w:val="71"/>
              </w:rPr>
              <w:t>$</w:t>
            </w:r>
          </w:p>
        </w:tc>
        <w:tc>
          <w:tcPr>
            <w:tcW w:w="900" w:type="dxa"/>
            <w:vAlign w:val="bottom"/>
            <w:shd w:val="clear" w:color="auto" w:fill="CFF2FA"/>
          </w:tcPr>
          <w:p>
            <w:pPr>
              <w:jc w:val="right"/>
              <w:spacing w:after="0"/>
              <w:rPr>
                <w:sz w:val="20"/>
                <w:szCs w:val="20"/>
                <w:color w:val="auto"/>
              </w:rPr>
            </w:pPr>
            <w:r>
              <w:rPr>
                <w:rFonts w:ascii="Arial" w:cs="Arial" w:eastAsia="Arial" w:hAnsi="Arial"/>
                <w:sz w:val="20"/>
                <w:szCs w:val="20"/>
                <w:color w:val="auto"/>
              </w:rPr>
              <w:t>262,505</w:t>
            </w:r>
          </w:p>
        </w:tc>
        <w:tc>
          <w:tcPr>
            <w:tcW w:w="220" w:type="dxa"/>
            <w:vAlign w:val="bottom"/>
            <w:shd w:val="clear" w:color="auto" w:fill="CFF2FA"/>
          </w:tcPr>
          <w:p>
            <w:pPr>
              <w:spacing w:after="0"/>
              <w:rPr>
                <w:sz w:val="21"/>
                <w:szCs w:val="21"/>
                <w:color w:val="auto"/>
              </w:rPr>
            </w:pPr>
          </w:p>
        </w:tc>
        <w:tc>
          <w:tcPr>
            <w:tcW w:w="300" w:type="dxa"/>
            <w:vAlign w:val="bottom"/>
            <w:gridSpan w:val="2"/>
            <w:shd w:val="clear" w:color="auto" w:fill="CFF2FA"/>
          </w:tcPr>
          <w:p>
            <w:pPr>
              <w:jc w:val="right"/>
              <w:ind w:right="21"/>
              <w:spacing w:after="0"/>
              <w:rPr>
                <w:sz w:val="20"/>
                <w:szCs w:val="20"/>
                <w:color w:val="auto"/>
              </w:rPr>
            </w:pPr>
            <w:r>
              <w:rPr>
                <w:rFonts w:ascii="Arial" w:cs="Arial" w:eastAsia="Arial" w:hAnsi="Arial"/>
                <w:sz w:val="20"/>
                <w:szCs w:val="20"/>
                <w:color w:val="auto"/>
              </w:rPr>
              <w:t>$</w:t>
            </w:r>
          </w:p>
        </w:tc>
        <w:tc>
          <w:tcPr>
            <w:tcW w:w="920" w:type="dxa"/>
            <w:vAlign w:val="bottom"/>
            <w:shd w:val="clear" w:color="auto" w:fill="CFF2FA"/>
          </w:tcPr>
          <w:p>
            <w:pPr>
              <w:jc w:val="right"/>
              <w:spacing w:after="0"/>
              <w:rPr>
                <w:sz w:val="20"/>
                <w:szCs w:val="20"/>
                <w:color w:val="auto"/>
              </w:rPr>
            </w:pPr>
            <w:r>
              <w:rPr>
                <w:rFonts w:ascii="Arial" w:cs="Arial" w:eastAsia="Arial" w:hAnsi="Arial"/>
                <w:sz w:val="20"/>
                <w:szCs w:val="20"/>
                <w:color w:val="auto"/>
              </w:rPr>
              <w:t>195,593</w:t>
            </w:r>
          </w:p>
        </w:tc>
        <w:tc>
          <w:tcPr>
            <w:tcW w:w="180" w:type="dxa"/>
            <w:vAlign w:val="bottom"/>
            <w:shd w:val="clear" w:color="auto" w:fill="CFF2FA"/>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20" w:type="dxa"/>
            <w:vAlign w:val="bottom"/>
            <w:shd w:val="clear" w:color="auto" w:fill="CFF2FA"/>
          </w:tcPr>
          <w:p>
            <w:pPr>
              <w:jc w:val="right"/>
              <w:ind w:right="21"/>
              <w:spacing w:after="0"/>
              <w:rPr>
                <w:sz w:val="20"/>
                <w:szCs w:val="20"/>
                <w:color w:val="auto"/>
              </w:rPr>
            </w:pPr>
            <w:r>
              <w:rPr>
                <w:rFonts w:ascii="Arial" w:cs="Arial" w:eastAsia="Arial" w:hAnsi="Arial"/>
                <w:sz w:val="20"/>
                <w:szCs w:val="20"/>
                <w:color w:val="auto"/>
                <w:w w:val="71"/>
              </w:rPr>
              <w:t>$</w:t>
            </w:r>
          </w:p>
        </w:tc>
        <w:tc>
          <w:tcPr>
            <w:tcW w:w="920" w:type="dxa"/>
            <w:vAlign w:val="bottom"/>
            <w:shd w:val="clear" w:color="auto" w:fill="CFF2FA"/>
          </w:tcPr>
          <w:p>
            <w:pPr>
              <w:jc w:val="right"/>
              <w:spacing w:after="0"/>
              <w:rPr>
                <w:sz w:val="20"/>
                <w:szCs w:val="20"/>
                <w:color w:val="auto"/>
              </w:rPr>
            </w:pPr>
            <w:r>
              <w:rPr>
                <w:rFonts w:ascii="Arial" w:cs="Arial" w:eastAsia="Arial" w:hAnsi="Arial"/>
                <w:sz w:val="20"/>
                <w:szCs w:val="20"/>
                <w:color w:val="auto"/>
              </w:rPr>
              <w:t>536,918</w:t>
            </w:r>
          </w:p>
        </w:tc>
        <w:tc>
          <w:tcPr>
            <w:tcW w:w="300" w:type="dxa"/>
            <w:vAlign w:val="bottom"/>
            <w:shd w:val="clear" w:color="auto" w:fill="CFF2FA"/>
          </w:tcPr>
          <w:p>
            <w:pPr>
              <w:spacing w:after="0"/>
              <w:rPr>
                <w:sz w:val="21"/>
                <w:szCs w:val="21"/>
                <w:color w:val="auto"/>
              </w:rPr>
            </w:pPr>
          </w:p>
        </w:tc>
        <w:tc>
          <w:tcPr>
            <w:tcW w:w="220" w:type="dxa"/>
            <w:vAlign w:val="bottom"/>
            <w:shd w:val="clear" w:color="auto" w:fill="CFF2FA"/>
          </w:tcPr>
          <w:p>
            <w:pPr>
              <w:jc w:val="right"/>
              <w:ind w:right="21"/>
              <w:spacing w:after="0"/>
              <w:rPr>
                <w:sz w:val="20"/>
                <w:szCs w:val="20"/>
                <w:color w:val="auto"/>
              </w:rPr>
            </w:pPr>
            <w:r>
              <w:rPr>
                <w:rFonts w:ascii="Arial" w:cs="Arial" w:eastAsia="Arial" w:hAnsi="Arial"/>
                <w:sz w:val="20"/>
                <w:szCs w:val="20"/>
                <w:color w:val="auto"/>
                <w:w w:val="71"/>
              </w:rPr>
              <w:t>$</w:t>
            </w:r>
          </w:p>
        </w:tc>
        <w:tc>
          <w:tcPr>
            <w:tcW w:w="940" w:type="dxa"/>
            <w:vAlign w:val="bottom"/>
            <w:shd w:val="clear" w:color="auto" w:fill="CFF2FA"/>
          </w:tcPr>
          <w:p>
            <w:pPr>
              <w:jc w:val="right"/>
              <w:spacing w:after="0"/>
              <w:rPr>
                <w:sz w:val="20"/>
                <w:szCs w:val="20"/>
                <w:color w:val="auto"/>
              </w:rPr>
            </w:pPr>
            <w:r>
              <w:rPr>
                <w:rFonts w:ascii="Arial" w:cs="Arial" w:eastAsia="Arial" w:hAnsi="Arial"/>
                <w:sz w:val="20"/>
                <w:szCs w:val="20"/>
                <w:color w:val="auto"/>
              </w:rPr>
              <w:t>357,030</w:t>
            </w:r>
          </w:p>
        </w:tc>
        <w:tc>
          <w:tcPr>
            <w:tcW w:w="180" w:type="dxa"/>
            <w:vAlign w:val="bottom"/>
            <w:shd w:val="clear" w:color="auto" w:fill="CFF2FA"/>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shd w:val="clear" w:color="auto" w:fill="CFF2FA"/>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2FA"/>
          </w:tcPr>
          <w:p>
            <w:pPr>
              <w:spacing w:after="0" w:line="20" w:lineRule="exact"/>
              <w:rPr>
                <w:sz w:val="1"/>
                <w:szCs w:val="1"/>
                <w:color w:val="auto"/>
              </w:rPr>
            </w:pPr>
          </w:p>
        </w:tc>
        <w:tc>
          <w:tcPr>
            <w:tcW w:w="80" w:type="dxa"/>
            <w:vAlign w:val="bottom"/>
            <w:shd w:val="clear" w:color="auto" w:fill="CFF2FA"/>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shd w:val="clear" w:color="auto" w:fill="CFF2FA"/>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00" w:type="dxa"/>
            <w:vAlign w:val="bottom"/>
            <w:shd w:val="clear" w:color="auto" w:fill="CFF2FA"/>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shd w:val="clear" w:color="auto" w:fill="CFF2FA"/>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740" w:type="dxa"/>
            <w:vAlign w:val="bottom"/>
            <w:gridSpan w:val="2"/>
            <w:vMerge w:val="restart"/>
          </w:tcPr>
          <w:p>
            <w:pPr>
              <w:spacing w:after="0"/>
              <w:rPr>
                <w:sz w:val="20"/>
                <w:szCs w:val="20"/>
                <w:color w:val="auto"/>
              </w:rPr>
            </w:pPr>
            <w:r>
              <w:rPr>
                <w:rFonts w:ascii="Arial" w:cs="Arial" w:eastAsia="Arial" w:hAnsi="Arial"/>
                <w:sz w:val="20"/>
                <w:szCs w:val="20"/>
                <w:color w:val="auto"/>
              </w:rPr>
              <w:t>Total revenues</w:t>
            </w: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740" w:type="dxa"/>
            <w:vAlign w:val="bottom"/>
            <w:gridSpan w:val="2"/>
            <w:vMerge w:val="continue"/>
          </w:tcPr>
          <w:p>
            <w:pPr>
              <w:spacing w:after="0"/>
              <w:rPr>
                <w:sz w:val="19"/>
                <w:szCs w:val="19"/>
                <w:color w:val="auto"/>
              </w:rPr>
            </w:pPr>
          </w:p>
        </w:tc>
        <w:tc>
          <w:tcPr>
            <w:tcW w:w="260" w:type="dxa"/>
            <w:vAlign w:val="bottom"/>
            <w:tcBorders>
              <w:top w:val="single" w:sz="8" w:color="auto"/>
            </w:tcBorders>
          </w:tcPr>
          <w:p>
            <w:pPr>
              <w:jc w:val="right"/>
              <w:ind w:right="61"/>
              <w:spacing w:after="0" w:line="224" w:lineRule="exact"/>
              <w:rPr>
                <w:sz w:val="20"/>
                <w:szCs w:val="20"/>
                <w:color w:val="auto"/>
              </w:rPr>
            </w:pPr>
            <w:r>
              <w:rPr>
                <w:rFonts w:ascii="Arial" w:cs="Arial" w:eastAsia="Arial" w:hAnsi="Arial"/>
                <w:sz w:val="20"/>
                <w:szCs w:val="20"/>
                <w:color w:val="auto"/>
                <w:w w:val="71"/>
              </w:rPr>
              <w:t>$</w:t>
            </w:r>
          </w:p>
        </w:tc>
        <w:tc>
          <w:tcPr>
            <w:tcW w:w="900" w:type="dxa"/>
            <w:vAlign w:val="bottom"/>
            <w:tcBorders>
              <w:top w:val="single" w:sz="8" w:color="auto"/>
            </w:tcBorders>
          </w:tcPr>
          <w:p>
            <w:pPr>
              <w:jc w:val="right"/>
              <w:spacing w:after="0" w:line="224" w:lineRule="exact"/>
              <w:rPr>
                <w:sz w:val="20"/>
                <w:szCs w:val="20"/>
                <w:color w:val="auto"/>
              </w:rPr>
            </w:pPr>
            <w:r>
              <w:rPr>
                <w:rFonts w:ascii="Arial" w:cs="Arial" w:eastAsia="Arial" w:hAnsi="Arial"/>
                <w:sz w:val="20"/>
                <w:szCs w:val="20"/>
                <w:color w:val="auto"/>
                <w:w w:val="96"/>
              </w:rPr>
              <w:t>1,082,249</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tcBorders>
          </w:tcPr>
          <w:p>
            <w:pPr>
              <w:jc w:val="right"/>
              <w:ind w:right="21"/>
              <w:spacing w:after="0" w:line="224" w:lineRule="exact"/>
              <w:rPr>
                <w:sz w:val="20"/>
                <w:szCs w:val="20"/>
                <w:color w:val="auto"/>
              </w:rPr>
            </w:pPr>
            <w:r>
              <w:rPr>
                <w:rFonts w:ascii="Arial" w:cs="Arial" w:eastAsia="Arial" w:hAnsi="Arial"/>
                <w:sz w:val="20"/>
                <w:szCs w:val="20"/>
                <w:color w:val="auto"/>
                <w:w w:val="71"/>
              </w:rPr>
              <w:t>$</w:t>
            </w:r>
          </w:p>
        </w:tc>
        <w:tc>
          <w:tcPr>
            <w:tcW w:w="920" w:type="dxa"/>
            <w:vAlign w:val="bottom"/>
            <w:tcBorders>
              <w:top w:val="single" w:sz="8" w:color="auto"/>
            </w:tcBorders>
          </w:tcPr>
          <w:p>
            <w:pPr>
              <w:jc w:val="right"/>
              <w:spacing w:after="0" w:line="224" w:lineRule="exact"/>
              <w:rPr>
                <w:sz w:val="20"/>
                <w:szCs w:val="20"/>
                <w:color w:val="auto"/>
              </w:rPr>
            </w:pPr>
            <w:r>
              <w:rPr>
                <w:rFonts w:ascii="Arial" w:cs="Arial" w:eastAsia="Arial" w:hAnsi="Arial"/>
                <w:sz w:val="20"/>
                <w:szCs w:val="20"/>
                <w:color w:val="auto"/>
                <w:w w:val="98"/>
              </w:rPr>
              <w:t>1,003,723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tcBorders>
          </w:tcPr>
          <w:p>
            <w:pPr>
              <w:jc w:val="right"/>
              <w:ind w:right="21"/>
              <w:spacing w:after="0" w:line="224" w:lineRule="exact"/>
              <w:rPr>
                <w:sz w:val="20"/>
                <w:szCs w:val="20"/>
                <w:color w:val="auto"/>
              </w:rPr>
            </w:pPr>
            <w:r>
              <w:rPr>
                <w:rFonts w:ascii="Arial" w:cs="Arial" w:eastAsia="Arial" w:hAnsi="Arial"/>
                <w:sz w:val="20"/>
                <w:szCs w:val="20"/>
                <w:color w:val="auto"/>
                <w:w w:val="71"/>
              </w:rPr>
              <w:t>$</w:t>
            </w:r>
          </w:p>
        </w:tc>
        <w:tc>
          <w:tcPr>
            <w:tcW w:w="920" w:type="dxa"/>
            <w:vAlign w:val="bottom"/>
            <w:tcBorders>
              <w:top w:val="single" w:sz="8" w:color="auto"/>
            </w:tcBorders>
          </w:tcPr>
          <w:p>
            <w:pPr>
              <w:jc w:val="right"/>
              <w:spacing w:after="0" w:line="224" w:lineRule="exact"/>
              <w:rPr>
                <w:sz w:val="20"/>
                <w:szCs w:val="20"/>
                <w:color w:val="auto"/>
              </w:rPr>
            </w:pPr>
            <w:r>
              <w:rPr>
                <w:rFonts w:ascii="Arial" w:cs="Arial" w:eastAsia="Arial" w:hAnsi="Arial"/>
                <w:sz w:val="20"/>
                <w:szCs w:val="20"/>
                <w:color w:val="auto"/>
              </w:rPr>
              <w:t>2,695,014</w:t>
            </w:r>
          </w:p>
        </w:tc>
        <w:tc>
          <w:tcPr>
            <w:tcW w:w="300" w:type="dxa"/>
            <w:vAlign w:val="bottom"/>
          </w:tcPr>
          <w:p>
            <w:pPr>
              <w:spacing w:after="0"/>
              <w:rPr>
                <w:sz w:val="19"/>
                <w:szCs w:val="19"/>
                <w:color w:val="auto"/>
              </w:rPr>
            </w:pPr>
          </w:p>
        </w:tc>
        <w:tc>
          <w:tcPr>
            <w:tcW w:w="220" w:type="dxa"/>
            <w:vAlign w:val="bottom"/>
            <w:tcBorders>
              <w:top w:val="single" w:sz="8" w:color="auto"/>
            </w:tcBorders>
          </w:tcPr>
          <w:p>
            <w:pPr>
              <w:jc w:val="right"/>
              <w:ind w:right="21"/>
              <w:spacing w:after="0" w:line="224" w:lineRule="exact"/>
              <w:rPr>
                <w:sz w:val="20"/>
                <w:szCs w:val="20"/>
                <w:color w:val="auto"/>
              </w:rPr>
            </w:pPr>
            <w:r>
              <w:rPr>
                <w:rFonts w:ascii="Arial" w:cs="Arial" w:eastAsia="Arial" w:hAnsi="Arial"/>
                <w:sz w:val="20"/>
                <w:szCs w:val="20"/>
                <w:color w:val="auto"/>
                <w:w w:val="71"/>
              </w:rPr>
              <w:t>$</w:t>
            </w:r>
          </w:p>
        </w:tc>
        <w:tc>
          <w:tcPr>
            <w:tcW w:w="940" w:type="dxa"/>
            <w:vAlign w:val="bottom"/>
            <w:tcBorders>
              <w:top w:val="single" w:sz="8" w:color="auto"/>
            </w:tcBorders>
          </w:tcPr>
          <w:p>
            <w:pPr>
              <w:jc w:val="right"/>
              <w:spacing w:after="0" w:line="224" w:lineRule="exact"/>
              <w:rPr>
                <w:sz w:val="20"/>
                <w:szCs w:val="20"/>
                <w:color w:val="auto"/>
              </w:rPr>
            </w:pPr>
            <w:r>
              <w:rPr>
                <w:rFonts w:ascii="Arial" w:cs="Arial" w:eastAsia="Arial" w:hAnsi="Arial"/>
                <w:sz w:val="20"/>
                <w:szCs w:val="20"/>
                <w:color w:val="auto"/>
              </w:rPr>
              <w:t>2,101,578</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720" w:type="dxa"/>
            <w:vAlign w:val="bottom"/>
            <w:shd w:val="clear" w:color="auto" w:fill="CFF2FA"/>
          </w:tcPr>
          <w:p>
            <w:pPr>
              <w:spacing w:after="0"/>
              <w:rPr>
                <w:sz w:val="20"/>
                <w:szCs w:val="20"/>
                <w:color w:val="auto"/>
              </w:rPr>
            </w:pPr>
            <w:r>
              <w:rPr>
                <w:rFonts w:ascii="Arial" w:cs="Arial" w:eastAsia="Arial" w:hAnsi="Arial"/>
                <w:sz w:val="20"/>
                <w:szCs w:val="20"/>
                <w:color w:val="auto"/>
              </w:rPr>
              <w:t>Less: Freight and delivery revenues</w:t>
            </w:r>
          </w:p>
        </w:tc>
        <w:tc>
          <w:tcPr>
            <w:tcW w:w="260" w:type="dxa"/>
            <w:vAlign w:val="bottom"/>
            <w:shd w:val="clear" w:color="auto" w:fill="CFF2FA"/>
          </w:tcPr>
          <w:p>
            <w:pPr>
              <w:spacing w:after="0"/>
              <w:rPr>
                <w:sz w:val="21"/>
                <w:szCs w:val="21"/>
                <w:color w:val="auto"/>
              </w:rPr>
            </w:pPr>
          </w:p>
        </w:tc>
        <w:tc>
          <w:tcPr>
            <w:tcW w:w="1120" w:type="dxa"/>
            <w:vAlign w:val="bottom"/>
            <w:gridSpan w:val="2"/>
            <w:shd w:val="clear" w:color="auto" w:fill="CFF2FA"/>
          </w:tcPr>
          <w:p>
            <w:pPr>
              <w:jc w:val="right"/>
              <w:ind w:right="160"/>
              <w:spacing w:after="0"/>
              <w:rPr>
                <w:sz w:val="20"/>
                <w:szCs w:val="20"/>
                <w:color w:val="auto"/>
              </w:rPr>
            </w:pPr>
            <w:r>
              <w:rPr>
                <w:rFonts w:ascii="Arial" w:cs="Arial" w:eastAsia="Arial" w:hAnsi="Arial"/>
                <w:sz w:val="20"/>
                <w:szCs w:val="20"/>
                <w:color w:val="auto"/>
              </w:rPr>
              <w:t>(77,031)</w:t>
            </w:r>
          </w:p>
        </w:tc>
        <w:tc>
          <w:tcPr>
            <w:tcW w:w="80" w:type="dxa"/>
            <w:vAlign w:val="bottom"/>
            <w:shd w:val="clear" w:color="auto" w:fill="CFF2FA"/>
          </w:tcPr>
          <w:p>
            <w:pPr>
              <w:spacing w:after="0"/>
              <w:rPr>
                <w:sz w:val="21"/>
                <w:szCs w:val="21"/>
                <w:color w:val="auto"/>
              </w:rPr>
            </w:pPr>
          </w:p>
        </w:tc>
        <w:tc>
          <w:tcPr>
            <w:tcW w:w="220" w:type="dxa"/>
            <w:vAlign w:val="bottom"/>
            <w:shd w:val="clear" w:color="auto" w:fill="CFF2FA"/>
          </w:tcPr>
          <w:p>
            <w:pPr>
              <w:spacing w:after="0"/>
              <w:rPr>
                <w:sz w:val="21"/>
                <w:szCs w:val="21"/>
                <w:color w:val="auto"/>
              </w:rPr>
            </w:pPr>
          </w:p>
        </w:tc>
        <w:tc>
          <w:tcPr>
            <w:tcW w:w="1100" w:type="dxa"/>
            <w:vAlign w:val="bottom"/>
            <w:gridSpan w:val="2"/>
            <w:shd w:val="clear" w:color="auto" w:fill="CFF2FA"/>
          </w:tcPr>
          <w:p>
            <w:pPr>
              <w:jc w:val="right"/>
              <w:ind w:right="120"/>
              <w:spacing w:after="0"/>
              <w:rPr>
                <w:sz w:val="20"/>
                <w:szCs w:val="20"/>
                <w:color w:val="auto"/>
              </w:rPr>
            </w:pPr>
            <w:r>
              <w:rPr>
                <w:rFonts w:ascii="Arial" w:cs="Arial" w:eastAsia="Arial" w:hAnsi="Arial"/>
                <w:sz w:val="20"/>
                <w:szCs w:val="20"/>
                <w:color w:val="auto"/>
              </w:rPr>
              <w:t>(85,781)</w:t>
            </w:r>
          </w:p>
        </w:tc>
        <w:tc>
          <w:tcPr>
            <w:tcW w:w="120" w:type="dxa"/>
            <w:vAlign w:val="bottom"/>
            <w:shd w:val="clear" w:color="auto" w:fill="CFF0FC"/>
          </w:tcPr>
          <w:p>
            <w:pPr>
              <w:spacing w:after="0"/>
              <w:rPr>
                <w:sz w:val="21"/>
                <w:szCs w:val="21"/>
                <w:color w:val="auto"/>
              </w:rPr>
            </w:pPr>
          </w:p>
        </w:tc>
        <w:tc>
          <w:tcPr>
            <w:tcW w:w="220" w:type="dxa"/>
            <w:vAlign w:val="bottom"/>
            <w:shd w:val="clear" w:color="auto" w:fill="CFF2FA"/>
          </w:tcPr>
          <w:p>
            <w:pPr>
              <w:spacing w:after="0"/>
              <w:rPr>
                <w:sz w:val="21"/>
                <w:szCs w:val="21"/>
                <w:color w:val="auto"/>
              </w:rPr>
            </w:pPr>
          </w:p>
        </w:tc>
        <w:tc>
          <w:tcPr>
            <w:tcW w:w="1220" w:type="dxa"/>
            <w:vAlign w:val="bottom"/>
            <w:gridSpan w:val="2"/>
            <w:shd w:val="clear" w:color="auto" w:fill="CFF2FA"/>
          </w:tcPr>
          <w:p>
            <w:pPr>
              <w:jc w:val="right"/>
              <w:ind w:right="220"/>
              <w:spacing w:after="0"/>
              <w:rPr>
                <w:sz w:val="20"/>
                <w:szCs w:val="20"/>
                <w:color w:val="auto"/>
              </w:rPr>
            </w:pPr>
            <w:r>
              <w:rPr>
                <w:rFonts w:ascii="Arial" w:cs="Arial" w:eastAsia="Arial" w:hAnsi="Arial"/>
                <w:sz w:val="20"/>
                <w:szCs w:val="20"/>
                <w:color w:val="auto"/>
              </w:rPr>
              <w:t>(207,672)</w:t>
            </w:r>
          </w:p>
        </w:tc>
        <w:tc>
          <w:tcPr>
            <w:tcW w:w="220" w:type="dxa"/>
            <w:vAlign w:val="bottom"/>
            <w:shd w:val="clear" w:color="auto" w:fill="CFF2FA"/>
          </w:tcPr>
          <w:p>
            <w:pPr>
              <w:spacing w:after="0"/>
              <w:rPr>
                <w:sz w:val="21"/>
                <w:szCs w:val="21"/>
                <w:color w:val="auto"/>
              </w:rPr>
            </w:pPr>
          </w:p>
        </w:tc>
        <w:tc>
          <w:tcPr>
            <w:tcW w:w="1120" w:type="dxa"/>
            <w:vAlign w:val="bottom"/>
            <w:gridSpan w:val="2"/>
            <w:shd w:val="clear" w:color="auto" w:fill="CFF2FA"/>
          </w:tcPr>
          <w:p>
            <w:pPr>
              <w:jc w:val="right"/>
              <w:ind w:right="120"/>
              <w:spacing w:after="0"/>
              <w:rPr>
                <w:sz w:val="20"/>
                <w:szCs w:val="20"/>
                <w:color w:val="auto"/>
              </w:rPr>
            </w:pPr>
            <w:r>
              <w:rPr>
                <w:rFonts w:ascii="Arial" w:cs="Arial" w:eastAsia="Arial" w:hAnsi="Arial"/>
                <w:sz w:val="20"/>
                <w:szCs w:val="20"/>
                <w:color w:val="auto"/>
              </w:rPr>
              <w:t>(202,021)</w:t>
            </w:r>
          </w:p>
        </w:tc>
        <w:tc>
          <w:tcPr>
            <w:tcW w:w="0" w:type="dxa"/>
            <w:vAlign w:val="bottom"/>
          </w:tcPr>
          <w:p>
            <w:pPr>
              <w:spacing w:after="0"/>
              <w:rPr>
                <w:sz w:val="1"/>
                <w:szCs w:val="1"/>
                <w:color w:val="auto"/>
              </w:rPr>
            </w:pPr>
          </w:p>
        </w:tc>
      </w:tr>
      <w:tr>
        <w:trPr>
          <w:trHeight w:val="257"/>
        </w:trPr>
        <w:tc>
          <w:tcPr>
            <w:tcW w:w="5740" w:type="dxa"/>
            <w:vAlign w:val="bottom"/>
            <w:gridSpan w:val="2"/>
          </w:tcPr>
          <w:p>
            <w:pPr>
              <w:spacing w:after="0"/>
              <w:rPr>
                <w:sz w:val="20"/>
                <w:szCs w:val="20"/>
                <w:color w:val="auto"/>
              </w:rPr>
            </w:pPr>
            <w:r>
              <w:rPr>
                <w:rFonts w:ascii="Arial" w:cs="Arial" w:eastAsia="Arial" w:hAnsi="Arial"/>
                <w:sz w:val="20"/>
                <w:szCs w:val="20"/>
                <w:color w:val="auto"/>
              </w:rPr>
              <w:t>Net sales</w:t>
            </w:r>
          </w:p>
        </w:tc>
        <w:tc>
          <w:tcPr>
            <w:tcW w:w="26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20"/>
                <w:szCs w:val="20"/>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w w:val="96"/>
              </w:rPr>
              <w:t>1,005,218</w:t>
            </w: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20"/>
                <w:szCs w:val="20"/>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917,942</w:t>
            </w: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20"/>
                <w:szCs w:val="20"/>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2,487,342</w:t>
            </w:r>
          </w:p>
        </w:tc>
        <w:tc>
          <w:tcPr>
            <w:tcW w:w="3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20"/>
                <w:szCs w:val="20"/>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1,899,557</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tcBorders>
              <w:top w:val="single" w:sz="8" w:color="CFF2FA"/>
            </w:tcBorders>
            <w:vMerge w:val="restart"/>
            <w:shd w:val="clear" w:color="auto" w:fill="CFF2FA"/>
          </w:tcPr>
          <w:p>
            <w:pPr>
              <w:spacing w:after="0"/>
              <w:rPr>
                <w:sz w:val="20"/>
                <w:szCs w:val="20"/>
                <w:color w:val="auto"/>
              </w:rPr>
            </w:pPr>
            <w:r>
              <w:rPr>
                <w:rFonts w:ascii="Arial" w:cs="Arial" w:eastAsia="Arial" w:hAnsi="Arial"/>
                <w:sz w:val="20"/>
                <w:szCs w:val="20"/>
                <w:color w:val="auto"/>
              </w:rPr>
              <w:t>Gross margin excluding freight and delivery revenues</w:t>
            </w:r>
          </w:p>
        </w:tc>
        <w:tc>
          <w:tcPr>
            <w:tcW w:w="260" w:type="dxa"/>
            <w:vAlign w:val="bottom"/>
            <w:tcBorders>
              <w:top w:val="single" w:sz="8" w:color="CFF2FA"/>
            </w:tcBorders>
            <w:shd w:val="clear" w:color="auto" w:fill="000000"/>
          </w:tcPr>
          <w:p>
            <w:pPr>
              <w:spacing w:after="0" w:line="20" w:lineRule="exact"/>
              <w:rPr>
                <w:sz w:val="1"/>
                <w:szCs w:val="1"/>
                <w:color w:val="auto"/>
              </w:rPr>
            </w:pPr>
          </w:p>
        </w:tc>
        <w:tc>
          <w:tcPr>
            <w:tcW w:w="900" w:type="dxa"/>
            <w:vAlign w:val="bottom"/>
            <w:tcBorders>
              <w:top w:val="single" w:sz="8" w:color="CFF2FA"/>
            </w:tcBorders>
            <w:shd w:val="clear" w:color="auto" w:fill="000000"/>
          </w:tcPr>
          <w:p>
            <w:pPr>
              <w:spacing w:after="0" w:line="20" w:lineRule="exact"/>
              <w:rPr>
                <w:sz w:val="1"/>
                <w:szCs w:val="1"/>
                <w:color w:val="auto"/>
              </w:rPr>
            </w:pPr>
          </w:p>
        </w:tc>
        <w:tc>
          <w:tcPr>
            <w:tcW w:w="220" w:type="dxa"/>
            <w:vAlign w:val="bottom"/>
            <w:tcBorders>
              <w:top w:val="single" w:sz="8" w:color="CFF2FA"/>
            </w:tcBorders>
            <w:shd w:val="clear" w:color="auto" w:fill="CFF2FA"/>
          </w:tcPr>
          <w:p>
            <w:pPr>
              <w:spacing w:after="0" w:line="20" w:lineRule="exact"/>
              <w:rPr>
                <w:sz w:val="1"/>
                <w:szCs w:val="1"/>
                <w:color w:val="auto"/>
              </w:rPr>
            </w:pPr>
          </w:p>
        </w:tc>
        <w:tc>
          <w:tcPr>
            <w:tcW w:w="80" w:type="dxa"/>
            <w:vAlign w:val="bottom"/>
            <w:tcBorders>
              <w:top w:val="single" w:sz="8" w:color="CFF2FA"/>
            </w:tcBorders>
            <w:shd w:val="clear" w:color="auto" w:fill="CFF2FA"/>
          </w:tcPr>
          <w:p>
            <w:pPr>
              <w:spacing w:after="0" w:line="20" w:lineRule="exact"/>
              <w:rPr>
                <w:sz w:val="1"/>
                <w:szCs w:val="1"/>
                <w:color w:val="auto"/>
              </w:rPr>
            </w:pPr>
          </w:p>
        </w:tc>
        <w:tc>
          <w:tcPr>
            <w:tcW w:w="220" w:type="dxa"/>
            <w:vAlign w:val="bottom"/>
            <w:tcBorders>
              <w:top w:val="single" w:sz="8" w:color="CFF2FA"/>
            </w:tcBorders>
            <w:shd w:val="clear" w:color="auto" w:fill="000000"/>
          </w:tcPr>
          <w:p>
            <w:pPr>
              <w:spacing w:after="0" w:line="20" w:lineRule="exact"/>
              <w:rPr>
                <w:sz w:val="1"/>
                <w:szCs w:val="1"/>
                <w:color w:val="auto"/>
              </w:rPr>
            </w:pPr>
          </w:p>
        </w:tc>
        <w:tc>
          <w:tcPr>
            <w:tcW w:w="920" w:type="dxa"/>
            <w:vAlign w:val="bottom"/>
            <w:tcBorders>
              <w:top w:val="single" w:sz="8" w:color="CFF2FA"/>
            </w:tcBorders>
            <w:shd w:val="clear" w:color="auto" w:fill="000000"/>
          </w:tcPr>
          <w:p>
            <w:pPr>
              <w:spacing w:after="0" w:line="20" w:lineRule="exact"/>
              <w:rPr>
                <w:sz w:val="1"/>
                <w:szCs w:val="1"/>
                <w:color w:val="auto"/>
              </w:rPr>
            </w:pPr>
          </w:p>
        </w:tc>
        <w:tc>
          <w:tcPr>
            <w:tcW w:w="180" w:type="dxa"/>
            <w:vAlign w:val="bottom"/>
            <w:tcBorders>
              <w:top w:val="single" w:sz="8" w:color="CFF2FA"/>
            </w:tcBorders>
            <w:shd w:val="clear" w:color="auto" w:fill="CFF2FA"/>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2FA"/>
            </w:tcBorders>
            <w:shd w:val="clear" w:color="auto" w:fill="000000"/>
          </w:tcPr>
          <w:p>
            <w:pPr>
              <w:spacing w:after="0" w:line="20" w:lineRule="exact"/>
              <w:rPr>
                <w:sz w:val="1"/>
                <w:szCs w:val="1"/>
                <w:color w:val="auto"/>
              </w:rPr>
            </w:pPr>
          </w:p>
        </w:tc>
        <w:tc>
          <w:tcPr>
            <w:tcW w:w="920" w:type="dxa"/>
            <w:vAlign w:val="bottom"/>
            <w:tcBorders>
              <w:top w:val="single" w:sz="8" w:color="CFF2FA"/>
            </w:tcBorders>
            <w:shd w:val="clear" w:color="auto" w:fill="000000"/>
          </w:tcPr>
          <w:p>
            <w:pPr>
              <w:spacing w:after="0" w:line="20" w:lineRule="exact"/>
              <w:rPr>
                <w:sz w:val="1"/>
                <w:szCs w:val="1"/>
                <w:color w:val="auto"/>
              </w:rPr>
            </w:pPr>
          </w:p>
        </w:tc>
        <w:tc>
          <w:tcPr>
            <w:tcW w:w="300" w:type="dxa"/>
            <w:vAlign w:val="bottom"/>
            <w:tcBorders>
              <w:top w:val="single" w:sz="8" w:color="CFF2FA"/>
            </w:tcBorders>
            <w:shd w:val="clear" w:color="auto" w:fill="CFF2FA"/>
          </w:tcPr>
          <w:p>
            <w:pPr>
              <w:spacing w:after="0" w:line="20" w:lineRule="exact"/>
              <w:rPr>
                <w:sz w:val="1"/>
                <w:szCs w:val="1"/>
                <w:color w:val="auto"/>
              </w:rPr>
            </w:pPr>
          </w:p>
        </w:tc>
        <w:tc>
          <w:tcPr>
            <w:tcW w:w="220" w:type="dxa"/>
            <w:vAlign w:val="bottom"/>
            <w:tcBorders>
              <w:top w:val="single" w:sz="8" w:color="CFF2FA"/>
            </w:tcBorders>
            <w:shd w:val="clear" w:color="auto" w:fill="000000"/>
          </w:tcPr>
          <w:p>
            <w:pPr>
              <w:spacing w:after="0" w:line="20" w:lineRule="exact"/>
              <w:rPr>
                <w:sz w:val="1"/>
                <w:szCs w:val="1"/>
                <w:color w:val="auto"/>
              </w:rPr>
            </w:pPr>
          </w:p>
        </w:tc>
        <w:tc>
          <w:tcPr>
            <w:tcW w:w="940" w:type="dxa"/>
            <w:vAlign w:val="bottom"/>
            <w:tcBorders>
              <w:top w:val="single" w:sz="8" w:color="CFF2FA"/>
            </w:tcBorders>
            <w:shd w:val="clear" w:color="auto" w:fill="000000"/>
          </w:tcPr>
          <w:p>
            <w:pPr>
              <w:spacing w:after="0" w:line="20" w:lineRule="exact"/>
              <w:rPr>
                <w:sz w:val="1"/>
                <w:szCs w:val="1"/>
                <w:color w:val="auto"/>
              </w:rPr>
            </w:pPr>
          </w:p>
        </w:tc>
        <w:tc>
          <w:tcPr>
            <w:tcW w:w="180" w:type="dxa"/>
            <w:vAlign w:val="bottom"/>
            <w:tcBorders>
              <w:top w:val="single" w:sz="8" w:color="CFF2FA"/>
            </w:tcBorders>
            <w:shd w:val="clear" w:color="auto" w:fill="CFF2FA"/>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5720" w:type="dxa"/>
            <w:vAlign w:val="bottom"/>
            <w:vMerge w:val="continue"/>
            <w:shd w:val="clear" w:color="auto" w:fill="CFF2FA"/>
          </w:tcPr>
          <w:p>
            <w:pPr>
              <w:spacing w:after="0"/>
              <w:rPr>
                <w:sz w:val="19"/>
                <w:szCs w:val="19"/>
                <w:color w:val="auto"/>
              </w:rPr>
            </w:pPr>
          </w:p>
        </w:tc>
        <w:tc>
          <w:tcPr>
            <w:tcW w:w="260" w:type="dxa"/>
            <w:vAlign w:val="bottom"/>
            <w:shd w:val="clear" w:color="auto" w:fill="CFF2FA"/>
          </w:tcPr>
          <w:p>
            <w:pPr>
              <w:spacing w:after="0"/>
              <w:rPr>
                <w:sz w:val="19"/>
                <w:szCs w:val="19"/>
                <w:color w:val="auto"/>
              </w:rPr>
            </w:pPr>
          </w:p>
        </w:tc>
        <w:tc>
          <w:tcPr>
            <w:tcW w:w="1120" w:type="dxa"/>
            <w:vAlign w:val="bottom"/>
            <w:gridSpan w:val="2"/>
            <w:shd w:val="clear" w:color="auto" w:fill="CFF2FA"/>
          </w:tcPr>
          <w:p>
            <w:pPr>
              <w:jc w:val="right"/>
              <w:ind w:right="60"/>
              <w:spacing w:after="0" w:line="224" w:lineRule="exact"/>
              <w:rPr>
                <w:sz w:val="20"/>
                <w:szCs w:val="20"/>
                <w:color w:val="auto"/>
              </w:rPr>
            </w:pPr>
            <w:r>
              <w:rPr>
                <w:rFonts w:ascii="Arial" w:cs="Arial" w:eastAsia="Arial" w:hAnsi="Arial"/>
                <w:sz w:val="20"/>
                <w:szCs w:val="20"/>
                <w:color w:val="auto"/>
              </w:rPr>
              <w:t>26.1%</w:t>
            </w:r>
          </w:p>
        </w:tc>
        <w:tc>
          <w:tcPr>
            <w:tcW w:w="80" w:type="dxa"/>
            <w:vAlign w:val="bottom"/>
            <w:shd w:val="clear" w:color="auto" w:fill="CFF2FA"/>
          </w:tcPr>
          <w:p>
            <w:pPr>
              <w:spacing w:after="0"/>
              <w:rPr>
                <w:sz w:val="19"/>
                <w:szCs w:val="19"/>
                <w:color w:val="auto"/>
              </w:rPr>
            </w:pPr>
          </w:p>
        </w:tc>
        <w:tc>
          <w:tcPr>
            <w:tcW w:w="220" w:type="dxa"/>
            <w:vAlign w:val="bottom"/>
            <w:shd w:val="clear" w:color="auto" w:fill="CFF2FA"/>
          </w:tcPr>
          <w:p>
            <w:pPr>
              <w:spacing w:after="0"/>
              <w:rPr>
                <w:sz w:val="19"/>
                <w:szCs w:val="19"/>
                <w:color w:val="auto"/>
              </w:rPr>
            </w:pPr>
          </w:p>
        </w:tc>
        <w:tc>
          <w:tcPr>
            <w:tcW w:w="1100" w:type="dxa"/>
            <w:vAlign w:val="bottom"/>
            <w:gridSpan w:val="2"/>
            <w:shd w:val="clear" w:color="auto" w:fill="CFF2FA"/>
          </w:tcPr>
          <w:p>
            <w:pPr>
              <w:jc w:val="right"/>
              <w:ind w:right="20"/>
              <w:spacing w:after="0" w:line="224" w:lineRule="exact"/>
              <w:rPr>
                <w:sz w:val="20"/>
                <w:szCs w:val="20"/>
                <w:color w:val="auto"/>
              </w:rPr>
            </w:pPr>
            <w:r>
              <w:rPr>
                <w:rFonts w:ascii="Arial" w:cs="Arial" w:eastAsia="Arial" w:hAnsi="Arial"/>
                <w:sz w:val="20"/>
                <w:szCs w:val="20"/>
                <w:color w:val="auto"/>
              </w:rPr>
              <w:t>21.3%</w:t>
            </w:r>
          </w:p>
        </w:tc>
        <w:tc>
          <w:tcPr>
            <w:tcW w:w="120" w:type="dxa"/>
            <w:vAlign w:val="bottom"/>
            <w:shd w:val="clear" w:color="auto" w:fill="CFF0FC"/>
          </w:tcPr>
          <w:p>
            <w:pPr>
              <w:spacing w:after="0"/>
              <w:rPr>
                <w:sz w:val="19"/>
                <w:szCs w:val="19"/>
                <w:color w:val="auto"/>
              </w:rPr>
            </w:pPr>
          </w:p>
        </w:tc>
        <w:tc>
          <w:tcPr>
            <w:tcW w:w="220" w:type="dxa"/>
            <w:vAlign w:val="bottom"/>
            <w:shd w:val="clear" w:color="auto" w:fill="CFF2FA"/>
          </w:tcPr>
          <w:p>
            <w:pPr>
              <w:spacing w:after="0"/>
              <w:rPr>
                <w:sz w:val="19"/>
                <w:szCs w:val="19"/>
                <w:color w:val="auto"/>
              </w:rPr>
            </w:pPr>
          </w:p>
        </w:tc>
        <w:tc>
          <w:tcPr>
            <w:tcW w:w="1220" w:type="dxa"/>
            <w:vAlign w:val="bottom"/>
            <w:gridSpan w:val="2"/>
            <w:shd w:val="clear" w:color="auto" w:fill="CFF2FA"/>
          </w:tcPr>
          <w:p>
            <w:pPr>
              <w:jc w:val="right"/>
              <w:ind w:right="120"/>
              <w:spacing w:after="0" w:line="224" w:lineRule="exact"/>
              <w:rPr>
                <w:sz w:val="20"/>
                <w:szCs w:val="20"/>
                <w:color w:val="auto"/>
              </w:rPr>
            </w:pPr>
            <w:r>
              <w:rPr>
                <w:rFonts w:ascii="Arial" w:cs="Arial" w:eastAsia="Arial" w:hAnsi="Arial"/>
                <w:sz w:val="20"/>
                <w:szCs w:val="20"/>
                <w:color w:val="auto"/>
              </w:rPr>
              <w:t>21.6%</w:t>
            </w:r>
          </w:p>
        </w:tc>
        <w:tc>
          <w:tcPr>
            <w:tcW w:w="220" w:type="dxa"/>
            <w:vAlign w:val="bottom"/>
            <w:shd w:val="clear" w:color="auto" w:fill="CFF2FA"/>
          </w:tcPr>
          <w:p>
            <w:pPr>
              <w:spacing w:after="0"/>
              <w:rPr>
                <w:sz w:val="19"/>
                <w:szCs w:val="19"/>
                <w:color w:val="auto"/>
              </w:rPr>
            </w:pPr>
          </w:p>
        </w:tc>
        <w:tc>
          <w:tcPr>
            <w:tcW w:w="1120" w:type="dxa"/>
            <w:vAlign w:val="bottom"/>
            <w:gridSpan w:val="2"/>
            <w:shd w:val="clear" w:color="auto" w:fill="CFF2FA"/>
          </w:tcPr>
          <w:p>
            <w:pPr>
              <w:jc w:val="right"/>
              <w:ind w:right="20"/>
              <w:spacing w:after="0" w:line="224" w:lineRule="exact"/>
              <w:rPr>
                <w:sz w:val="20"/>
                <w:szCs w:val="20"/>
                <w:color w:val="auto"/>
              </w:rPr>
            </w:pPr>
            <w:r>
              <w:rPr>
                <w:rFonts w:ascii="Arial" w:cs="Arial" w:eastAsia="Arial" w:hAnsi="Arial"/>
                <w:sz w:val="20"/>
                <w:szCs w:val="20"/>
                <w:color w:val="auto"/>
              </w:rPr>
              <w:t>18.8%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shd w:val="clear" w:color="auto" w:fill="CFF2FA"/>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2FA"/>
          </w:tcPr>
          <w:p>
            <w:pPr>
              <w:spacing w:after="0" w:line="20" w:lineRule="exact"/>
              <w:rPr>
                <w:sz w:val="1"/>
                <w:szCs w:val="1"/>
                <w:color w:val="auto"/>
              </w:rPr>
            </w:pPr>
          </w:p>
        </w:tc>
        <w:tc>
          <w:tcPr>
            <w:tcW w:w="80" w:type="dxa"/>
            <w:vAlign w:val="bottom"/>
            <w:shd w:val="clear" w:color="auto" w:fill="CFF2FA"/>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shd w:val="clear" w:color="auto" w:fill="CFF2FA"/>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00" w:type="dxa"/>
            <w:vAlign w:val="bottom"/>
            <w:shd w:val="clear" w:color="auto" w:fill="CFF2FA"/>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shd w:val="clear" w:color="auto" w:fill="CFF2FA"/>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740" w:type="dxa"/>
            <w:vAlign w:val="bottom"/>
            <w:gridSpan w:val="2"/>
            <w:vMerge w:val="restart"/>
          </w:tcPr>
          <w:p>
            <w:pPr>
              <w:spacing w:after="0"/>
              <w:rPr>
                <w:sz w:val="20"/>
                <w:szCs w:val="20"/>
                <w:color w:val="auto"/>
              </w:rPr>
            </w:pPr>
            <w:r>
              <w:rPr>
                <w:rFonts w:ascii="Arial" w:cs="Arial" w:eastAsia="Arial" w:hAnsi="Arial"/>
                <w:sz w:val="20"/>
                <w:szCs w:val="20"/>
                <w:b w:val="1"/>
                <w:bCs w:val="1"/>
                <w:color w:val="auto"/>
              </w:rPr>
              <w:t>Consolidated Operating Margin in Accordance with GAAP</w:t>
            </w: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8"/>
        </w:trPr>
        <w:tc>
          <w:tcPr>
            <w:tcW w:w="574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5"/>
        </w:trPr>
        <w:tc>
          <w:tcPr>
            <w:tcW w:w="20" w:type="dxa"/>
            <w:vAlign w:val="bottom"/>
          </w:tcPr>
          <w:p>
            <w:pPr>
              <w:spacing w:after="0"/>
              <w:rPr>
                <w:sz w:val="24"/>
                <w:szCs w:val="24"/>
                <w:color w:val="auto"/>
              </w:rPr>
            </w:pPr>
          </w:p>
        </w:tc>
        <w:tc>
          <w:tcPr>
            <w:tcW w:w="5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520" w:type="dxa"/>
            <w:vAlign w:val="bottom"/>
            <w:gridSpan w:val="6"/>
          </w:tcPr>
          <w:p>
            <w:pPr>
              <w:jc w:val="center"/>
              <w:ind w:right="440"/>
              <w:spacing w:after="0"/>
              <w:rPr>
                <w:sz w:val="20"/>
                <w:szCs w:val="20"/>
                <w:color w:val="auto"/>
              </w:rPr>
            </w:pPr>
            <w:r>
              <w:rPr>
                <w:rFonts w:ascii="Arial" w:cs="Arial" w:eastAsia="Arial" w:hAnsi="Arial"/>
                <w:sz w:val="20"/>
                <w:szCs w:val="20"/>
                <w:color w:val="auto"/>
                <w:w w:val="89"/>
              </w:rPr>
              <w:t>Three Months Ended</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60" w:type="dxa"/>
            <w:vAlign w:val="bottom"/>
            <w:gridSpan w:val="5"/>
          </w:tcPr>
          <w:p>
            <w:pPr>
              <w:jc w:val="center"/>
              <w:ind w:right="420"/>
              <w:spacing w:after="0"/>
              <w:rPr>
                <w:sz w:val="20"/>
                <w:szCs w:val="20"/>
                <w:color w:val="auto"/>
              </w:rPr>
            </w:pPr>
            <w:r>
              <w:rPr>
                <w:rFonts w:ascii="Arial" w:cs="Arial" w:eastAsia="Arial" w:hAnsi="Arial"/>
                <w:sz w:val="20"/>
                <w:szCs w:val="20"/>
                <w:color w:val="auto"/>
                <w:w w:val="89"/>
              </w:rPr>
              <w:t>Nine Months Ended</w:t>
            </w: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57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520" w:type="dxa"/>
            <w:vAlign w:val="bottom"/>
            <w:gridSpan w:val="6"/>
          </w:tcPr>
          <w:p>
            <w:pPr>
              <w:jc w:val="center"/>
              <w:ind w:right="460"/>
              <w:spacing w:after="0"/>
              <w:rPr>
                <w:sz w:val="20"/>
                <w:szCs w:val="20"/>
                <w:color w:val="auto"/>
              </w:rPr>
            </w:pPr>
            <w:r>
              <w:rPr>
                <w:rFonts w:ascii="Arial" w:cs="Arial" w:eastAsia="Arial" w:hAnsi="Arial"/>
                <w:sz w:val="20"/>
                <w:szCs w:val="20"/>
                <w:color w:val="auto"/>
                <w:w w:val="86"/>
              </w:rPr>
              <w:t>September 30,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560" w:type="dxa"/>
            <w:vAlign w:val="bottom"/>
            <w:gridSpan w:val="5"/>
          </w:tcPr>
          <w:p>
            <w:pPr>
              <w:jc w:val="center"/>
              <w:ind w:right="420"/>
              <w:spacing w:after="0"/>
              <w:rPr>
                <w:sz w:val="20"/>
                <w:szCs w:val="20"/>
                <w:color w:val="auto"/>
              </w:rPr>
            </w:pPr>
            <w:r>
              <w:rPr>
                <w:rFonts w:ascii="Arial" w:cs="Arial" w:eastAsia="Arial" w:hAnsi="Arial"/>
                <w:sz w:val="20"/>
                <w:szCs w:val="20"/>
                <w:color w:val="auto"/>
                <w:w w:val="86"/>
              </w:rPr>
              <w:t>September 30,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72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81"/>
              <w:spacing w:after="0"/>
              <w:rPr>
                <w:sz w:val="20"/>
                <w:szCs w:val="20"/>
                <w:color w:val="auto"/>
              </w:rPr>
            </w:pPr>
            <w:r>
              <w:rPr>
                <w:rFonts w:ascii="Arial" w:cs="Arial" w:eastAsia="Arial" w:hAnsi="Arial"/>
                <w:sz w:val="20"/>
                <w:szCs w:val="20"/>
                <w:color w:val="auto"/>
              </w:rPr>
              <w:t>2015</w:t>
            </w:r>
          </w:p>
        </w:tc>
        <w:tc>
          <w:tcPr>
            <w:tcW w:w="220" w:type="dxa"/>
            <w:vAlign w:val="bottom"/>
            <w:tcBorders>
              <w:top w:val="single" w:sz="8" w:color="auto"/>
              <w:bottom w:val="single" w:sz="8" w:color="auto"/>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20"/>
                <w:szCs w:val="20"/>
                <w:color w:val="auto"/>
              </w:rPr>
              <w:t>2014</w:t>
            </w:r>
          </w:p>
        </w:tc>
        <w:tc>
          <w:tcPr>
            <w:tcW w:w="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81"/>
              <w:spacing w:after="0"/>
              <w:rPr>
                <w:sz w:val="20"/>
                <w:szCs w:val="20"/>
                <w:color w:val="auto"/>
              </w:rPr>
            </w:pPr>
            <w:r>
              <w:rPr>
                <w:rFonts w:ascii="Arial" w:cs="Arial" w:eastAsia="Arial" w:hAnsi="Arial"/>
                <w:sz w:val="20"/>
                <w:szCs w:val="20"/>
                <w:color w:val="auto"/>
              </w:rPr>
              <w:t>2015</w:t>
            </w:r>
          </w:p>
        </w:tc>
        <w:tc>
          <w:tcPr>
            <w:tcW w:w="300" w:type="dxa"/>
            <w:vAlign w:val="bottom"/>
            <w:tcBorders>
              <w:top w:val="single" w:sz="8" w:color="auto"/>
              <w:bottom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301"/>
              <w:spacing w:after="0"/>
              <w:rPr>
                <w:sz w:val="20"/>
                <w:szCs w:val="20"/>
                <w:color w:val="auto"/>
              </w:rPr>
            </w:pPr>
            <w:r>
              <w:rPr>
                <w:rFonts w:ascii="Arial" w:cs="Arial" w:eastAsia="Arial" w:hAnsi="Arial"/>
                <w:sz w:val="20"/>
                <w:szCs w:val="20"/>
                <w:color w:val="auto"/>
              </w:rPr>
              <w:t>2014</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60" w:type="dxa"/>
            <w:vAlign w:val="bottom"/>
            <w:gridSpan w:val="6"/>
          </w:tcPr>
          <w:p>
            <w:pPr>
              <w:ind w:left="140"/>
              <w:spacing w:after="0"/>
              <w:rPr>
                <w:sz w:val="20"/>
                <w:szCs w:val="20"/>
                <w:color w:val="auto"/>
              </w:rPr>
            </w:pPr>
            <w:r>
              <w:rPr>
                <w:rFonts w:ascii="Arial" w:cs="Arial" w:eastAsia="Arial" w:hAnsi="Arial"/>
                <w:sz w:val="20"/>
                <w:szCs w:val="20"/>
                <w:i w:val="1"/>
                <w:iCs w:val="1"/>
                <w:color w:val="auto"/>
              </w:rPr>
              <w:t>(Dollars in Thousands)</w:t>
            </w: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720" w:type="dxa"/>
            <w:vAlign w:val="bottom"/>
            <w:shd w:val="clear" w:color="auto" w:fill="CFF2FA"/>
          </w:tcPr>
          <w:p>
            <w:pPr>
              <w:spacing w:after="0"/>
              <w:rPr>
                <w:sz w:val="20"/>
                <w:szCs w:val="20"/>
                <w:color w:val="auto"/>
              </w:rPr>
            </w:pPr>
            <w:r>
              <w:rPr>
                <w:rFonts w:ascii="Arial" w:cs="Arial" w:eastAsia="Arial" w:hAnsi="Arial"/>
                <w:sz w:val="20"/>
                <w:szCs w:val="20"/>
                <w:color w:val="auto"/>
              </w:rPr>
              <w:t>Earnings from operations</w:t>
            </w:r>
          </w:p>
        </w:tc>
        <w:tc>
          <w:tcPr>
            <w:tcW w:w="260" w:type="dxa"/>
            <w:vAlign w:val="bottom"/>
            <w:shd w:val="clear" w:color="auto" w:fill="CFF2FA"/>
          </w:tcPr>
          <w:p>
            <w:pPr>
              <w:jc w:val="right"/>
              <w:ind w:right="61"/>
              <w:spacing w:after="0"/>
              <w:rPr>
                <w:sz w:val="20"/>
                <w:szCs w:val="20"/>
                <w:color w:val="auto"/>
              </w:rPr>
            </w:pPr>
            <w:r>
              <w:rPr>
                <w:rFonts w:ascii="Arial" w:cs="Arial" w:eastAsia="Arial" w:hAnsi="Arial"/>
                <w:sz w:val="20"/>
                <w:szCs w:val="20"/>
                <w:color w:val="auto"/>
                <w:w w:val="71"/>
              </w:rPr>
              <w:t>$</w:t>
            </w:r>
          </w:p>
        </w:tc>
        <w:tc>
          <w:tcPr>
            <w:tcW w:w="900" w:type="dxa"/>
            <w:vAlign w:val="bottom"/>
            <w:shd w:val="clear" w:color="auto" w:fill="CFF2FA"/>
          </w:tcPr>
          <w:p>
            <w:pPr>
              <w:jc w:val="right"/>
              <w:spacing w:after="0"/>
              <w:rPr>
                <w:sz w:val="20"/>
                <w:szCs w:val="20"/>
                <w:color w:val="auto"/>
              </w:rPr>
            </w:pPr>
            <w:r>
              <w:rPr>
                <w:rFonts w:ascii="Arial" w:cs="Arial" w:eastAsia="Arial" w:hAnsi="Arial"/>
                <w:sz w:val="20"/>
                <w:szCs w:val="20"/>
                <w:color w:val="auto"/>
              </w:rPr>
              <w:t>179,498</w:t>
            </w:r>
          </w:p>
        </w:tc>
        <w:tc>
          <w:tcPr>
            <w:tcW w:w="220" w:type="dxa"/>
            <w:vAlign w:val="bottom"/>
            <w:shd w:val="clear" w:color="auto" w:fill="CFF2FA"/>
          </w:tcPr>
          <w:p>
            <w:pPr>
              <w:spacing w:after="0"/>
              <w:rPr>
                <w:sz w:val="21"/>
                <w:szCs w:val="21"/>
                <w:color w:val="auto"/>
              </w:rPr>
            </w:pPr>
          </w:p>
        </w:tc>
        <w:tc>
          <w:tcPr>
            <w:tcW w:w="300" w:type="dxa"/>
            <w:vAlign w:val="bottom"/>
            <w:gridSpan w:val="2"/>
            <w:shd w:val="clear" w:color="auto" w:fill="CFF2FA"/>
          </w:tcPr>
          <w:p>
            <w:pPr>
              <w:jc w:val="right"/>
              <w:ind w:right="21"/>
              <w:spacing w:after="0"/>
              <w:rPr>
                <w:sz w:val="20"/>
                <w:szCs w:val="20"/>
                <w:color w:val="auto"/>
              </w:rPr>
            </w:pPr>
            <w:r>
              <w:rPr>
                <w:rFonts w:ascii="Arial" w:cs="Arial" w:eastAsia="Arial" w:hAnsi="Arial"/>
                <w:sz w:val="20"/>
                <w:szCs w:val="20"/>
                <w:color w:val="auto"/>
              </w:rPr>
              <w:t>$</w:t>
            </w:r>
          </w:p>
        </w:tc>
        <w:tc>
          <w:tcPr>
            <w:tcW w:w="920" w:type="dxa"/>
            <w:vAlign w:val="bottom"/>
            <w:shd w:val="clear" w:color="auto" w:fill="CFF2FA"/>
          </w:tcPr>
          <w:p>
            <w:pPr>
              <w:jc w:val="right"/>
              <w:spacing w:after="0"/>
              <w:rPr>
                <w:sz w:val="20"/>
                <w:szCs w:val="20"/>
                <w:color w:val="auto"/>
              </w:rPr>
            </w:pPr>
            <w:r>
              <w:rPr>
                <w:rFonts w:ascii="Arial" w:cs="Arial" w:eastAsia="Arial" w:hAnsi="Arial"/>
                <w:sz w:val="20"/>
                <w:szCs w:val="20"/>
                <w:color w:val="auto"/>
              </w:rPr>
              <w:t>115,956</w:t>
            </w:r>
          </w:p>
        </w:tc>
        <w:tc>
          <w:tcPr>
            <w:tcW w:w="180" w:type="dxa"/>
            <w:vAlign w:val="bottom"/>
            <w:shd w:val="clear" w:color="auto" w:fill="CFF2FA"/>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20" w:type="dxa"/>
            <w:vAlign w:val="bottom"/>
            <w:shd w:val="clear" w:color="auto" w:fill="CFF2FA"/>
          </w:tcPr>
          <w:p>
            <w:pPr>
              <w:jc w:val="right"/>
              <w:ind w:right="21"/>
              <w:spacing w:after="0"/>
              <w:rPr>
                <w:sz w:val="20"/>
                <w:szCs w:val="20"/>
                <w:color w:val="auto"/>
              </w:rPr>
            </w:pPr>
            <w:r>
              <w:rPr>
                <w:rFonts w:ascii="Arial" w:cs="Arial" w:eastAsia="Arial" w:hAnsi="Arial"/>
                <w:sz w:val="20"/>
                <w:szCs w:val="20"/>
                <w:color w:val="auto"/>
                <w:w w:val="71"/>
              </w:rPr>
              <w:t>$</w:t>
            </w:r>
          </w:p>
        </w:tc>
        <w:tc>
          <w:tcPr>
            <w:tcW w:w="920" w:type="dxa"/>
            <w:vAlign w:val="bottom"/>
            <w:shd w:val="clear" w:color="auto" w:fill="CFF2FA"/>
          </w:tcPr>
          <w:p>
            <w:pPr>
              <w:jc w:val="right"/>
              <w:spacing w:after="0"/>
              <w:rPr>
                <w:sz w:val="20"/>
                <w:szCs w:val="20"/>
                <w:color w:val="auto"/>
              </w:rPr>
            </w:pPr>
            <w:r>
              <w:rPr>
                <w:rFonts w:ascii="Arial" w:cs="Arial" w:eastAsia="Arial" w:hAnsi="Arial"/>
                <w:sz w:val="20"/>
                <w:szCs w:val="20"/>
                <w:color w:val="auto"/>
              </w:rPr>
              <w:t>342,052</w:t>
            </w:r>
          </w:p>
        </w:tc>
        <w:tc>
          <w:tcPr>
            <w:tcW w:w="300" w:type="dxa"/>
            <w:vAlign w:val="bottom"/>
            <w:shd w:val="clear" w:color="auto" w:fill="CFF2FA"/>
          </w:tcPr>
          <w:p>
            <w:pPr>
              <w:spacing w:after="0"/>
              <w:rPr>
                <w:sz w:val="21"/>
                <w:szCs w:val="21"/>
                <w:color w:val="auto"/>
              </w:rPr>
            </w:pPr>
          </w:p>
        </w:tc>
        <w:tc>
          <w:tcPr>
            <w:tcW w:w="220" w:type="dxa"/>
            <w:vAlign w:val="bottom"/>
            <w:shd w:val="clear" w:color="auto" w:fill="CFF2FA"/>
          </w:tcPr>
          <w:p>
            <w:pPr>
              <w:jc w:val="right"/>
              <w:ind w:right="21"/>
              <w:spacing w:after="0"/>
              <w:rPr>
                <w:sz w:val="20"/>
                <w:szCs w:val="20"/>
                <w:color w:val="auto"/>
              </w:rPr>
            </w:pPr>
            <w:r>
              <w:rPr>
                <w:rFonts w:ascii="Arial" w:cs="Arial" w:eastAsia="Arial" w:hAnsi="Arial"/>
                <w:sz w:val="20"/>
                <w:szCs w:val="20"/>
                <w:color w:val="auto"/>
                <w:w w:val="71"/>
              </w:rPr>
              <w:t>$</w:t>
            </w:r>
          </w:p>
        </w:tc>
        <w:tc>
          <w:tcPr>
            <w:tcW w:w="940" w:type="dxa"/>
            <w:vAlign w:val="bottom"/>
            <w:shd w:val="clear" w:color="auto" w:fill="CFF2FA"/>
          </w:tcPr>
          <w:p>
            <w:pPr>
              <w:jc w:val="right"/>
              <w:spacing w:after="0"/>
              <w:rPr>
                <w:sz w:val="20"/>
                <w:szCs w:val="20"/>
                <w:color w:val="auto"/>
              </w:rPr>
            </w:pPr>
            <w:r>
              <w:rPr>
                <w:rFonts w:ascii="Arial" w:cs="Arial" w:eastAsia="Arial" w:hAnsi="Arial"/>
                <w:sz w:val="20"/>
                <w:szCs w:val="20"/>
                <w:color w:val="auto"/>
              </w:rPr>
              <w:t>196,300</w:t>
            </w:r>
          </w:p>
        </w:tc>
        <w:tc>
          <w:tcPr>
            <w:tcW w:w="180" w:type="dxa"/>
            <w:vAlign w:val="bottom"/>
            <w:shd w:val="clear" w:color="auto" w:fill="CFF2FA"/>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shd w:val="clear" w:color="auto" w:fill="CFF2FA"/>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2FA"/>
          </w:tcPr>
          <w:p>
            <w:pPr>
              <w:spacing w:after="0" w:line="20" w:lineRule="exact"/>
              <w:rPr>
                <w:sz w:val="1"/>
                <w:szCs w:val="1"/>
                <w:color w:val="auto"/>
              </w:rPr>
            </w:pPr>
          </w:p>
        </w:tc>
        <w:tc>
          <w:tcPr>
            <w:tcW w:w="80" w:type="dxa"/>
            <w:vAlign w:val="bottom"/>
            <w:shd w:val="clear" w:color="auto" w:fill="CFF2FA"/>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shd w:val="clear" w:color="auto" w:fill="CFF2FA"/>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00" w:type="dxa"/>
            <w:vAlign w:val="bottom"/>
            <w:shd w:val="clear" w:color="auto" w:fill="CFF2FA"/>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shd w:val="clear" w:color="auto" w:fill="CFF2FA"/>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740" w:type="dxa"/>
            <w:vAlign w:val="bottom"/>
            <w:gridSpan w:val="2"/>
            <w:vMerge w:val="restart"/>
          </w:tcPr>
          <w:p>
            <w:pPr>
              <w:spacing w:after="0"/>
              <w:rPr>
                <w:sz w:val="20"/>
                <w:szCs w:val="20"/>
                <w:color w:val="auto"/>
              </w:rPr>
            </w:pPr>
            <w:r>
              <w:rPr>
                <w:rFonts w:ascii="Arial" w:cs="Arial" w:eastAsia="Arial" w:hAnsi="Arial"/>
                <w:sz w:val="20"/>
                <w:szCs w:val="20"/>
                <w:color w:val="auto"/>
              </w:rPr>
              <w:t>Total revenues</w:t>
            </w: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740" w:type="dxa"/>
            <w:vAlign w:val="bottom"/>
            <w:gridSpan w:val="2"/>
            <w:vMerge w:val="continue"/>
          </w:tcPr>
          <w:p>
            <w:pPr>
              <w:spacing w:after="0"/>
              <w:rPr>
                <w:sz w:val="21"/>
                <w:szCs w:val="21"/>
                <w:color w:val="auto"/>
              </w:rPr>
            </w:pPr>
          </w:p>
        </w:tc>
        <w:tc>
          <w:tcPr>
            <w:tcW w:w="260" w:type="dxa"/>
            <w:vAlign w:val="bottom"/>
            <w:tcBorders>
              <w:top w:val="single" w:sz="8" w:color="auto"/>
              <w:bottom w:val="single" w:sz="8" w:color="auto"/>
            </w:tcBorders>
          </w:tcPr>
          <w:p>
            <w:pPr>
              <w:jc w:val="right"/>
              <w:ind w:right="61"/>
              <w:spacing w:after="0" w:line="224" w:lineRule="exact"/>
              <w:rPr>
                <w:sz w:val="20"/>
                <w:szCs w:val="20"/>
                <w:color w:val="auto"/>
              </w:rPr>
            </w:pPr>
            <w:r>
              <w:rPr>
                <w:rFonts w:ascii="Arial" w:cs="Arial" w:eastAsia="Arial" w:hAnsi="Arial"/>
                <w:sz w:val="20"/>
                <w:szCs w:val="20"/>
                <w:color w:val="auto"/>
                <w:w w:val="71"/>
              </w:rPr>
              <w:t>$</w:t>
            </w:r>
          </w:p>
        </w:tc>
        <w:tc>
          <w:tcPr>
            <w:tcW w:w="900" w:type="dxa"/>
            <w:vAlign w:val="bottom"/>
            <w:tcBorders>
              <w:top w:val="single" w:sz="8" w:color="auto"/>
              <w:bottom w:val="single" w:sz="8" w:color="auto"/>
            </w:tcBorders>
          </w:tcPr>
          <w:p>
            <w:pPr>
              <w:jc w:val="right"/>
              <w:spacing w:after="0" w:line="224" w:lineRule="exact"/>
              <w:rPr>
                <w:sz w:val="20"/>
                <w:szCs w:val="20"/>
                <w:color w:val="auto"/>
              </w:rPr>
            </w:pPr>
            <w:r>
              <w:rPr>
                <w:rFonts w:ascii="Arial" w:cs="Arial" w:eastAsia="Arial" w:hAnsi="Arial"/>
                <w:sz w:val="20"/>
                <w:szCs w:val="20"/>
                <w:color w:val="auto"/>
                <w:w w:val="96"/>
              </w:rPr>
              <w:t>1,082,249</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21"/>
              <w:spacing w:after="0" w:line="224" w:lineRule="exact"/>
              <w:rPr>
                <w:sz w:val="20"/>
                <w:szCs w:val="20"/>
                <w:color w:val="auto"/>
              </w:rPr>
            </w:pPr>
            <w:r>
              <w:rPr>
                <w:rFonts w:ascii="Arial" w:cs="Arial" w:eastAsia="Arial" w:hAnsi="Arial"/>
                <w:sz w:val="20"/>
                <w:szCs w:val="20"/>
                <w:color w:val="auto"/>
                <w:w w:val="71"/>
              </w:rPr>
              <w:t>$</w:t>
            </w:r>
          </w:p>
        </w:tc>
        <w:tc>
          <w:tcPr>
            <w:tcW w:w="920" w:type="dxa"/>
            <w:vAlign w:val="bottom"/>
            <w:tcBorders>
              <w:top w:val="single" w:sz="8" w:color="auto"/>
              <w:bottom w:val="single" w:sz="8" w:color="auto"/>
            </w:tcBorders>
          </w:tcPr>
          <w:p>
            <w:pPr>
              <w:jc w:val="right"/>
              <w:spacing w:after="0" w:line="224" w:lineRule="exact"/>
              <w:rPr>
                <w:sz w:val="20"/>
                <w:szCs w:val="20"/>
                <w:color w:val="auto"/>
              </w:rPr>
            </w:pPr>
            <w:r>
              <w:rPr>
                <w:rFonts w:ascii="Arial" w:cs="Arial" w:eastAsia="Arial" w:hAnsi="Arial"/>
                <w:sz w:val="20"/>
                <w:szCs w:val="20"/>
                <w:color w:val="auto"/>
                <w:w w:val="98"/>
              </w:rPr>
              <w:t>1,003,723</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21"/>
              <w:spacing w:after="0" w:line="224" w:lineRule="exact"/>
              <w:rPr>
                <w:sz w:val="20"/>
                <w:szCs w:val="20"/>
                <w:color w:val="auto"/>
              </w:rPr>
            </w:pPr>
            <w:r>
              <w:rPr>
                <w:rFonts w:ascii="Arial" w:cs="Arial" w:eastAsia="Arial" w:hAnsi="Arial"/>
                <w:sz w:val="20"/>
                <w:szCs w:val="20"/>
                <w:color w:val="auto"/>
                <w:w w:val="71"/>
              </w:rPr>
              <w:t>$</w:t>
            </w:r>
          </w:p>
        </w:tc>
        <w:tc>
          <w:tcPr>
            <w:tcW w:w="920" w:type="dxa"/>
            <w:vAlign w:val="bottom"/>
            <w:tcBorders>
              <w:top w:val="single" w:sz="8" w:color="auto"/>
              <w:bottom w:val="single" w:sz="8" w:color="auto"/>
            </w:tcBorders>
          </w:tcPr>
          <w:p>
            <w:pPr>
              <w:jc w:val="right"/>
              <w:spacing w:after="0" w:line="224" w:lineRule="exact"/>
              <w:rPr>
                <w:sz w:val="20"/>
                <w:szCs w:val="20"/>
                <w:color w:val="auto"/>
              </w:rPr>
            </w:pPr>
            <w:r>
              <w:rPr>
                <w:rFonts w:ascii="Arial" w:cs="Arial" w:eastAsia="Arial" w:hAnsi="Arial"/>
                <w:sz w:val="20"/>
                <w:szCs w:val="20"/>
                <w:color w:val="auto"/>
              </w:rPr>
              <w:t>2,695,014</w:t>
            </w:r>
          </w:p>
        </w:tc>
        <w:tc>
          <w:tcPr>
            <w:tcW w:w="3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21"/>
              <w:spacing w:after="0" w:line="224" w:lineRule="exact"/>
              <w:rPr>
                <w:sz w:val="20"/>
                <w:szCs w:val="20"/>
                <w:color w:val="auto"/>
              </w:rPr>
            </w:pPr>
            <w:r>
              <w:rPr>
                <w:rFonts w:ascii="Arial" w:cs="Arial" w:eastAsia="Arial" w:hAnsi="Arial"/>
                <w:sz w:val="20"/>
                <w:szCs w:val="20"/>
                <w:color w:val="auto"/>
                <w:w w:val="71"/>
              </w:rPr>
              <w:t>$</w:t>
            </w:r>
          </w:p>
        </w:tc>
        <w:tc>
          <w:tcPr>
            <w:tcW w:w="940" w:type="dxa"/>
            <w:vAlign w:val="bottom"/>
            <w:tcBorders>
              <w:top w:val="single" w:sz="8" w:color="auto"/>
              <w:bottom w:val="single" w:sz="8" w:color="auto"/>
            </w:tcBorders>
          </w:tcPr>
          <w:p>
            <w:pPr>
              <w:jc w:val="right"/>
              <w:spacing w:after="0" w:line="224" w:lineRule="exact"/>
              <w:rPr>
                <w:sz w:val="20"/>
                <w:szCs w:val="20"/>
                <w:color w:val="auto"/>
              </w:rPr>
            </w:pPr>
            <w:r>
              <w:rPr>
                <w:rFonts w:ascii="Arial" w:cs="Arial" w:eastAsia="Arial" w:hAnsi="Arial"/>
                <w:sz w:val="20"/>
                <w:szCs w:val="20"/>
                <w:color w:val="auto"/>
              </w:rPr>
              <w:t>2,101,578</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tcBorders>
              <w:top w:val="single" w:sz="8" w:color="CFF2FA"/>
            </w:tcBorders>
            <w:vMerge w:val="restart"/>
            <w:shd w:val="clear" w:color="auto" w:fill="CFF2FA"/>
          </w:tcPr>
          <w:p>
            <w:pPr>
              <w:spacing w:after="0"/>
              <w:rPr>
                <w:sz w:val="20"/>
                <w:szCs w:val="20"/>
                <w:color w:val="auto"/>
              </w:rPr>
            </w:pPr>
            <w:r>
              <w:rPr>
                <w:rFonts w:ascii="Arial" w:cs="Arial" w:eastAsia="Arial" w:hAnsi="Arial"/>
                <w:sz w:val="20"/>
                <w:szCs w:val="20"/>
                <w:color w:val="auto"/>
              </w:rPr>
              <w:t>Operating margin</w:t>
            </w:r>
          </w:p>
        </w:tc>
        <w:tc>
          <w:tcPr>
            <w:tcW w:w="260" w:type="dxa"/>
            <w:vAlign w:val="bottom"/>
            <w:tcBorders>
              <w:top w:val="single" w:sz="8" w:color="CFF2FA"/>
            </w:tcBorders>
            <w:shd w:val="clear" w:color="auto" w:fill="000000"/>
          </w:tcPr>
          <w:p>
            <w:pPr>
              <w:spacing w:after="0" w:line="20" w:lineRule="exact"/>
              <w:rPr>
                <w:sz w:val="1"/>
                <w:szCs w:val="1"/>
                <w:color w:val="auto"/>
              </w:rPr>
            </w:pPr>
          </w:p>
        </w:tc>
        <w:tc>
          <w:tcPr>
            <w:tcW w:w="900" w:type="dxa"/>
            <w:vAlign w:val="bottom"/>
            <w:tcBorders>
              <w:top w:val="single" w:sz="8" w:color="CFF2FA"/>
            </w:tcBorders>
            <w:shd w:val="clear" w:color="auto" w:fill="000000"/>
          </w:tcPr>
          <w:p>
            <w:pPr>
              <w:spacing w:after="0" w:line="20" w:lineRule="exact"/>
              <w:rPr>
                <w:sz w:val="1"/>
                <w:szCs w:val="1"/>
                <w:color w:val="auto"/>
              </w:rPr>
            </w:pPr>
          </w:p>
        </w:tc>
        <w:tc>
          <w:tcPr>
            <w:tcW w:w="220" w:type="dxa"/>
            <w:vAlign w:val="bottom"/>
            <w:tcBorders>
              <w:top w:val="single" w:sz="8" w:color="CFF2FA"/>
            </w:tcBorders>
            <w:shd w:val="clear" w:color="auto" w:fill="CFF2FA"/>
          </w:tcPr>
          <w:p>
            <w:pPr>
              <w:spacing w:after="0" w:line="20" w:lineRule="exact"/>
              <w:rPr>
                <w:sz w:val="1"/>
                <w:szCs w:val="1"/>
                <w:color w:val="auto"/>
              </w:rPr>
            </w:pPr>
          </w:p>
        </w:tc>
        <w:tc>
          <w:tcPr>
            <w:tcW w:w="80" w:type="dxa"/>
            <w:vAlign w:val="bottom"/>
            <w:tcBorders>
              <w:top w:val="single" w:sz="8" w:color="CFF2FA"/>
            </w:tcBorders>
            <w:shd w:val="clear" w:color="auto" w:fill="CFF2FA"/>
          </w:tcPr>
          <w:p>
            <w:pPr>
              <w:spacing w:after="0" w:line="20" w:lineRule="exact"/>
              <w:rPr>
                <w:sz w:val="1"/>
                <w:szCs w:val="1"/>
                <w:color w:val="auto"/>
              </w:rPr>
            </w:pPr>
          </w:p>
        </w:tc>
        <w:tc>
          <w:tcPr>
            <w:tcW w:w="220" w:type="dxa"/>
            <w:vAlign w:val="bottom"/>
            <w:tcBorders>
              <w:top w:val="single" w:sz="8" w:color="CFF2FA"/>
            </w:tcBorders>
            <w:shd w:val="clear" w:color="auto" w:fill="000000"/>
          </w:tcPr>
          <w:p>
            <w:pPr>
              <w:spacing w:after="0" w:line="20" w:lineRule="exact"/>
              <w:rPr>
                <w:sz w:val="1"/>
                <w:szCs w:val="1"/>
                <w:color w:val="auto"/>
              </w:rPr>
            </w:pPr>
          </w:p>
        </w:tc>
        <w:tc>
          <w:tcPr>
            <w:tcW w:w="920" w:type="dxa"/>
            <w:vAlign w:val="bottom"/>
            <w:tcBorders>
              <w:top w:val="single" w:sz="8" w:color="CFF2FA"/>
            </w:tcBorders>
            <w:shd w:val="clear" w:color="auto" w:fill="000000"/>
          </w:tcPr>
          <w:p>
            <w:pPr>
              <w:spacing w:after="0" w:line="20" w:lineRule="exact"/>
              <w:rPr>
                <w:sz w:val="1"/>
                <w:szCs w:val="1"/>
                <w:color w:val="auto"/>
              </w:rPr>
            </w:pPr>
          </w:p>
        </w:tc>
        <w:tc>
          <w:tcPr>
            <w:tcW w:w="180" w:type="dxa"/>
            <w:vAlign w:val="bottom"/>
            <w:tcBorders>
              <w:top w:val="single" w:sz="8" w:color="CFF2FA"/>
            </w:tcBorders>
            <w:shd w:val="clear" w:color="auto" w:fill="CFF2FA"/>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2FA"/>
            </w:tcBorders>
            <w:shd w:val="clear" w:color="auto" w:fill="000000"/>
          </w:tcPr>
          <w:p>
            <w:pPr>
              <w:spacing w:after="0" w:line="20" w:lineRule="exact"/>
              <w:rPr>
                <w:sz w:val="1"/>
                <w:szCs w:val="1"/>
                <w:color w:val="auto"/>
              </w:rPr>
            </w:pPr>
          </w:p>
        </w:tc>
        <w:tc>
          <w:tcPr>
            <w:tcW w:w="920" w:type="dxa"/>
            <w:vAlign w:val="bottom"/>
            <w:tcBorders>
              <w:top w:val="single" w:sz="8" w:color="CFF2FA"/>
            </w:tcBorders>
            <w:shd w:val="clear" w:color="auto" w:fill="000000"/>
          </w:tcPr>
          <w:p>
            <w:pPr>
              <w:spacing w:after="0" w:line="20" w:lineRule="exact"/>
              <w:rPr>
                <w:sz w:val="1"/>
                <w:szCs w:val="1"/>
                <w:color w:val="auto"/>
              </w:rPr>
            </w:pPr>
          </w:p>
        </w:tc>
        <w:tc>
          <w:tcPr>
            <w:tcW w:w="300" w:type="dxa"/>
            <w:vAlign w:val="bottom"/>
            <w:tcBorders>
              <w:top w:val="single" w:sz="8" w:color="CFF2FA"/>
            </w:tcBorders>
            <w:shd w:val="clear" w:color="auto" w:fill="CFF2FA"/>
          </w:tcPr>
          <w:p>
            <w:pPr>
              <w:spacing w:after="0" w:line="20" w:lineRule="exact"/>
              <w:rPr>
                <w:sz w:val="1"/>
                <w:szCs w:val="1"/>
                <w:color w:val="auto"/>
              </w:rPr>
            </w:pPr>
          </w:p>
        </w:tc>
        <w:tc>
          <w:tcPr>
            <w:tcW w:w="220" w:type="dxa"/>
            <w:vAlign w:val="bottom"/>
            <w:tcBorders>
              <w:top w:val="single" w:sz="8" w:color="CFF2FA"/>
            </w:tcBorders>
            <w:shd w:val="clear" w:color="auto" w:fill="000000"/>
          </w:tcPr>
          <w:p>
            <w:pPr>
              <w:spacing w:after="0" w:line="20" w:lineRule="exact"/>
              <w:rPr>
                <w:sz w:val="1"/>
                <w:szCs w:val="1"/>
                <w:color w:val="auto"/>
              </w:rPr>
            </w:pPr>
          </w:p>
        </w:tc>
        <w:tc>
          <w:tcPr>
            <w:tcW w:w="940" w:type="dxa"/>
            <w:vAlign w:val="bottom"/>
            <w:tcBorders>
              <w:top w:val="single" w:sz="8" w:color="CFF2FA"/>
            </w:tcBorders>
            <w:shd w:val="clear" w:color="auto" w:fill="000000"/>
          </w:tcPr>
          <w:p>
            <w:pPr>
              <w:spacing w:after="0" w:line="20" w:lineRule="exact"/>
              <w:rPr>
                <w:sz w:val="1"/>
                <w:szCs w:val="1"/>
                <w:color w:val="auto"/>
              </w:rPr>
            </w:pPr>
          </w:p>
        </w:tc>
        <w:tc>
          <w:tcPr>
            <w:tcW w:w="180" w:type="dxa"/>
            <w:vAlign w:val="bottom"/>
            <w:tcBorders>
              <w:top w:val="single" w:sz="8" w:color="CFF2FA"/>
            </w:tcBorders>
            <w:shd w:val="clear" w:color="auto" w:fill="CFF2FA"/>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5720" w:type="dxa"/>
            <w:vAlign w:val="bottom"/>
            <w:vMerge w:val="continue"/>
            <w:shd w:val="clear" w:color="auto" w:fill="CFF2FA"/>
          </w:tcPr>
          <w:p>
            <w:pPr>
              <w:spacing w:after="0"/>
              <w:rPr>
                <w:sz w:val="19"/>
                <w:szCs w:val="19"/>
                <w:color w:val="auto"/>
              </w:rPr>
            </w:pPr>
          </w:p>
        </w:tc>
        <w:tc>
          <w:tcPr>
            <w:tcW w:w="260" w:type="dxa"/>
            <w:vAlign w:val="bottom"/>
            <w:shd w:val="clear" w:color="auto" w:fill="CFF2FA"/>
          </w:tcPr>
          <w:p>
            <w:pPr>
              <w:spacing w:after="0"/>
              <w:rPr>
                <w:sz w:val="19"/>
                <w:szCs w:val="19"/>
                <w:color w:val="auto"/>
              </w:rPr>
            </w:pPr>
          </w:p>
        </w:tc>
        <w:tc>
          <w:tcPr>
            <w:tcW w:w="1120" w:type="dxa"/>
            <w:vAlign w:val="bottom"/>
            <w:gridSpan w:val="2"/>
            <w:shd w:val="clear" w:color="auto" w:fill="CFF2FA"/>
          </w:tcPr>
          <w:p>
            <w:pPr>
              <w:jc w:val="right"/>
              <w:ind w:right="60"/>
              <w:spacing w:after="0" w:line="224" w:lineRule="exact"/>
              <w:rPr>
                <w:sz w:val="20"/>
                <w:szCs w:val="20"/>
                <w:color w:val="auto"/>
              </w:rPr>
            </w:pPr>
            <w:r>
              <w:rPr>
                <w:rFonts w:ascii="Arial" w:cs="Arial" w:eastAsia="Arial" w:hAnsi="Arial"/>
                <w:sz w:val="20"/>
                <w:szCs w:val="20"/>
                <w:color w:val="auto"/>
              </w:rPr>
              <w:t>16.6%</w:t>
            </w:r>
          </w:p>
        </w:tc>
        <w:tc>
          <w:tcPr>
            <w:tcW w:w="80" w:type="dxa"/>
            <w:vAlign w:val="bottom"/>
            <w:shd w:val="clear" w:color="auto" w:fill="CFF2FA"/>
          </w:tcPr>
          <w:p>
            <w:pPr>
              <w:spacing w:after="0"/>
              <w:rPr>
                <w:sz w:val="19"/>
                <w:szCs w:val="19"/>
                <w:color w:val="auto"/>
              </w:rPr>
            </w:pPr>
          </w:p>
        </w:tc>
        <w:tc>
          <w:tcPr>
            <w:tcW w:w="220" w:type="dxa"/>
            <w:vAlign w:val="bottom"/>
            <w:shd w:val="clear" w:color="auto" w:fill="CFF2FA"/>
          </w:tcPr>
          <w:p>
            <w:pPr>
              <w:spacing w:after="0"/>
              <w:rPr>
                <w:sz w:val="19"/>
                <w:szCs w:val="19"/>
                <w:color w:val="auto"/>
              </w:rPr>
            </w:pPr>
          </w:p>
        </w:tc>
        <w:tc>
          <w:tcPr>
            <w:tcW w:w="1100" w:type="dxa"/>
            <w:vAlign w:val="bottom"/>
            <w:gridSpan w:val="2"/>
            <w:shd w:val="clear" w:color="auto" w:fill="CFF2FA"/>
          </w:tcPr>
          <w:p>
            <w:pPr>
              <w:jc w:val="right"/>
              <w:ind w:right="20"/>
              <w:spacing w:after="0" w:line="224" w:lineRule="exact"/>
              <w:rPr>
                <w:sz w:val="20"/>
                <w:szCs w:val="20"/>
                <w:color w:val="auto"/>
              </w:rPr>
            </w:pPr>
            <w:r>
              <w:rPr>
                <w:rFonts w:ascii="Arial" w:cs="Arial" w:eastAsia="Arial" w:hAnsi="Arial"/>
                <w:sz w:val="20"/>
                <w:szCs w:val="20"/>
                <w:color w:val="auto"/>
              </w:rPr>
              <w:t>11.6%</w:t>
            </w:r>
          </w:p>
        </w:tc>
        <w:tc>
          <w:tcPr>
            <w:tcW w:w="120" w:type="dxa"/>
            <w:vAlign w:val="bottom"/>
            <w:shd w:val="clear" w:color="auto" w:fill="CFF0FC"/>
          </w:tcPr>
          <w:p>
            <w:pPr>
              <w:spacing w:after="0"/>
              <w:rPr>
                <w:sz w:val="19"/>
                <w:szCs w:val="19"/>
                <w:color w:val="auto"/>
              </w:rPr>
            </w:pPr>
          </w:p>
        </w:tc>
        <w:tc>
          <w:tcPr>
            <w:tcW w:w="220" w:type="dxa"/>
            <w:vAlign w:val="bottom"/>
            <w:shd w:val="clear" w:color="auto" w:fill="CFF2FA"/>
          </w:tcPr>
          <w:p>
            <w:pPr>
              <w:spacing w:after="0"/>
              <w:rPr>
                <w:sz w:val="19"/>
                <w:szCs w:val="19"/>
                <w:color w:val="auto"/>
              </w:rPr>
            </w:pPr>
          </w:p>
        </w:tc>
        <w:tc>
          <w:tcPr>
            <w:tcW w:w="1220" w:type="dxa"/>
            <w:vAlign w:val="bottom"/>
            <w:gridSpan w:val="2"/>
            <w:shd w:val="clear" w:color="auto" w:fill="CFF2FA"/>
          </w:tcPr>
          <w:p>
            <w:pPr>
              <w:jc w:val="right"/>
              <w:ind w:right="120"/>
              <w:spacing w:after="0" w:line="224" w:lineRule="exact"/>
              <w:rPr>
                <w:sz w:val="20"/>
                <w:szCs w:val="20"/>
                <w:color w:val="auto"/>
              </w:rPr>
            </w:pPr>
            <w:r>
              <w:rPr>
                <w:rFonts w:ascii="Arial" w:cs="Arial" w:eastAsia="Arial" w:hAnsi="Arial"/>
                <w:sz w:val="20"/>
                <w:szCs w:val="20"/>
                <w:color w:val="auto"/>
              </w:rPr>
              <w:t>12.7%</w:t>
            </w:r>
          </w:p>
        </w:tc>
        <w:tc>
          <w:tcPr>
            <w:tcW w:w="220" w:type="dxa"/>
            <w:vAlign w:val="bottom"/>
            <w:shd w:val="clear" w:color="auto" w:fill="CFF2FA"/>
          </w:tcPr>
          <w:p>
            <w:pPr>
              <w:spacing w:after="0"/>
              <w:rPr>
                <w:sz w:val="19"/>
                <w:szCs w:val="19"/>
                <w:color w:val="auto"/>
              </w:rPr>
            </w:pPr>
          </w:p>
        </w:tc>
        <w:tc>
          <w:tcPr>
            <w:tcW w:w="1120" w:type="dxa"/>
            <w:vAlign w:val="bottom"/>
            <w:gridSpan w:val="2"/>
            <w:shd w:val="clear" w:color="auto" w:fill="CFF2FA"/>
          </w:tcPr>
          <w:p>
            <w:pPr>
              <w:jc w:val="right"/>
              <w:ind w:right="20"/>
              <w:spacing w:after="0" w:line="224" w:lineRule="exact"/>
              <w:rPr>
                <w:sz w:val="20"/>
                <w:szCs w:val="20"/>
                <w:color w:val="auto"/>
              </w:rPr>
            </w:pPr>
            <w:r>
              <w:rPr>
                <w:rFonts w:ascii="Arial" w:cs="Arial" w:eastAsia="Arial" w:hAnsi="Arial"/>
                <w:sz w:val="20"/>
                <w:szCs w:val="20"/>
                <w:color w:val="auto"/>
              </w:rPr>
              <w:t>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tcBorders>
              <w:top w:val="single" w:sz="8" w:color="CFF2FA"/>
            </w:tcBorders>
          </w:tcPr>
          <w:p>
            <w:pPr>
              <w:spacing w:after="0" w:line="20" w:lineRule="exact"/>
              <w:rPr>
                <w:sz w:val="1"/>
                <w:szCs w:val="1"/>
                <w:color w:val="auto"/>
              </w:rPr>
            </w:pPr>
          </w:p>
        </w:tc>
        <w:tc>
          <w:tcPr>
            <w:tcW w:w="116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CFF2FA"/>
            </w:tcBorders>
          </w:tcPr>
          <w:p>
            <w:pPr>
              <w:spacing w:after="0" w:line="20" w:lineRule="exact"/>
              <w:rPr>
                <w:sz w:val="1"/>
                <w:szCs w:val="1"/>
                <w:color w:val="auto"/>
              </w:rPr>
            </w:pPr>
          </w:p>
        </w:tc>
        <w:tc>
          <w:tcPr>
            <w:tcW w:w="80" w:type="dxa"/>
            <w:vAlign w:val="bottom"/>
            <w:tcBorders>
              <w:top w:val="single" w:sz="8" w:color="CFF2FA"/>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2FA"/>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2FA"/>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2FA"/>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8"/>
        </w:trPr>
        <w:tc>
          <w:tcPr>
            <w:tcW w:w="7120" w:type="dxa"/>
            <w:vAlign w:val="bottom"/>
            <w:gridSpan w:val="5"/>
          </w:tcPr>
          <w:p>
            <w:pPr>
              <w:spacing w:after="0"/>
              <w:rPr>
                <w:sz w:val="20"/>
                <w:szCs w:val="20"/>
                <w:color w:val="auto"/>
              </w:rPr>
            </w:pPr>
            <w:r>
              <w:rPr>
                <w:rFonts w:ascii="Arial" w:cs="Arial" w:eastAsia="Arial" w:hAnsi="Arial"/>
                <w:sz w:val="20"/>
                <w:szCs w:val="20"/>
                <w:b w:val="1"/>
                <w:bCs w:val="1"/>
                <w:color w:val="auto"/>
              </w:rPr>
              <w:t>Consolidated Operating Margin Excluding Freight and Delivery Revenues</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5"/>
        </w:trPr>
        <w:tc>
          <w:tcPr>
            <w:tcW w:w="20" w:type="dxa"/>
            <w:vAlign w:val="bottom"/>
          </w:tcPr>
          <w:p>
            <w:pPr>
              <w:spacing w:after="0"/>
              <w:rPr>
                <w:sz w:val="24"/>
                <w:szCs w:val="24"/>
                <w:color w:val="auto"/>
              </w:rPr>
            </w:pPr>
          </w:p>
        </w:tc>
        <w:tc>
          <w:tcPr>
            <w:tcW w:w="5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520" w:type="dxa"/>
            <w:vAlign w:val="bottom"/>
            <w:gridSpan w:val="6"/>
          </w:tcPr>
          <w:p>
            <w:pPr>
              <w:jc w:val="center"/>
              <w:ind w:right="440"/>
              <w:spacing w:after="0"/>
              <w:rPr>
                <w:sz w:val="20"/>
                <w:szCs w:val="20"/>
                <w:color w:val="auto"/>
              </w:rPr>
            </w:pPr>
            <w:r>
              <w:rPr>
                <w:rFonts w:ascii="Arial" w:cs="Arial" w:eastAsia="Arial" w:hAnsi="Arial"/>
                <w:sz w:val="20"/>
                <w:szCs w:val="20"/>
                <w:color w:val="auto"/>
                <w:w w:val="89"/>
              </w:rPr>
              <w:t>Three Months Ended</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60" w:type="dxa"/>
            <w:vAlign w:val="bottom"/>
            <w:gridSpan w:val="5"/>
          </w:tcPr>
          <w:p>
            <w:pPr>
              <w:jc w:val="center"/>
              <w:ind w:right="420"/>
              <w:spacing w:after="0"/>
              <w:rPr>
                <w:sz w:val="20"/>
                <w:szCs w:val="20"/>
                <w:color w:val="auto"/>
              </w:rPr>
            </w:pPr>
            <w:r>
              <w:rPr>
                <w:rFonts w:ascii="Arial" w:cs="Arial" w:eastAsia="Arial" w:hAnsi="Arial"/>
                <w:sz w:val="20"/>
                <w:szCs w:val="20"/>
                <w:color w:val="auto"/>
                <w:w w:val="89"/>
              </w:rPr>
              <w:t>Nine Months Ended</w:t>
            </w: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57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520" w:type="dxa"/>
            <w:vAlign w:val="bottom"/>
            <w:gridSpan w:val="6"/>
          </w:tcPr>
          <w:p>
            <w:pPr>
              <w:jc w:val="center"/>
              <w:ind w:right="460"/>
              <w:spacing w:after="0"/>
              <w:rPr>
                <w:sz w:val="20"/>
                <w:szCs w:val="20"/>
                <w:color w:val="auto"/>
              </w:rPr>
            </w:pPr>
            <w:r>
              <w:rPr>
                <w:rFonts w:ascii="Arial" w:cs="Arial" w:eastAsia="Arial" w:hAnsi="Arial"/>
                <w:sz w:val="20"/>
                <w:szCs w:val="20"/>
                <w:color w:val="auto"/>
                <w:w w:val="86"/>
              </w:rPr>
              <w:t>September 30,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560" w:type="dxa"/>
            <w:vAlign w:val="bottom"/>
            <w:gridSpan w:val="5"/>
          </w:tcPr>
          <w:p>
            <w:pPr>
              <w:jc w:val="center"/>
              <w:ind w:right="420"/>
              <w:spacing w:after="0"/>
              <w:rPr>
                <w:sz w:val="20"/>
                <w:szCs w:val="20"/>
                <w:color w:val="auto"/>
              </w:rPr>
            </w:pPr>
            <w:r>
              <w:rPr>
                <w:rFonts w:ascii="Arial" w:cs="Arial" w:eastAsia="Arial" w:hAnsi="Arial"/>
                <w:sz w:val="20"/>
                <w:szCs w:val="20"/>
                <w:color w:val="auto"/>
                <w:w w:val="86"/>
              </w:rPr>
              <w:t>September 30,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72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81"/>
              <w:spacing w:after="0"/>
              <w:rPr>
                <w:sz w:val="20"/>
                <w:szCs w:val="20"/>
                <w:color w:val="auto"/>
              </w:rPr>
            </w:pPr>
            <w:r>
              <w:rPr>
                <w:rFonts w:ascii="Arial" w:cs="Arial" w:eastAsia="Arial" w:hAnsi="Arial"/>
                <w:sz w:val="20"/>
                <w:szCs w:val="20"/>
                <w:color w:val="auto"/>
              </w:rPr>
              <w:t>2015</w:t>
            </w:r>
          </w:p>
        </w:tc>
        <w:tc>
          <w:tcPr>
            <w:tcW w:w="220" w:type="dxa"/>
            <w:vAlign w:val="bottom"/>
            <w:tcBorders>
              <w:top w:val="single" w:sz="8" w:color="auto"/>
              <w:bottom w:val="single" w:sz="8" w:color="auto"/>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20"/>
                <w:szCs w:val="20"/>
                <w:color w:val="auto"/>
              </w:rPr>
              <w:t>2014</w:t>
            </w:r>
          </w:p>
        </w:tc>
        <w:tc>
          <w:tcPr>
            <w:tcW w:w="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81"/>
              <w:spacing w:after="0"/>
              <w:rPr>
                <w:sz w:val="20"/>
                <w:szCs w:val="20"/>
                <w:color w:val="auto"/>
              </w:rPr>
            </w:pPr>
            <w:r>
              <w:rPr>
                <w:rFonts w:ascii="Arial" w:cs="Arial" w:eastAsia="Arial" w:hAnsi="Arial"/>
                <w:sz w:val="20"/>
                <w:szCs w:val="20"/>
                <w:color w:val="auto"/>
              </w:rPr>
              <w:t>2015</w:t>
            </w:r>
          </w:p>
        </w:tc>
        <w:tc>
          <w:tcPr>
            <w:tcW w:w="300" w:type="dxa"/>
            <w:vAlign w:val="bottom"/>
            <w:tcBorders>
              <w:top w:val="single" w:sz="8" w:color="auto"/>
              <w:bottom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301"/>
              <w:spacing w:after="0"/>
              <w:rPr>
                <w:sz w:val="20"/>
                <w:szCs w:val="20"/>
                <w:color w:val="auto"/>
              </w:rPr>
            </w:pPr>
            <w:r>
              <w:rPr>
                <w:rFonts w:ascii="Arial" w:cs="Arial" w:eastAsia="Arial" w:hAnsi="Arial"/>
                <w:sz w:val="20"/>
                <w:szCs w:val="20"/>
                <w:color w:val="auto"/>
              </w:rPr>
              <w:t>2014</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5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720" w:type="dxa"/>
            <w:vAlign w:val="bottom"/>
            <w:shd w:val="clear" w:color="auto" w:fill="CFF2FA"/>
          </w:tcPr>
          <w:p>
            <w:pPr>
              <w:spacing w:after="0"/>
              <w:rPr>
                <w:sz w:val="20"/>
                <w:szCs w:val="20"/>
                <w:color w:val="auto"/>
              </w:rPr>
            </w:pPr>
            <w:r>
              <w:rPr>
                <w:rFonts w:ascii="Arial" w:cs="Arial" w:eastAsia="Arial" w:hAnsi="Arial"/>
                <w:sz w:val="20"/>
                <w:szCs w:val="20"/>
                <w:color w:val="auto"/>
              </w:rPr>
              <w:t>Earnings from operations</w:t>
            </w:r>
          </w:p>
        </w:tc>
        <w:tc>
          <w:tcPr>
            <w:tcW w:w="260" w:type="dxa"/>
            <w:vAlign w:val="bottom"/>
            <w:shd w:val="clear" w:color="auto" w:fill="CFF2FA"/>
          </w:tcPr>
          <w:p>
            <w:pPr>
              <w:jc w:val="right"/>
              <w:ind w:right="61"/>
              <w:spacing w:after="0"/>
              <w:rPr>
                <w:sz w:val="20"/>
                <w:szCs w:val="20"/>
                <w:color w:val="auto"/>
              </w:rPr>
            </w:pPr>
            <w:r>
              <w:rPr>
                <w:rFonts w:ascii="Arial" w:cs="Arial" w:eastAsia="Arial" w:hAnsi="Arial"/>
                <w:sz w:val="20"/>
                <w:szCs w:val="20"/>
                <w:color w:val="auto"/>
                <w:w w:val="71"/>
              </w:rPr>
              <w:t>$</w:t>
            </w:r>
          </w:p>
        </w:tc>
        <w:tc>
          <w:tcPr>
            <w:tcW w:w="900" w:type="dxa"/>
            <w:vAlign w:val="bottom"/>
            <w:shd w:val="clear" w:color="auto" w:fill="CFF2FA"/>
          </w:tcPr>
          <w:p>
            <w:pPr>
              <w:jc w:val="right"/>
              <w:spacing w:after="0"/>
              <w:rPr>
                <w:sz w:val="20"/>
                <w:szCs w:val="20"/>
                <w:color w:val="auto"/>
              </w:rPr>
            </w:pPr>
            <w:r>
              <w:rPr>
                <w:rFonts w:ascii="Arial" w:cs="Arial" w:eastAsia="Arial" w:hAnsi="Arial"/>
                <w:sz w:val="20"/>
                <w:szCs w:val="20"/>
                <w:color w:val="auto"/>
              </w:rPr>
              <w:t>179,498</w:t>
            </w:r>
          </w:p>
        </w:tc>
        <w:tc>
          <w:tcPr>
            <w:tcW w:w="220" w:type="dxa"/>
            <w:vAlign w:val="bottom"/>
            <w:shd w:val="clear" w:color="auto" w:fill="CFF2FA"/>
          </w:tcPr>
          <w:p>
            <w:pPr>
              <w:spacing w:after="0"/>
              <w:rPr>
                <w:sz w:val="21"/>
                <w:szCs w:val="21"/>
                <w:color w:val="auto"/>
              </w:rPr>
            </w:pPr>
          </w:p>
        </w:tc>
        <w:tc>
          <w:tcPr>
            <w:tcW w:w="300" w:type="dxa"/>
            <w:vAlign w:val="bottom"/>
            <w:gridSpan w:val="2"/>
            <w:shd w:val="clear" w:color="auto" w:fill="CFF2FA"/>
          </w:tcPr>
          <w:p>
            <w:pPr>
              <w:jc w:val="right"/>
              <w:ind w:right="21"/>
              <w:spacing w:after="0"/>
              <w:rPr>
                <w:sz w:val="20"/>
                <w:szCs w:val="20"/>
                <w:color w:val="auto"/>
              </w:rPr>
            </w:pPr>
            <w:r>
              <w:rPr>
                <w:rFonts w:ascii="Arial" w:cs="Arial" w:eastAsia="Arial" w:hAnsi="Arial"/>
                <w:sz w:val="20"/>
                <w:szCs w:val="20"/>
                <w:color w:val="auto"/>
              </w:rPr>
              <w:t>$</w:t>
            </w:r>
          </w:p>
        </w:tc>
        <w:tc>
          <w:tcPr>
            <w:tcW w:w="920" w:type="dxa"/>
            <w:vAlign w:val="bottom"/>
            <w:shd w:val="clear" w:color="auto" w:fill="CFF2FA"/>
          </w:tcPr>
          <w:p>
            <w:pPr>
              <w:jc w:val="right"/>
              <w:spacing w:after="0"/>
              <w:rPr>
                <w:sz w:val="20"/>
                <w:szCs w:val="20"/>
                <w:color w:val="auto"/>
              </w:rPr>
            </w:pPr>
            <w:r>
              <w:rPr>
                <w:rFonts w:ascii="Arial" w:cs="Arial" w:eastAsia="Arial" w:hAnsi="Arial"/>
                <w:sz w:val="20"/>
                <w:szCs w:val="20"/>
                <w:color w:val="auto"/>
              </w:rPr>
              <w:t>115,956</w:t>
            </w:r>
          </w:p>
        </w:tc>
        <w:tc>
          <w:tcPr>
            <w:tcW w:w="180" w:type="dxa"/>
            <w:vAlign w:val="bottom"/>
            <w:shd w:val="clear" w:color="auto" w:fill="CFF2FA"/>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20" w:type="dxa"/>
            <w:vAlign w:val="bottom"/>
            <w:shd w:val="clear" w:color="auto" w:fill="CFF2FA"/>
          </w:tcPr>
          <w:p>
            <w:pPr>
              <w:jc w:val="right"/>
              <w:ind w:right="21"/>
              <w:spacing w:after="0"/>
              <w:rPr>
                <w:sz w:val="20"/>
                <w:szCs w:val="20"/>
                <w:color w:val="auto"/>
              </w:rPr>
            </w:pPr>
            <w:r>
              <w:rPr>
                <w:rFonts w:ascii="Arial" w:cs="Arial" w:eastAsia="Arial" w:hAnsi="Arial"/>
                <w:sz w:val="20"/>
                <w:szCs w:val="20"/>
                <w:color w:val="auto"/>
                <w:w w:val="71"/>
              </w:rPr>
              <w:t>$</w:t>
            </w:r>
          </w:p>
        </w:tc>
        <w:tc>
          <w:tcPr>
            <w:tcW w:w="920" w:type="dxa"/>
            <w:vAlign w:val="bottom"/>
            <w:shd w:val="clear" w:color="auto" w:fill="CFF2FA"/>
          </w:tcPr>
          <w:p>
            <w:pPr>
              <w:jc w:val="right"/>
              <w:spacing w:after="0"/>
              <w:rPr>
                <w:sz w:val="20"/>
                <w:szCs w:val="20"/>
                <w:color w:val="auto"/>
              </w:rPr>
            </w:pPr>
            <w:r>
              <w:rPr>
                <w:rFonts w:ascii="Arial" w:cs="Arial" w:eastAsia="Arial" w:hAnsi="Arial"/>
                <w:sz w:val="20"/>
                <w:szCs w:val="20"/>
                <w:color w:val="auto"/>
              </w:rPr>
              <w:t>342,052</w:t>
            </w:r>
          </w:p>
        </w:tc>
        <w:tc>
          <w:tcPr>
            <w:tcW w:w="300" w:type="dxa"/>
            <w:vAlign w:val="bottom"/>
            <w:shd w:val="clear" w:color="auto" w:fill="CFF2FA"/>
          </w:tcPr>
          <w:p>
            <w:pPr>
              <w:spacing w:after="0"/>
              <w:rPr>
                <w:sz w:val="21"/>
                <w:szCs w:val="21"/>
                <w:color w:val="auto"/>
              </w:rPr>
            </w:pPr>
          </w:p>
        </w:tc>
        <w:tc>
          <w:tcPr>
            <w:tcW w:w="220" w:type="dxa"/>
            <w:vAlign w:val="bottom"/>
            <w:shd w:val="clear" w:color="auto" w:fill="CFF2FA"/>
          </w:tcPr>
          <w:p>
            <w:pPr>
              <w:jc w:val="right"/>
              <w:ind w:right="21"/>
              <w:spacing w:after="0"/>
              <w:rPr>
                <w:sz w:val="20"/>
                <w:szCs w:val="20"/>
                <w:color w:val="auto"/>
              </w:rPr>
            </w:pPr>
            <w:r>
              <w:rPr>
                <w:rFonts w:ascii="Arial" w:cs="Arial" w:eastAsia="Arial" w:hAnsi="Arial"/>
                <w:sz w:val="20"/>
                <w:szCs w:val="20"/>
                <w:color w:val="auto"/>
                <w:w w:val="71"/>
              </w:rPr>
              <w:t>$</w:t>
            </w:r>
          </w:p>
        </w:tc>
        <w:tc>
          <w:tcPr>
            <w:tcW w:w="940" w:type="dxa"/>
            <w:vAlign w:val="bottom"/>
            <w:shd w:val="clear" w:color="auto" w:fill="CFF2FA"/>
          </w:tcPr>
          <w:p>
            <w:pPr>
              <w:jc w:val="right"/>
              <w:spacing w:after="0"/>
              <w:rPr>
                <w:sz w:val="20"/>
                <w:szCs w:val="20"/>
                <w:color w:val="auto"/>
              </w:rPr>
            </w:pPr>
            <w:r>
              <w:rPr>
                <w:rFonts w:ascii="Arial" w:cs="Arial" w:eastAsia="Arial" w:hAnsi="Arial"/>
                <w:sz w:val="20"/>
                <w:szCs w:val="20"/>
                <w:color w:val="auto"/>
              </w:rPr>
              <w:t>196,300</w:t>
            </w:r>
          </w:p>
        </w:tc>
        <w:tc>
          <w:tcPr>
            <w:tcW w:w="180" w:type="dxa"/>
            <w:vAlign w:val="bottom"/>
            <w:shd w:val="clear" w:color="auto" w:fill="CFF2FA"/>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shd w:val="clear" w:color="auto" w:fill="CFF2FA"/>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2FA"/>
          </w:tcPr>
          <w:p>
            <w:pPr>
              <w:spacing w:after="0" w:line="20" w:lineRule="exact"/>
              <w:rPr>
                <w:sz w:val="1"/>
                <w:szCs w:val="1"/>
                <w:color w:val="auto"/>
              </w:rPr>
            </w:pPr>
          </w:p>
        </w:tc>
        <w:tc>
          <w:tcPr>
            <w:tcW w:w="80" w:type="dxa"/>
            <w:vAlign w:val="bottom"/>
            <w:shd w:val="clear" w:color="auto" w:fill="CFF2FA"/>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shd w:val="clear" w:color="auto" w:fill="CFF2FA"/>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00" w:type="dxa"/>
            <w:vAlign w:val="bottom"/>
            <w:shd w:val="clear" w:color="auto" w:fill="CFF2FA"/>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shd w:val="clear" w:color="auto" w:fill="CFF2FA"/>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740" w:type="dxa"/>
            <w:vAlign w:val="bottom"/>
            <w:gridSpan w:val="2"/>
            <w:vMerge w:val="restart"/>
          </w:tcPr>
          <w:p>
            <w:pPr>
              <w:spacing w:after="0"/>
              <w:rPr>
                <w:sz w:val="20"/>
                <w:szCs w:val="20"/>
                <w:color w:val="auto"/>
              </w:rPr>
            </w:pPr>
            <w:r>
              <w:rPr>
                <w:rFonts w:ascii="Arial" w:cs="Arial" w:eastAsia="Arial" w:hAnsi="Arial"/>
                <w:sz w:val="20"/>
                <w:szCs w:val="20"/>
                <w:color w:val="auto"/>
              </w:rPr>
              <w:t>Total revenues</w:t>
            </w: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740" w:type="dxa"/>
            <w:vAlign w:val="bottom"/>
            <w:gridSpan w:val="2"/>
            <w:vMerge w:val="continue"/>
          </w:tcPr>
          <w:p>
            <w:pPr>
              <w:spacing w:after="0"/>
              <w:rPr>
                <w:sz w:val="19"/>
                <w:szCs w:val="19"/>
                <w:color w:val="auto"/>
              </w:rPr>
            </w:pPr>
          </w:p>
        </w:tc>
        <w:tc>
          <w:tcPr>
            <w:tcW w:w="260" w:type="dxa"/>
            <w:vAlign w:val="bottom"/>
            <w:tcBorders>
              <w:top w:val="single" w:sz="8" w:color="auto"/>
            </w:tcBorders>
          </w:tcPr>
          <w:p>
            <w:pPr>
              <w:jc w:val="right"/>
              <w:ind w:right="61"/>
              <w:spacing w:after="0" w:line="224" w:lineRule="exact"/>
              <w:rPr>
                <w:sz w:val="20"/>
                <w:szCs w:val="20"/>
                <w:color w:val="auto"/>
              </w:rPr>
            </w:pPr>
            <w:r>
              <w:rPr>
                <w:rFonts w:ascii="Arial" w:cs="Arial" w:eastAsia="Arial" w:hAnsi="Arial"/>
                <w:sz w:val="20"/>
                <w:szCs w:val="20"/>
                <w:color w:val="auto"/>
                <w:w w:val="71"/>
              </w:rPr>
              <w:t>$</w:t>
            </w:r>
          </w:p>
        </w:tc>
        <w:tc>
          <w:tcPr>
            <w:tcW w:w="900" w:type="dxa"/>
            <w:vAlign w:val="bottom"/>
            <w:tcBorders>
              <w:top w:val="single" w:sz="8" w:color="auto"/>
            </w:tcBorders>
          </w:tcPr>
          <w:p>
            <w:pPr>
              <w:jc w:val="right"/>
              <w:spacing w:after="0" w:line="224" w:lineRule="exact"/>
              <w:rPr>
                <w:sz w:val="20"/>
                <w:szCs w:val="20"/>
                <w:color w:val="auto"/>
              </w:rPr>
            </w:pPr>
            <w:r>
              <w:rPr>
                <w:rFonts w:ascii="Arial" w:cs="Arial" w:eastAsia="Arial" w:hAnsi="Arial"/>
                <w:sz w:val="20"/>
                <w:szCs w:val="20"/>
                <w:color w:val="auto"/>
                <w:w w:val="96"/>
              </w:rPr>
              <w:t>1,082,249</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tcBorders>
          </w:tcPr>
          <w:p>
            <w:pPr>
              <w:jc w:val="right"/>
              <w:ind w:right="21"/>
              <w:spacing w:after="0" w:line="224" w:lineRule="exact"/>
              <w:rPr>
                <w:sz w:val="20"/>
                <w:szCs w:val="20"/>
                <w:color w:val="auto"/>
              </w:rPr>
            </w:pPr>
            <w:r>
              <w:rPr>
                <w:rFonts w:ascii="Arial" w:cs="Arial" w:eastAsia="Arial" w:hAnsi="Arial"/>
                <w:sz w:val="20"/>
                <w:szCs w:val="20"/>
                <w:color w:val="auto"/>
                <w:w w:val="71"/>
              </w:rPr>
              <w:t>$</w:t>
            </w:r>
          </w:p>
        </w:tc>
        <w:tc>
          <w:tcPr>
            <w:tcW w:w="920" w:type="dxa"/>
            <w:vAlign w:val="bottom"/>
            <w:tcBorders>
              <w:top w:val="single" w:sz="8" w:color="auto"/>
            </w:tcBorders>
          </w:tcPr>
          <w:p>
            <w:pPr>
              <w:jc w:val="right"/>
              <w:spacing w:after="0" w:line="224" w:lineRule="exact"/>
              <w:rPr>
                <w:sz w:val="20"/>
                <w:szCs w:val="20"/>
                <w:color w:val="auto"/>
              </w:rPr>
            </w:pPr>
            <w:r>
              <w:rPr>
                <w:rFonts w:ascii="Arial" w:cs="Arial" w:eastAsia="Arial" w:hAnsi="Arial"/>
                <w:sz w:val="20"/>
                <w:szCs w:val="20"/>
                <w:color w:val="auto"/>
                <w:w w:val="98"/>
              </w:rPr>
              <w:t>1,003,723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tcBorders>
          </w:tcPr>
          <w:p>
            <w:pPr>
              <w:jc w:val="right"/>
              <w:ind w:right="21"/>
              <w:spacing w:after="0" w:line="224" w:lineRule="exact"/>
              <w:rPr>
                <w:sz w:val="20"/>
                <w:szCs w:val="20"/>
                <w:color w:val="auto"/>
              </w:rPr>
            </w:pPr>
            <w:r>
              <w:rPr>
                <w:rFonts w:ascii="Arial" w:cs="Arial" w:eastAsia="Arial" w:hAnsi="Arial"/>
                <w:sz w:val="20"/>
                <w:szCs w:val="20"/>
                <w:color w:val="auto"/>
                <w:w w:val="71"/>
              </w:rPr>
              <w:t>$</w:t>
            </w:r>
          </w:p>
        </w:tc>
        <w:tc>
          <w:tcPr>
            <w:tcW w:w="920" w:type="dxa"/>
            <w:vAlign w:val="bottom"/>
            <w:tcBorders>
              <w:top w:val="single" w:sz="8" w:color="auto"/>
            </w:tcBorders>
          </w:tcPr>
          <w:p>
            <w:pPr>
              <w:jc w:val="right"/>
              <w:spacing w:after="0" w:line="224" w:lineRule="exact"/>
              <w:rPr>
                <w:sz w:val="20"/>
                <w:szCs w:val="20"/>
                <w:color w:val="auto"/>
              </w:rPr>
            </w:pPr>
            <w:r>
              <w:rPr>
                <w:rFonts w:ascii="Arial" w:cs="Arial" w:eastAsia="Arial" w:hAnsi="Arial"/>
                <w:sz w:val="20"/>
                <w:szCs w:val="20"/>
                <w:color w:val="auto"/>
              </w:rPr>
              <w:t>2,695,014</w:t>
            </w:r>
          </w:p>
        </w:tc>
        <w:tc>
          <w:tcPr>
            <w:tcW w:w="300" w:type="dxa"/>
            <w:vAlign w:val="bottom"/>
          </w:tcPr>
          <w:p>
            <w:pPr>
              <w:spacing w:after="0"/>
              <w:rPr>
                <w:sz w:val="19"/>
                <w:szCs w:val="19"/>
                <w:color w:val="auto"/>
              </w:rPr>
            </w:pPr>
          </w:p>
        </w:tc>
        <w:tc>
          <w:tcPr>
            <w:tcW w:w="220" w:type="dxa"/>
            <w:vAlign w:val="bottom"/>
            <w:tcBorders>
              <w:top w:val="single" w:sz="8" w:color="auto"/>
            </w:tcBorders>
          </w:tcPr>
          <w:p>
            <w:pPr>
              <w:jc w:val="right"/>
              <w:ind w:right="21"/>
              <w:spacing w:after="0" w:line="224" w:lineRule="exact"/>
              <w:rPr>
                <w:sz w:val="20"/>
                <w:szCs w:val="20"/>
                <w:color w:val="auto"/>
              </w:rPr>
            </w:pPr>
            <w:r>
              <w:rPr>
                <w:rFonts w:ascii="Arial" w:cs="Arial" w:eastAsia="Arial" w:hAnsi="Arial"/>
                <w:sz w:val="20"/>
                <w:szCs w:val="20"/>
                <w:color w:val="auto"/>
                <w:w w:val="71"/>
              </w:rPr>
              <w:t>$</w:t>
            </w:r>
          </w:p>
        </w:tc>
        <w:tc>
          <w:tcPr>
            <w:tcW w:w="940" w:type="dxa"/>
            <w:vAlign w:val="bottom"/>
            <w:tcBorders>
              <w:top w:val="single" w:sz="8" w:color="auto"/>
            </w:tcBorders>
          </w:tcPr>
          <w:p>
            <w:pPr>
              <w:jc w:val="right"/>
              <w:spacing w:after="0" w:line="224" w:lineRule="exact"/>
              <w:rPr>
                <w:sz w:val="20"/>
                <w:szCs w:val="20"/>
                <w:color w:val="auto"/>
              </w:rPr>
            </w:pPr>
            <w:r>
              <w:rPr>
                <w:rFonts w:ascii="Arial" w:cs="Arial" w:eastAsia="Arial" w:hAnsi="Arial"/>
                <w:sz w:val="20"/>
                <w:szCs w:val="20"/>
                <w:color w:val="auto"/>
              </w:rPr>
              <w:t>2,101,578</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720" w:type="dxa"/>
            <w:vAlign w:val="bottom"/>
            <w:shd w:val="clear" w:color="auto" w:fill="CFF2FA"/>
          </w:tcPr>
          <w:p>
            <w:pPr>
              <w:spacing w:after="0"/>
              <w:rPr>
                <w:sz w:val="20"/>
                <w:szCs w:val="20"/>
                <w:color w:val="auto"/>
              </w:rPr>
            </w:pPr>
            <w:r>
              <w:rPr>
                <w:rFonts w:ascii="Arial" w:cs="Arial" w:eastAsia="Arial" w:hAnsi="Arial"/>
                <w:sz w:val="20"/>
                <w:szCs w:val="20"/>
                <w:color w:val="auto"/>
              </w:rPr>
              <w:t>Less: Freight and delivery revenues</w:t>
            </w:r>
          </w:p>
        </w:tc>
        <w:tc>
          <w:tcPr>
            <w:tcW w:w="260" w:type="dxa"/>
            <w:vAlign w:val="bottom"/>
            <w:shd w:val="clear" w:color="auto" w:fill="CFF2FA"/>
          </w:tcPr>
          <w:p>
            <w:pPr>
              <w:spacing w:after="0"/>
              <w:rPr>
                <w:sz w:val="21"/>
                <w:szCs w:val="21"/>
                <w:color w:val="auto"/>
              </w:rPr>
            </w:pPr>
          </w:p>
        </w:tc>
        <w:tc>
          <w:tcPr>
            <w:tcW w:w="1120" w:type="dxa"/>
            <w:vAlign w:val="bottom"/>
            <w:gridSpan w:val="2"/>
            <w:shd w:val="clear" w:color="auto" w:fill="CFF2FA"/>
          </w:tcPr>
          <w:p>
            <w:pPr>
              <w:jc w:val="right"/>
              <w:ind w:right="160"/>
              <w:spacing w:after="0"/>
              <w:rPr>
                <w:sz w:val="20"/>
                <w:szCs w:val="20"/>
                <w:color w:val="auto"/>
              </w:rPr>
            </w:pPr>
            <w:r>
              <w:rPr>
                <w:rFonts w:ascii="Arial" w:cs="Arial" w:eastAsia="Arial" w:hAnsi="Arial"/>
                <w:sz w:val="20"/>
                <w:szCs w:val="20"/>
                <w:color w:val="auto"/>
              </w:rPr>
              <w:t>(77,031)</w:t>
            </w:r>
          </w:p>
        </w:tc>
        <w:tc>
          <w:tcPr>
            <w:tcW w:w="80" w:type="dxa"/>
            <w:vAlign w:val="bottom"/>
            <w:shd w:val="clear" w:color="auto" w:fill="CFF2FA"/>
          </w:tcPr>
          <w:p>
            <w:pPr>
              <w:spacing w:after="0"/>
              <w:rPr>
                <w:sz w:val="21"/>
                <w:szCs w:val="21"/>
                <w:color w:val="auto"/>
              </w:rPr>
            </w:pPr>
          </w:p>
        </w:tc>
        <w:tc>
          <w:tcPr>
            <w:tcW w:w="220" w:type="dxa"/>
            <w:vAlign w:val="bottom"/>
            <w:shd w:val="clear" w:color="auto" w:fill="CFF2FA"/>
          </w:tcPr>
          <w:p>
            <w:pPr>
              <w:spacing w:after="0"/>
              <w:rPr>
                <w:sz w:val="21"/>
                <w:szCs w:val="21"/>
                <w:color w:val="auto"/>
              </w:rPr>
            </w:pPr>
          </w:p>
        </w:tc>
        <w:tc>
          <w:tcPr>
            <w:tcW w:w="1100" w:type="dxa"/>
            <w:vAlign w:val="bottom"/>
            <w:gridSpan w:val="2"/>
            <w:shd w:val="clear" w:color="auto" w:fill="CFF2FA"/>
          </w:tcPr>
          <w:p>
            <w:pPr>
              <w:jc w:val="right"/>
              <w:ind w:right="120"/>
              <w:spacing w:after="0"/>
              <w:rPr>
                <w:sz w:val="20"/>
                <w:szCs w:val="20"/>
                <w:color w:val="auto"/>
              </w:rPr>
            </w:pPr>
            <w:r>
              <w:rPr>
                <w:rFonts w:ascii="Arial" w:cs="Arial" w:eastAsia="Arial" w:hAnsi="Arial"/>
                <w:sz w:val="20"/>
                <w:szCs w:val="20"/>
                <w:color w:val="auto"/>
              </w:rPr>
              <w:t>(85,781)</w:t>
            </w:r>
          </w:p>
        </w:tc>
        <w:tc>
          <w:tcPr>
            <w:tcW w:w="120" w:type="dxa"/>
            <w:vAlign w:val="bottom"/>
            <w:shd w:val="clear" w:color="auto" w:fill="CFF0FC"/>
          </w:tcPr>
          <w:p>
            <w:pPr>
              <w:spacing w:after="0"/>
              <w:rPr>
                <w:sz w:val="21"/>
                <w:szCs w:val="21"/>
                <w:color w:val="auto"/>
              </w:rPr>
            </w:pPr>
          </w:p>
        </w:tc>
        <w:tc>
          <w:tcPr>
            <w:tcW w:w="220" w:type="dxa"/>
            <w:vAlign w:val="bottom"/>
            <w:shd w:val="clear" w:color="auto" w:fill="CFF2FA"/>
          </w:tcPr>
          <w:p>
            <w:pPr>
              <w:spacing w:after="0"/>
              <w:rPr>
                <w:sz w:val="21"/>
                <w:szCs w:val="21"/>
                <w:color w:val="auto"/>
              </w:rPr>
            </w:pPr>
          </w:p>
        </w:tc>
        <w:tc>
          <w:tcPr>
            <w:tcW w:w="1220" w:type="dxa"/>
            <w:vAlign w:val="bottom"/>
            <w:gridSpan w:val="2"/>
            <w:shd w:val="clear" w:color="auto" w:fill="CFF2FA"/>
          </w:tcPr>
          <w:p>
            <w:pPr>
              <w:jc w:val="right"/>
              <w:ind w:right="220"/>
              <w:spacing w:after="0"/>
              <w:rPr>
                <w:sz w:val="20"/>
                <w:szCs w:val="20"/>
                <w:color w:val="auto"/>
              </w:rPr>
            </w:pPr>
            <w:r>
              <w:rPr>
                <w:rFonts w:ascii="Arial" w:cs="Arial" w:eastAsia="Arial" w:hAnsi="Arial"/>
                <w:sz w:val="20"/>
                <w:szCs w:val="20"/>
                <w:color w:val="auto"/>
              </w:rPr>
              <w:t>(207,672)</w:t>
            </w:r>
          </w:p>
        </w:tc>
        <w:tc>
          <w:tcPr>
            <w:tcW w:w="220" w:type="dxa"/>
            <w:vAlign w:val="bottom"/>
            <w:shd w:val="clear" w:color="auto" w:fill="CFF2FA"/>
          </w:tcPr>
          <w:p>
            <w:pPr>
              <w:spacing w:after="0"/>
              <w:rPr>
                <w:sz w:val="21"/>
                <w:szCs w:val="21"/>
                <w:color w:val="auto"/>
              </w:rPr>
            </w:pPr>
          </w:p>
        </w:tc>
        <w:tc>
          <w:tcPr>
            <w:tcW w:w="1120" w:type="dxa"/>
            <w:vAlign w:val="bottom"/>
            <w:gridSpan w:val="2"/>
            <w:shd w:val="clear" w:color="auto" w:fill="CFF2FA"/>
          </w:tcPr>
          <w:p>
            <w:pPr>
              <w:jc w:val="right"/>
              <w:ind w:right="120"/>
              <w:spacing w:after="0"/>
              <w:rPr>
                <w:sz w:val="20"/>
                <w:szCs w:val="20"/>
                <w:color w:val="auto"/>
              </w:rPr>
            </w:pPr>
            <w:r>
              <w:rPr>
                <w:rFonts w:ascii="Arial" w:cs="Arial" w:eastAsia="Arial" w:hAnsi="Arial"/>
                <w:sz w:val="20"/>
                <w:szCs w:val="20"/>
                <w:color w:val="auto"/>
              </w:rPr>
              <w:t>(202,021)</w:t>
            </w:r>
          </w:p>
        </w:tc>
        <w:tc>
          <w:tcPr>
            <w:tcW w:w="0" w:type="dxa"/>
            <w:vAlign w:val="bottom"/>
          </w:tcPr>
          <w:p>
            <w:pPr>
              <w:spacing w:after="0"/>
              <w:rPr>
                <w:sz w:val="1"/>
                <w:szCs w:val="1"/>
                <w:color w:val="auto"/>
              </w:rPr>
            </w:pPr>
          </w:p>
        </w:tc>
      </w:tr>
      <w:tr>
        <w:trPr>
          <w:trHeight w:val="257"/>
        </w:trPr>
        <w:tc>
          <w:tcPr>
            <w:tcW w:w="5740" w:type="dxa"/>
            <w:vAlign w:val="bottom"/>
            <w:gridSpan w:val="2"/>
          </w:tcPr>
          <w:p>
            <w:pPr>
              <w:spacing w:after="0"/>
              <w:rPr>
                <w:sz w:val="20"/>
                <w:szCs w:val="20"/>
                <w:color w:val="auto"/>
              </w:rPr>
            </w:pPr>
            <w:r>
              <w:rPr>
                <w:rFonts w:ascii="Arial" w:cs="Arial" w:eastAsia="Arial" w:hAnsi="Arial"/>
                <w:sz w:val="20"/>
                <w:szCs w:val="20"/>
                <w:color w:val="auto"/>
              </w:rPr>
              <w:t>Net sales</w:t>
            </w:r>
          </w:p>
        </w:tc>
        <w:tc>
          <w:tcPr>
            <w:tcW w:w="26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20"/>
                <w:szCs w:val="20"/>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w w:val="96"/>
              </w:rPr>
              <w:t>1,005,218</w:t>
            </w: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20"/>
                <w:szCs w:val="20"/>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917,942</w:t>
            </w: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20"/>
                <w:szCs w:val="20"/>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2,487,342</w:t>
            </w:r>
          </w:p>
        </w:tc>
        <w:tc>
          <w:tcPr>
            <w:tcW w:w="3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20"/>
                <w:szCs w:val="20"/>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1,899,557</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tcBorders>
              <w:top w:val="single" w:sz="8" w:color="CFF2FA"/>
            </w:tcBorders>
            <w:vMerge w:val="restart"/>
            <w:shd w:val="clear" w:color="auto" w:fill="CFF2FA"/>
          </w:tcPr>
          <w:p>
            <w:pPr>
              <w:spacing w:after="0"/>
              <w:rPr>
                <w:sz w:val="20"/>
                <w:szCs w:val="20"/>
                <w:color w:val="auto"/>
              </w:rPr>
            </w:pPr>
            <w:r>
              <w:rPr>
                <w:rFonts w:ascii="Arial" w:cs="Arial" w:eastAsia="Arial" w:hAnsi="Arial"/>
                <w:sz w:val="20"/>
                <w:szCs w:val="20"/>
                <w:color w:val="auto"/>
              </w:rPr>
              <w:t>Operating margin excluding freight and delivery revenues</w:t>
            </w:r>
          </w:p>
        </w:tc>
        <w:tc>
          <w:tcPr>
            <w:tcW w:w="260" w:type="dxa"/>
            <w:vAlign w:val="bottom"/>
            <w:tcBorders>
              <w:top w:val="single" w:sz="8" w:color="CFF2FA"/>
            </w:tcBorders>
            <w:shd w:val="clear" w:color="auto" w:fill="000000"/>
          </w:tcPr>
          <w:p>
            <w:pPr>
              <w:spacing w:after="0" w:line="20" w:lineRule="exact"/>
              <w:rPr>
                <w:sz w:val="1"/>
                <w:szCs w:val="1"/>
                <w:color w:val="auto"/>
              </w:rPr>
            </w:pPr>
          </w:p>
        </w:tc>
        <w:tc>
          <w:tcPr>
            <w:tcW w:w="900" w:type="dxa"/>
            <w:vAlign w:val="bottom"/>
            <w:tcBorders>
              <w:top w:val="single" w:sz="8" w:color="CFF2FA"/>
            </w:tcBorders>
            <w:shd w:val="clear" w:color="auto" w:fill="000000"/>
          </w:tcPr>
          <w:p>
            <w:pPr>
              <w:spacing w:after="0" w:line="20" w:lineRule="exact"/>
              <w:rPr>
                <w:sz w:val="1"/>
                <w:szCs w:val="1"/>
                <w:color w:val="auto"/>
              </w:rPr>
            </w:pPr>
          </w:p>
        </w:tc>
        <w:tc>
          <w:tcPr>
            <w:tcW w:w="220" w:type="dxa"/>
            <w:vAlign w:val="bottom"/>
            <w:tcBorders>
              <w:top w:val="single" w:sz="8" w:color="CFF2FA"/>
            </w:tcBorders>
            <w:shd w:val="clear" w:color="auto" w:fill="CFF2FA"/>
          </w:tcPr>
          <w:p>
            <w:pPr>
              <w:spacing w:after="0" w:line="20" w:lineRule="exact"/>
              <w:rPr>
                <w:sz w:val="1"/>
                <w:szCs w:val="1"/>
                <w:color w:val="auto"/>
              </w:rPr>
            </w:pPr>
          </w:p>
        </w:tc>
        <w:tc>
          <w:tcPr>
            <w:tcW w:w="80" w:type="dxa"/>
            <w:vAlign w:val="bottom"/>
            <w:tcBorders>
              <w:top w:val="single" w:sz="8" w:color="CFF2FA"/>
            </w:tcBorders>
            <w:shd w:val="clear" w:color="auto" w:fill="CFF2FA"/>
          </w:tcPr>
          <w:p>
            <w:pPr>
              <w:spacing w:after="0" w:line="20" w:lineRule="exact"/>
              <w:rPr>
                <w:sz w:val="1"/>
                <w:szCs w:val="1"/>
                <w:color w:val="auto"/>
              </w:rPr>
            </w:pPr>
          </w:p>
        </w:tc>
        <w:tc>
          <w:tcPr>
            <w:tcW w:w="220" w:type="dxa"/>
            <w:vAlign w:val="bottom"/>
            <w:tcBorders>
              <w:top w:val="single" w:sz="8" w:color="CFF2FA"/>
            </w:tcBorders>
            <w:shd w:val="clear" w:color="auto" w:fill="000000"/>
          </w:tcPr>
          <w:p>
            <w:pPr>
              <w:spacing w:after="0" w:line="20" w:lineRule="exact"/>
              <w:rPr>
                <w:sz w:val="1"/>
                <w:szCs w:val="1"/>
                <w:color w:val="auto"/>
              </w:rPr>
            </w:pPr>
          </w:p>
        </w:tc>
        <w:tc>
          <w:tcPr>
            <w:tcW w:w="920" w:type="dxa"/>
            <w:vAlign w:val="bottom"/>
            <w:tcBorders>
              <w:top w:val="single" w:sz="8" w:color="CFF2FA"/>
            </w:tcBorders>
            <w:shd w:val="clear" w:color="auto" w:fill="000000"/>
          </w:tcPr>
          <w:p>
            <w:pPr>
              <w:spacing w:after="0" w:line="20" w:lineRule="exact"/>
              <w:rPr>
                <w:sz w:val="1"/>
                <w:szCs w:val="1"/>
                <w:color w:val="auto"/>
              </w:rPr>
            </w:pPr>
          </w:p>
        </w:tc>
        <w:tc>
          <w:tcPr>
            <w:tcW w:w="180" w:type="dxa"/>
            <w:vAlign w:val="bottom"/>
            <w:tcBorders>
              <w:top w:val="single" w:sz="8" w:color="CFF2FA"/>
            </w:tcBorders>
            <w:shd w:val="clear" w:color="auto" w:fill="CFF2FA"/>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2FA"/>
            </w:tcBorders>
            <w:shd w:val="clear" w:color="auto" w:fill="000000"/>
          </w:tcPr>
          <w:p>
            <w:pPr>
              <w:spacing w:after="0" w:line="20" w:lineRule="exact"/>
              <w:rPr>
                <w:sz w:val="1"/>
                <w:szCs w:val="1"/>
                <w:color w:val="auto"/>
              </w:rPr>
            </w:pPr>
          </w:p>
        </w:tc>
        <w:tc>
          <w:tcPr>
            <w:tcW w:w="920" w:type="dxa"/>
            <w:vAlign w:val="bottom"/>
            <w:tcBorders>
              <w:top w:val="single" w:sz="8" w:color="CFF2FA"/>
            </w:tcBorders>
            <w:shd w:val="clear" w:color="auto" w:fill="000000"/>
          </w:tcPr>
          <w:p>
            <w:pPr>
              <w:spacing w:after="0" w:line="20" w:lineRule="exact"/>
              <w:rPr>
                <w:sz w:val="1"/>
                <w:szCs w:val="1"/>
                <w:color w:val="auto"/>
              </w:rPr>
            </w:pPr>
          </w:p>
        </w:tc>
        <w:tc>
          <w:tcPr>
            <w:tcW w:w="300" w:type="dxa"/>
            <w:vAlign w:val="bottom"/>
            <w:tcBorders>
              <w:top w:val="single" w:sz="8" w:color="CFF2FA"/>
            </w:tcBorders>
            <w:shd w:val="clear" w:color="auto" w:fill="CFF2FA"/>
          </w:tcPr>
          <w:p>
            <w:pPr>
              <w:spacing w:after="0" w:line="20" w:lineRule="exact"/>
              <w:rPr>
                <w:sz w:val="1"/>
                <w:szCs w:val="1"/>
                <w:color w:val="auto"/>
              </w:rPr>
            </w:pPr>
          </w:p>
        </w:tc>
        <w:tc>
          <w:tcPr>
            <w:tcW w:w="220" w:type="dxa"/>
            <w:vAlign w:val="bottom"/>
            <w:tcBorders>
              <w:top w:val="single" w:sz="8" w:color="CFF2FA"/>
            </w:tcBorders>
            <w:shd w:val="clear" w:color="auto" w:fill="000000"/>
          </w:tcPr>
          <w:p>
            <w:pPr>
              <w:spacing w:after="0" w:line="20" w:lineRule="exact"/>
              <w:rPr>
                <w:sz w:val="1"/>
                <w:szCs w:val="1"/>
                <w:color w:val="auto"/>
              </w:rPr>
            </w:pPr>
          </w:p>
        </w:tc>
        <w:tc>
          <w:tcPr>
            <w:tcW w:w="940" w:type="dxa"/>
            <w:vAlign w:val="bottom"/>
            <w:tcBorders>
              <w:top w:val="single" w:sz="8" w:color="CFF2FA"/>
            </w:tcBorders>
            <w:shd w:val="clear" w:color="auto" w:fill="000000"/>
          </w:tcPr>
          <w:p>
            <w:pPr>
              <w:spacing w:after="0" w:line="20" w:lineRule="exact"/>
              <w:rPr>
                <w:sz w:val="1"/>
                <w:szCs w:val="1"/>
                <w:color w:val="auto"/>
              </w:rPr>
            </w:pPr>
          </w:p>
        </w:tc>
        <w:tc>
          <w:tcPr>
            <w:tcW w:w="180" w:type="dxa"/>
            <w:vAlign w:val="bottom"/>
            <w:tcBorders>
              <w:top w:val="single" w:sz="8" w:color="CFF2FA"/>
            </w:tcBorders>
            <w:shd w:val="clear" w:color="auto" w:fill="CFF2FA"/>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5720" w:type="dxa"/>
            <w:vAlign w:val="bottom"/>
            <w:vMerge w:val="continue"/>
            <w:shd w:val="clear" w:color="auto" w:fill="CFF2FA"/>
          </w:tcPr>
          <w:p>
            <w:pPr>
              <w:spacing w:after="0"/>
              <w:rPr>
                <w:sz w:val="19"/>
                <w:szCs w:val="19"/>
                <w:color w:val="auto"/>
              </w:rPr>
            </w:pPr>
          </w:p>
        </w:tc>
        <w:tc>
          <w:tcPr>
            <w:tcW w:w="260" w:type="dxa"/>
            <w:vAlign w:val="bottom"/>
            <w:shd w:val="clear" w:color="auto" w:fill="CFF2FA"/>
          </w:tcPr>
          <w:p>
            <w:pPr>
              <w:spacing w:after="0"/>
              <w:rPr>
                <w:sz w:val="19"/>
                <w:szCs w:val="19"/>
                <w:color w:val="auto"/>
              </w:rPr>
            </w:pPr>
          </w:p>
        </w:tc>
        <w:tc>
          <w:tcPr>
            <w:tcW w:w="1120" w:type="dxa"/>
            <w:vAlign w:val="bottom"/>
            <w:gridSpan w:val="2"/>
            <w:shd w:val="clear" w:color="auto" w:fill="CFF2FA"/>
          </w:tcPr>
          <w:p>
            <w:pPr>
              <w:jc w:val="right"/>
              <w:ind w:right="60"/>
              <w:spacing w:after="0" w:line="224" w:lineRule="exact"/>
              <w:rPr>
                <w:sz w:val="20"/>
                <w:szCs w:val="20"/>
                <w:color w:val="auto"/>
              </w:rPr>
            </w:pPr>
            <w:r>
              <w:rPr>
                <w:rFonts w:ascii="Arial" w:cs="Arial" w:eastAsia="Arial" w:hAnsi="Arial"/>
                <w:sz w:val="20"/>
                <w:szCs w:val="20"/>
                <w:color w:val="auto"/>
              </w:rPr>
              <w:t>17.9%</w:t>
            </w:r>
          </w:p>
        </w:tc>
        <w:tc>
          <w:tcPr>
            <w:tcW w:w="80" w:type="dxa"/>
            <w:vAlign w:val="bottom"/>
            <w:shd w:val="clear" w:color="auto" w:fill="CFF2FA"/>
          </w:tcPr>
          <w:p>
            <w:pPr>
              <w:spacing w:after="0"/>
              <w:rPr>
                <w:sz w:val="19"/>
                <w:szCs w:val="19"/>
                <w:color w:val="auto"/>
              </w:rPr>
            </w:pPr>
          </w:p>
        </w:tc>
        <w:tc>
          <w:tcPr>
            <w:tcW w:w="220" w:type="dxa"/>
            <w:vAlign w:val="bottom"/>
            <w:shd w:val="clear" w:color="auto" w:fill="CFF2FA"/>
          </w:tcPr>
          <w:p>
            <w:pPr>
              <w:spacing w:after="0"/>
              <w:rPr>
                <w:sz w:val="19"/>
                <w:szCs w:val="19"/>
                <w:color w:val="auto"/>
              </w:rPr>
            </w:pPr>
          </w:p>
        </w:tc>
        <w:tc>
          <w:tcPr>
            <w:tcW w:w="1100" w:type="dxa"/>
            <w:vAlign w:val="bottom"/>
            <w:gridSpan w:val="2"/>
            <w:shd w:val="clear" w:color="auto" w:fill="CFF2FA"/>
          </w:tcPr>
          <w:p>
            <w:pPr>
              <w:jc w:val="right"/>
              <w:ind w:right="20"/>
              <w:spacing w:after="0" w:line="224" w:lineRule="exact"/>
              <w:rPr>
                <w:sz w:val="20"/>
                <w:szCs w:val="20"/>
                <w:color w:val="auto"/>
              </w:rPr>
            </w:pPr>
            <w:r>
              <w:rPr>
                <w:rFonts w:ascii="Arial" w:cs="Arial" w:eastAsia="Arial" w:hAnsi="Arial"/>
                <w:sz w:val="20"/>
                <w:szCs w:val="20"/>
                <w:color w:val="auto"/>
              </w:rPr>
              <w:t>12.6%</w:t>
            </w:r>
          </w:p>
        </w:tc>
        <w:tc>
          <w:tcPr>
            <w:tcW w:w="120" w:type="dxa"/>
            <w:vAlign w:val="bottom"/>
            <w:shd w:val="clear" w:color="auto" w:fill="CFF0FC"/>
          </w:tcPr>
          <w:p>
            <w:pPr>
              <w:spacing w:after="0"/>
              <w:rPr>
                <w:sz w:val="19"/>
                <w:szCs w:val="19"/>
                <w:color w:val="auto"/>
              </w:rPr>
            </w:pPr>
          </w:p>
        </w:tc>
        <w:tc>
          <w:tcPr>
            <w:tcW w:w="220" w:type="dxa"/>
            <w:vAlign w:val="bottom"/>
            <w:shd w:val="clear" w:color="auto" w:fill="CFF2FA"/>
          </w:tcPr>
          <w:p>
            <w:pPr>
              <w:spacing w:after="0"/>
              <w:rPr>
                <w:sz w:val="19"/>
                <w:szCs w:val="19"/>
                <w:color w:val="auto"/>
              </w:rPr>
            </w:pPr>
          </w:p>
        </w:tc>
        <w:tc>
          <w:tcPr>
            <w:tcW w:w="1220" w:type="dxa"/>
            <w:vAlign w:val="bottom"/>
            <w:gridSpan w:val="2"/>
            <w:shd w:val="clear" w:color="auto" w:fill="CFF2FA"/>
          </w:tcPr>
          <w:p>
            <w:pPr>
              <w:jc w:val="right"/>
              <w:ind w:right="120"/>
              <w:spacing w:after="0" w:line="224" w:lineRule="exact"/>
              <w:rPr>
                <w:sz w:val="20"/>
                <w:szCs w:val="20"/>
                <w:color w:val="auto"/>
              </w:rPr>
            </w:pPr>
            <w:r>
              <w:rPr>
                <w:rFonts w:ascii="Arial" w:cs="Arial" w:eastAsia="Arial" w:hAnsi="Arial"/>
                <w:sz w:val="20"/>
                <w:szCs w:val="20"/>
                <w:color w:val="auto"/>
              </w:rPr>
              <w:t>13.8%</w:t>
            </w:r>
          </w:p>
        </w:tc>
        <w:tc>
          <w:tcPr>
            <w:tcW w:w="220" w:type="dxa"/>
            <w:vAlign w:val="bottom"/>
            <w:shd w:val="clear" w:color="auto" w:fill="CFF2FA"/>
          </w:tcPr>
          <w:p>
            <w:pPr>
              <w:spacing w:after="0"/>
              <w:rPr>
                <w:sz w:val="19"/>
                <w:szCs w:val="19"/>
                <w:color w:val="auto"/>
              </w:rPr>
            </w:pPr>
          </w:p>
        </w:tc>
        <w:tc>
          <w:tcPr>
            <w:tcW w:w="1120" w:type="dxa"/>
            <w:vAlign w:val="bottom"/>
            <w:gridSpan w:val="2"/>
            <w:shd w:val="clear" w:color="auto" w:fill="CFF2FA"/>
          </w:tcPr>
          <w:p>
            <w:pPr>
              <w:jc w:val="right"/>
              <w:ind w:right="20"/>
              <w:spacing w:after="0" w:line="224" w:lineRule="exact"/>
              <w:rPr>
                <w:sz w:val="20"/>
                <w:szCs w:val="20"/>
                <w:color w:val="auto"/>
              </w:rPr>
            </w:pPr>
            <w:r>
              <w:rPr>
                <w:rFonts w:ascii="Arial" w:cs="Arial" w:eastAsia="Arial" w:hAnsi="Arial"/>
                <w:sz w:val="20"/>
                <w:szCs w:val="20"/>
                <w:color w:val="auto"/>
              </w:rPr>
              <w:t>10.3%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tcBorders>
              <w:top w:val="single" w:sz="8" w:color="CFF2FA"/>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2FA"/>
            </w:tcBorders>
          </w:tcPr>
          <w:p>
            <w:pPr>
              <w:spacing w:after="0" w:line="20" w:lineRule="exact"/>
              <w:rPr>
                <w:sz w:val="1"/>
                <w:szCs w:val="1"/>
                <w:color w:val="auto"/>
              </w:rPr>
            </w:pPr>
          </w:p>
        </w:tc>
        <w:tc>
          <w:tcPr>
            <w:tcW w:w="80" w:type="dxa"/>
            <w:vAlign w:val="bottom"/>
            <w:tcBorders>
              <w:top w:val="single" w:sz="8" w:color="CFF2FA"/>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2FA"/>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2FA"/>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2FA"/>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27 of 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7" w:name="page28"/>
    <w:bookmarkEnd w:id="27"/>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September 30, 2015</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rPr>
          <w:sz w:val="20"/>
          <w:szCs w:val="20"/>
          <w:color w:val="auto"/>
        </w:rPr>
      </w:pPr>
      <w:r>
        <w:rPr>
          <w:rFonts w:ascii="Arial" w:cs="Arial" w:eastAsia="Arial" w:hAnsi="Arial"/>
          <w:sz w:val="20"/>
          <w:szCs w:val="20"/>
          <w:color w:val="auto"/>
        </w:rPr>
        <w:t>Third Quarter Ended September 30, 2015</w:t>
      </w:r>
    </w:p>
    <w:p>
      <w:pPr>
        <w:jc w:val="center"/>
        <w:spacing w:after="0"/>
        <w:rPr>
          <w:sz w:val="20"/>
          <w:szCs w:val="20"/>
          <w:color w:val="auto"/>
        </w:rPr>
      </w:pPr>
      <w:r>
        <w:rPr>
          <w:rFonts w:ascii="Arial" w:cs="Arial" w:eastAsia="Arial" w:hAnsi="Arial"/>
          <w:sz w:val="20"/>
          <w:szCs w:val="20"/>
          <w:color w:val="auto"/>
        </w:rPr>
        <w:t>(Continued)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8120" w:type="dxa"/>
            <w:vAlign w:val="bottom"/>
            <w:gridSpan w:val="4"/>
          </w:tcPr>
          <w:p>
            <w:pPr>
              <w:spacing w:after="0"/>
              <w:rPr>
                <w:sz w:val="20"/>
                <w:szCs w:val="20"/>
                <w:color w:val="auto"/>
              </w:rPr>
            </w:pPr>
            <w:r>
              <w:rPr>
                <w:rFonts w:ascii="Arial" w:cs="Arial" w:eastAsia="Arial" w:hAnsi="Arial"/>
                <w:sz w:val="20"/>
                <w:szCs w:val="20"/>
                <w:b w:val="1"/>
                <w:bCs w:val="1"/>
                <w:color w:val="auto"/>
                <w:w w:val="91"/>
              </w:rPr>
              <w:t>Cement Business Gross Margin in Accordance with Generally Accepted Accounting Principle</w:t>
            </w: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4"/>
        </w:trPr>
        <w:tc>
          <w:tcPr>
            <w:tcW w:w="69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300" w:type="dxa"/>
            <w:vAlign w:val="bottom"/>
            <w:gridSpan w:val="8"/>
          </w:tcPr>
          <w:p>
            <w:pPr>
              <w:jc w:val="center"/>
              <w:ind w:right="640"/>
              <w:spacing w:after="0"/>
              <w:rPr>
                <w:sz w:val="20"/>
                <w:szCs w:val="20"/>
                <w:color w:val="auto"/>
              </w:rPr>
            </w:pPr>
            <w:r>
              <w:rPr>
                <w:rFonts w:ascii="Arial" w:cs="Arial" w:eastAsia="Arial" w:hAnsi="Arial"/>
                <w:sz w:val="20"/>
                <w:szCs w:val="20"/>
                <w:color w:val="auto"/>
                <w:w w:val="88"/>
              </w:rPr>
              <w:t>Three Months Ended</w:t>
            </w:r>
          </w:p>
        </w:tc>
        <w:tc>
          <w:tcPr>
            <w:tcW w:w="0" w:type="dxa"/>
            <w:vAlign w:val="bottom"/>
          </w:tcPr>
          <w:p>
            <w:pPr>
              <w:spacing w:after="0"/>
              <w:rPr>
                <w:sz w:val="1"/>
                <w:szCs w:val="1"/>
                <w:color w:val="auto"/>
              </w:rPr>
            </w:pPr>
          </w:p>
        </w:tc>
      </w:tr>
      <w:tr>
        <w:trPr>
          <w:trHeight w:val="246"/>
        </w:trPr>
        <w:tc>
          <w:tcPr>
            <w:tcW w:w="69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020" w:type="dxa"/>
            <w:vAlign w:val="bottom"/>
            <w:tcBorders>
              <w:bottom w:val="single" w:sz="8" w:color="auto"/>
            </w:tcBorders>
            <w:gridSpan w:val="5"/>
          </w:tcPr>
          <w:p>
            <w:pPr>
              <w:jc w:val="center"/>
              <w:ind w:left="541"/>
              <w:spacing w:after="0"/>
              <w:rPr>
                <w:sz w:val="20"/>
                <w:szCs w:val="20"/>
                <w:color w:val="auto"/>
              </w:rPr>
            </w:pPr>
            <w:r>
              <w:rPr>
                <w:rFonts w:ascii="Arial" w:cs="Arial" w:eastAsia="Arial" w:hAnsi="Arial"/>
                <w:sz w:val="20"/>
                <w:szCs w:val="20"/>
                <w:color w:val="auto"/>
                <w:w w:val="86"/>
              </w:rPr>
              <w:t>September 30,</w:t>
            </w:r>
          </w:p>
        </w:tc>
        <w:tc>
          <w:tcPr>
            <w:tcW w:w="10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9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21"/>
              <w:spacing w:after="0"/>
              <w:rPr>
                <w:sz w:val="20"/>
                <w:szCs w:val="20"/>
                <w:color w:val="auto"/>
              </w:rPr>
            </w:pPr>
            <w:r>
              <w:rPr>
                <w:rFonts w:ascii="Arial" w:cs="Arial" w:eastAsia="Arial" w:hAnsi="Arial"/>
                <w:sz w:val="20"/>
                <w:szCs w:val="20"/>
                <w:color w:val="auto"/>
              </w:rPr>
              <w:t>2015</w:t>
            </w: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541"/>
              <w:spacing w:after="0"/>
              <w:rPr>
                <w:sz w:val="20"/>
                <w:szCs w:val="20"/>
                <w:color w:val="auto"/>
              </w:rPr>
            </w:pPr>
            <w:r>
              <w:rPr>
                <w:rFonts w:ascii="Arial" w:cs="Arial" w:eastAsia="Arial" w:hAnsi="Arial"/>
                <w:sz w:val="20"/>
                <w:szCs w:val="20"/>
                <w:color w:val="auto"/>
                <w:w w:val="94"/>
              </w:rPr>
              <w:t>2014</w:t>
            </w:r>
          </w:p>
        </w:tc>
        <w:tc>
          <w:tcPr>
            <w:tcW w:w="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9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120" w:type="dxa"/>
            <w:vAlign w:val="bottom"/>
            <w:gridSpan w:val="7"/>
          </w:tcPr>
          <w:p>
            <w:pPr>
              <w:jc w:val="center"/>
              <w:ind w:right="460"/>
              <w:spacing w:after="0"/>
              <w:rPr>
                <w:sz w:val="20"/>
                <w:szCs w:val="20"/>
                <w:color w:val="auto"/>
              </w:rPr>
            </w:pPr>
            <w:r>
              <w:rPr>
                <w:rFonts w:ascii="Arial" w:cs="Arial" w:eastAsia="Arial" w:hAnsi="Arial"/>
                <w:sz w:val="20"/>
                <w:szCs w:val="20"/>
                <w:i w:val="1"/>
                <w:iCs w:val="1"/>
                <w:color w:val="auto"/>
                <w:w w:val="92"/>
              </w:rPr>
              <w:t>(Dollars in Thousands)</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960" w:type="dxa"/>
            <w:vAlign w:val="bottom"/>
            <w:shd w:val="clear" w:color="auto" w:fill="CFF2FA"/>
          </w:tcPr>
          <w:p>
            <w:pPr>
              <w:spacing w:after="0"/>
              <w:rPr>
                <w:sz w:val="20"/>
                <w:szCs w:val="20"/>
                <w:color w:val="auto"/>
              </w:rPr>
            </w:pPr>
            <w:r>
              <w:rPr>
                <w:rFonts w:ascii="Arial" w:cs="Arial" w:eastAsia="Arial" w:hAnsi="Arial"/>
                <w:sz w:val="20"/>
                <w:szCs w:val="20"/>
                <w:color w:val="auto"/>
              </w:rPr>
              <w:t>Gross profit</w:t>
            </w:r>
          </w:p>
        </w:tc>
        <w:tc>
          <w:tcPr>
            <w:tcW w:w="900" w:type="dxa"/>
            <w:vAlign w:val="bottom"/>
            <w:gridSpan w:val="2"/>
            <w:shd w:val="clear" w:color="auto" w:fill="CFF2FA"/>
          </w:tcPr>
          <w:p>
            <w:pPr>
              <w:jc w:val="right"/>
              <w:spacing w:after="0"/>
              <w:rPr>
                <w:sz w:val="20"/>
                <w:szCs w:val="20"/>
                <w:color w:val="auto"/>
              </w:rPr>
            </w:pPr>
            <w:r>
              <w:rPr>
                <w:rFonts w:ascii="Arial" w:cs="Arial" w:eastAsia="Arial" w:hAnsi="Arial"/>
                <w:sz w:val="20"/>
                <w:szCs w:val="20"/>
                <w:color w:val="auto"/>
              </w:rPr>
              <w:t>$</w:t>
            </w:r>
          </w:p>
        </w:tc>
        <w:tc>
          <w:tcPr>
            <w:tcW w:w="260" w:type="dxa"/>
            <w:vAlign w:val="bottom"/>
            <w:shd w:val="clear" w:color="auto" w:fill="CFF2FA"/>
          </w:tcPr>
          <w:p>
            <w:pPr>
              <w:spacing w:after="0"/>
              <w:rPr>
                <w:sz w:val="21"/>
                <w:szCs w:val="21"/>
                <w:color w:val="auto"/>
              </w:rPr>
            </w:pPr>
          </w:p>
        </w:tc>
        <w:tc>
          <w:tcPr>
            <w:tcW w:w="1160" w:type="dxa"/>
            <w:vAlign w:val="bottom"/>
            <w:shd w:val="clear" w:color="auto" w:fill="CFF2FA"/>
          </w:tcPr>
          <w:p>
            <w:pPr>
              <w:jc w:val="right"/>
              <w:spacing w:after="0"/>
              <w:rPr>
                <w:sz w:val="20"/>
                <w:szCs w:val="20"/>
                <w:color w:val="auto"/>
              </w:rPr>
            </w:pPr>
            <w:r>
              <w:rPr>
                <w:rFonts w:ascii="Arial" w:cs="Arial" w:eastAsia="Arial" w:hAnsi="Arial"/>
                <w:sz w:val="20"/>
                <w:szCs w:val="20"/>
                <w:color w:val="auto"/>
              </w:rPr>
              <w:t>38,244</w:t>
            </w:r>
          </w:p>
        </w:tc>
        <w:tc>
          <w:tcPr>
            <w:tcW w:w="100" w:type="dxa"/>
            <w:vAlign w:val="bottom"/>
            <w:shd w:val="clear" w:color="auto" w:fill="CFF2FA"/>
          </w:tcPr>
          <w:p>
            <w:pPr>
              <w:spacing w:after="0"/>
              <w:rPr>
                <w:sz w:val="21"/>
                <w:szCs w:val="21"/>
                <w:color w:val="auto"/>
              </w:rPr>
            </w:pPr>
          </w:p>
        </w:tc>
        <w:tc>
          <w:tcPr>
            <w:tcW w:w="160" w:type="dxa"/>
            <w:vAlign w:val="bottom"/>
            <w:shd w:val="clear" w:color="auto" w:fill="CFF2FA"/>
          </w:tcPr>
          <w:p>
            <w:pPr>
              <w:spacing w:after="0"/>
              <w:rPr>
                <w:sz w:val="21"/>
                <w:szCs w:val="21"/>
                <w:color w:val="auto"/>
              </w:rPr>
            </w:pPr>
          </w:p>
        </w:tc>
        <w:tc>
          <w:tcPr>
            <w:tcW w:w="140" w:type="dxa"/>
            <w:vAlign w:val="bottom"/>
            <w:shd w:val="clear" w:color="auto" w:fill="CFF2FA"/>
          </w:tcPr>
          <w:p>
            <w:pPr>
              <w:jc w:val="right"/>
              <w:spacing w:after="0"/>
              <w:rPr>
                <w:sz w:val="20"/>
                <w:szCs w:val="20"/>
                <w:color w:val="auto"/>
              </w:rPr>
            </w:pPr>
            <w:r>
              <w:rPr>
                <w:rFonts w:ascii="Arial" w:cs="Arial" w:eastAsia="Arial" w:hAnsi="Arial"/>
                <w:sz w:val="20"/>
                <w:szCs w:val="20"/>
                <w:color w:val="auto"/>
                <w:w w:val="71"/>
              </w:rPr>
              <w:t>$</w:t>
            </w:r>
          </w:p>
        </w:tc>
        <w:tc>
          <w:tcPr>
            <w:tcW w:w="460" w:type="dxa"/>
            <w:vAlign w:val="bottom"/>
            <w:shd w:val="clear" w:color="auto" w:fill="CFF2FA"/>
          </w:tcPr>
          <w:p>
            <w:pPr>
              <w:spacing w:after="0"/>
              <w:rPr>
                <w:sz w:val="21"/>
                <w:szCs w:val="21"/>
                <w:color w:val="auto"/>
              </w:rPr>
            </w:pPr>
          </w:p>
        </w:tc>
        <w:tc>
          <w:tcPr>
            <w:tcW w:w="1100" w:type="dxa"/>
            <w:vAlign w:val="bottom"/>
            <w:gridSpan w:val="2"/>
            <w:shd w:val="clear" w:color="auto" w:fill="CFF2FA"/>
          </w:tcPr>
          <w:p>
            <w:pPr>
              <w:jc w:val="right"/>
              <w:ind w:right="20"/>
              <w:spacing w:after="0"/>
              <w:rPr>
                <w:sz w:val="20"/>
                <w:szCs w:val="20"/>
                <w:color w:val="auto"/>
              </w:rPr>
            </w:pPr>
            <w:r>
              <w:rPr>
                <w:rFonts w:ascii="Arial" w:cs="Arial" w:eastAsia="Arial" w:hAnsi="Arial"/>
                <w:sz w:val="20"/>
                <w:szCs w:val="20"/>
                <w:color w:val="auto"/>
              </w:rPr>
              <w:t>24,194</w:t>
            </w:r>
          </w:p>
        </w:tc>
        <w:tc>
          <w:tcPr>
            <w:tcW w:w="180" w:type="dxa"/>
            <w:vAlign w:val="bottom"/>
            <w:shd w:val="clear" w:color="auto" w:fill="CFF2FA"/>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960" w:type="dxa"/>
            <w:vAlign w:val="bottom"/>
            <w:tcBorders>
              <w:top w:val="single" w:sz="8" w:color="CFF2FA"/>
              <w:bottom w:val="single" w:sz="8" w:color="CFF2FA"/>
            </w:tcBorders>
            <w:vMerge w:val="restart"/>
          </w:tcPr>
          <w:p>
            <w:pPr>
              <w:spacing w:after="0"/>
              <w:rPr>
                <w:sz w:val="20"/>
                <w:szCs w:val="20"/>
                <w:color w:val="auto"/>
              </w:rPr>
            </w:pPr>
            <w:r>
              <w:rPr>
                <w:rFonts w:ascii="Arial" w:cs="Arial" w:eastAsia="Arial" w:hAnsi="Arial"/>
                <w:sz w:val="20"/>
                <w:szCs w:val="20"/>
                <w:color w:val="auto"/>
              </w:rPr>
              <w:t>Total revenues</w:t>
            </w:r>
          </w:p>
        </w:tc>
        <w:tc>
          <w:tcPr>
            <w:tcW w:w="720" w:type="dxa"/>
            <w:vAlign w:val="bottom"/>
            <w:tcBorders>
              <w:top w:val="single" w:sz="8" w:color="CFF2FA"/>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2FA"/>
            </w:tcBorders>
          </w:tcPr>
          <w:p>
            <w:pPr>
              <w:spacing w:after="0" w:line="20" w:lineRule="exact"/>
              <w:rPr>
                <w:sz w:val="1"/>
                <w:szCs w:val="1"/>
                <w:color w:val="auto"/>
              </w:rPr>
            </w:pPr>
          </w:p>
        </w:tc>
        <w:tc>
          <w:tcPr>
            <w:tcW w:w="160" w:type="dxa"/>
            <w:vAlign w:val="bottom"/>
            <w:tcBorders>
              <w:top w:val="single" w:sz="8" w:color="CFF2FA"/>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2FA"/>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6960" w:type="dxa"/>
            <w:vAlign w:val="bottom"/>
            <w:tcBorders>
              <w:bottom w:val="single" w:sz="8" w:color="CFF2FA"/>
            </w:tcBorders>
            <w:vMerge w:val="continue"/>
          </w:tcPr>
          <w:p>
            <w:pPr>
              <w:spacing w:after="0"/>
              <w:rPr>
                <w:sz w:val="22"/>
                <w:szCs w:val="22"/>
                <w:color w:val="auto"/>
              </w:rPr>
            </w:pPr>
          </w:p>
        </w:tc>
        <w:tc>
          <w:tcPr>
            <w:tcW w:w="720" w:type="dxa"/>
            <w:vAlign w:val="bottom"/>
            <w:tcBorders>
              <w:bottom w:val="single" w:sz="8" w:color="CFF2FA"/>
            </w:tcBorders>
          </w:tcPr>
          <w:p>
            <w:pPr>
              <w:spacing w:after="0"/>
              <w:rPr>
                <w:sz w:val="22"/>
                <w:szCs w:val="22"/>
                <w:color w:val="auto"/>
              </w:rPr>
            </w:pPr>
          </w:p>
        </w:tc>
        <w:tc>
          <w:tcPr>
            <w:tcW w:w="180" w:type="dxa"/>
            <w:vAlign w:val="bottom"/>
            <w:tcBorders>
              <w:bottom w:val="single" w:sz="8" w:color="auto"/>
            </w:tcBorders>
          </w:tcPr>
          <w:p>
            <w:pPr>
              <w:jc w:val="right"/>
              <w:spacing w:after="0" w:line="224" w:lineRule="exact"/>
              <w:rPr>
                <w:sz w:val="20"/>
                <w:szCs w:val="20"/>
                <w:color w:val="auto"/>
              </w:rPr>
            </w:pPr>
            <w:r>
              <w:rPr>
                <w:rFonts w:ascii="Arial" w:cs="Arial" w:eastAsia="Arial" w:hAnsi="Arial"/>
                <w:sz w:val="20"/>
                <w:szCs w:val="20"/>
                <w:color w:val="auto"/>
                <w:w w:val="71"/>
              </w:rPr>
              <w:t>$</w:t>
            </w:r>
          </w:p>
        </w:tc>
        <w:tc>
          <w:tcPr>
            <w:tcW w:w="2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line="224" w:lineRule="exact"/>
              <w:rPr>
                <w:sz w:val="20"/>
                <w:szCs w:val="20"/>
                <w:color w:val="auto"/>
              </w:rPr>
            </w:pPr>
            <w:r>
              <w:rPr>
                <w:rFonts w:ascii="Arial" w:cs="Arial" w:eastAsia="Arial" w:hAnsi="Arial"/>
                <w:sz w:val="20"/>
                <w:szCs w:val="20"/>
                <w:color w:val="auto"/>
              </w:rPr>
              <w:t>116,135</w:t>
            </w:r>
          </w:p>
        </w:tc>
        <w:tc>
          <w:tcPr>
            <w:tcW w:w="100" w:type="dxa"/>
            <w:vAlign w:val="bottom"/>
            <w:tcBorders>
              <w:bottom w:val="single" w:sz="8" w:color="CFF2FA"/>
            </w:tcBorders>
          </w:tcPr>
          <w:p>
            <w:pPr>
              <w:spacing w:after="0"/>
              <w:rPr>
                <w:sz w:val="22"/>
                <w:szCs w:val="22"/>
                <w:color w:val="auto"/>
              </w:rPr>
            </w:pPr>
          </w:p>
        </w:tc>
        <w:tc>
          <w:tcPr>
            <w:tcW w:w="160" w:type="dxa"/>
            <w:vAlign w:val="bottom"/>
            <w:tcBorders>
              <w:bottom w:val="single" w:sz="8" w:color="CFF2FA"/>
            </w:tcBorders>
          </w:tcPr>
          <w:p>
            <w:pPr>
              <w:spacing w:after="0"/>
              <w:rPr>
                <w:sz w:val="22"/>
                <w:szCs w:val="22"/>
                <w:color w:val="auto"/>
              </w:rPr>
            </w:pPr>
          </w:p>
        </w:tc>
        <w:tc>
          <w:tcPr>
            <w:tcW w:w="140" w:type="dxa"/>
            <w:vAlign w:val="bottom"/>
            <w:tcBorders>
              <w:bottom w:val="single" w:sz="8" w:color="auto"/>
            </w:tcBorders>
          </w:tcPr>
          <w:p>
            <w:pPr>
              <w:jc w:val="right"/>
              <w:spacing w:after="0" w:line="224" w:lineRule="exact"/>
              <w:rPr>
                <w:sz w:val="20"/>
                <w:szCs w:val="20"/>
                <w:color w:val="auto"/>
              </w:rPr>
            </w:pPr>
            <w:r>
              <w:rPr>
                <w:rFonts w:ascii="Arial" w:cs="Arial" w:eastAsia="Arial" w:hAnsi="Arial"/>
                <w:sz w:val="20"/>
                <w:szCs w:val="20"/>
                <w:color w:val="auto"/>
                <w:w w:val="71"/>
              </w:rPr>
              <w:t>$</w:t>
            </w:r>
          </w:p>
        </w:tc>
        <w:tc>
          <w:tcPr>
            <w:tcW w:w="4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gridSpan w:val="2"/>
          </w:tcPr>
          <w:p>
            <w:pPr>
              <w:jc w:val="right"/>
              <w:ind w:right="20"/>
              <w:spacing w:after="0" w:line="224" w:lineRule="exact"/>
              <w:rPr>
                <w:sz w:val="20"/>
                <w:szCs w:val="20"/>
                <w:color w:val="auto"/>
              </w:rPr>
            </w:pPr>
            <w:r>
              <w:rPr>
                <w:rFonts w:ascii="Arial" w:cs="Arial" w:eastAsia="Arial" w:hAnsi="Arial"/>
                <w:sz w:val="20"/>
                <w:szCs w:val="20"/>
                <w:color w:val="auto"/>
              </w:rPr>
              <w:t>115,743</w:t>
            </w:r>
          </w:p>
        </w:tc>
        <w:tc>
          <w:tcPr>
            <w:tcW w:w="180" w:type="dxa"/>
            <w:vAlign w:val="bottom"/>
            <w:tcBorders>
              <w:bottom w:val="single" w:sz="8" w:color="CFF2FA"/>
            </w:tcBorders>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6960" w:type="dxa"/>
            <w:vAlign w:val="bottom"/>
            <w:shd w:val="clear" w:color="auto" w:fill="CFF2FA"/>
          </w:tcPr>
          <w:p>
            <w:pPr>
              <w:spacing w:after="0" w:line="224" w:lineRule="exact"/>
              <w:rPr>
                <w:sz w:val="20"/>
                <w:szCs w:val="20"/>
                <w:color w:val="auto"/>
              </w:rPr>
            </w:pPr>
            <w:r>
              <w:rPr>
                <w:rFonts w:ascii="Arial" w:cs="Arial" w:eastAsia="Arial" w:hAnsi="Arial"/>
                <w:sz w:val="20"/>
                <w:szCs w:val="20"/>
                <w:color w:val="auto"/>
              </w:rPr>
              <w:t>Gross margin</w:t>
            </w:r>
          </w:p>
        </w:tc>
        <w:tc>
          <w:tcPr>
            <w:tcW w:w="720" w:type="dxa"/>
            <w:vAlign w:val="bottom"/>
            <w:shd w:val="clear" w:color="auto" w:fill="CFF2FA"/>
          </w:tcPr>
          <w:p>
            <w:pPr>
              <w:spacing w:after="0"/>
              <w:rPr>
                <w:sz w:val="19"/>
                <w:szCs w:val="19"/>
                <w:color w:val="auto"/>
              </w:rPr>
            </w:pPr>
          </w:p>
        </w:tc>
        <w:tc>
          <w:tcPr>
            <w:tcW w:w="180" w:type="dxa"/>
            <w:vAlign w:val="bottom"/>
            <w:shd w:val="clear" w:color="auto" w:fill="CFF2FA"/>
          </w:tcPr>
          <w:p>
            <w:pPr>
              <w:spacing w:after="0"/>
              <w:rPr>
                <w:sz w:val="19"/>
                <w:szCs w:val="19"/>
                <w:color w:val="auto"/>
              </w:rPr>
            </w:pPr>
          </w:p>
        </w:tc>
        <w:tc>
          <w:tcPr>
            <w:tcW w:w="260" w:type="dxa"/>
            <w:vAlign w:val="bottom"/>
            <w:shd w:val="clear" w:color="auto" w:fill="CFF2FA"/>
          </w:tcPr>
          <w:p>
            <w:pPr>
              <w:spacing w:after="0"/>
              <w:rPr>
                <w:sz w:val="19"/>
                <w:szCs w:val="19"/>
                <w:color w:val="auto"/>
              </w:rPr>
            </w:pPr>
          </w:p>
        </w:tc>
        <w:tc>
          <w:tcPr>
            <w:tcW w:w="1420" w:type="dxa"/>
            <w:vAlign w:val="bottom"/>
            <w:gridSpan w:val="3"/>
            <w:shd w:val="clear" w:color="auto" w:fill="CFF2FA"/>
          </w:tcPr>
          <w:p>
            <w:pPr>
              <w:jc w:val="right"/>
              <w:ind w:right="100"/>
              <w:spacing w:after="0" w:line="224" w:lineRule="exact"/>
              <w:rPr>
                <w:sz w:val="20"/>
                <w:szCs w:val="20"/>
                <w:color w:val="auto"/>
              </w:rPr>
            </w:pPr>
            <w:r>
              <w:rPr>
                <w:rFonts w:ascii="Arial" w:cs="Arial" w:eastAsia="Arial" w:hAnsi="Arial"/>
                <w:sz w:val="20"/>
                <w:szCs w:val="20"/>
                <w:color w:val="auto"/>
              </w:rPr>
              <w:t>32.9%</w:t>
            </w:r>
          </w:p>
        </w:tc>
        <w:tc>
          <w:tcPr>
            <w:tcW w:w="140" w:type="dxa"/>
            <w:vAlign w:val="bottom"/>
            <w:shd w:val="clear" w:color="auto" w:fill="CFF2FA"/>
          </w:tcPr>
          <w:p>
            <w:pPr>
              <w:spacing w:after="0"/>
              <w:rPr>
                <w:sz w:val="19"/>
                <w:szCs w:val="19"/>
                <w:color w:val="auto"/>
              </w:rPr>
            </w:pPr>
          </w:p>
        </w:tc>
        <w:tc>
          <w:tcPr>
            <w:tcW w:w="460" w:type="dxa"/>
            <w:vAlign w:val="bottom"/>
            <w:shd w:val="clear" w:color="auto" w:fill="CFF2FA"/>
          </w:tcPr>
          <w:p>
            <w:pPr>
              <w:spacing w:after="0"/>
              <w:rPr>
                <w:sz w:val="19"/>
                <w:szCs w:val="19"/>
                <w:color w:val="auto"/>
              </w:rPr>
            </w:pPr>
          </w:p>
        </w:tc>
        <w:tc>
          <w:tcPr>
            <w:tcW w:w="1280" w:type="dxa"/>
            <w:vAlign w:val="bottom"/>
            <w:gridSpan w:val="3"/>
            <w:shd w:val="clear" w:color="auto" w:fill="CFF2FA"/>
          </w:tcPr>
          <w:p>
            <w:pPr>
              <w:jc w:val="right"/>
              <w:ind w:right="20"/>
              <w:spacing w:after="0" w:line="224" w:lineRule="exact"/>
              <w:rPr>
                <w:sz w:val="20"/>
                <w:szCs w:val="20"/>
                <w:color w:val="auto"/>
              </w:rPr>
            </w:pPr>
            <w:r>
              <w:rPr>
                <w:rFonts w:ascii="Arial" w:cs="Arial" w:eastAsia="Arial" w:hAnsi="Arial"/>
                <w:sz w:val="20"/>
                <w:szCs w:val="20"/>
                <w:color w:val="auto"/>
              </w:rPr>
              <w:t>20.9%</w:t>
            </w:r>
          </w:p>
        </w:tc>
        <w:tc>
          <w:tcPr>
            <w:tcW w:w="0" w:type="dxa"/>
            <w:vAlign w:val="bottom"/>
          </w:tcPr>
          <w:p>
            <w:pPr>
              <w:spacing w:after="0"/>
              <w:rPr>
                <w:sz w:val="1"/>
                <w:szCs w:val="1"/>
                <w:color w:val="auto"/>
              </w:rPr>
            </w:pPr>
          </w:p>
        </w:tc>
      </w:tr>
      <w:tr>
        <w:trPr>
          <w:trHeight w:val="20"/>
        </w:trPr>
        <w:tc>
          <w:tcPr>
            <w:tcW w:w="6960" w:type="dxa"/>
            <w:vAlign w:val="bottom"/>
            <w:tcBorders>
              <w:top w:val="single" w:sz="8" w:color="CFF2FA"/>
              <w:bottom w:val="single" w:sz="8" w:color="CFF2FA"/>
            </w:tcBorders>
            <w:vMerge w:val="restart"/>
          </w:tcPr>
          <w:p>
            <w:pPr>
              <w:spacing w:after="0"/>
              <w:rPr>
                <w:sz w:val="20"/>
                <w:szCs w:val="20"/>
                <w:color w:val="auto"/>
              </w:rPr>
            </w:pPr>
            <w:r>
              <w:rPr>
                <w:rFonts w:ascii="Arial" w:cs="Arial" w:eastAsia="Arial" w:hAnsi="Arial"/>
                <w:sz w:val="20"/>
                <w:szCs w:val="20"/>
                <w:b w:val="1"/>
                <w:bCs w:val="1"/>
                <w:color w:val="auto"/>
                <w:w w:val="98"/>
              </w:rPr>
              <w:t>Cement Business Gross Margin Excluding Freight and Delivery Revenues</w:t>
            </w:r>
          </w:p>
        </w:tc>
        <w:tc>
          <w:tcPr>
            <w:tcW w:w="720" w:type="dxa"/>
            <w:vAlign w:val="bottom"/>
            <w:tcBorders>
              <w:top w:val="single" w:sz="8" w:color="CFF2FA"/>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2FA"/>
            </w:tcBorders>
          </w:tcPr>
          <w:p>
            <w:pPr>
              <w:spacing w:after="0" w:line="20" w:lineRule="exact"/>
              <w:rPr>
                <w:sz w:val="1"/>
                <w:szCs w:val="1"/>
                <w:color w:val="auto"/>
              </w:rPr>
            </w:pPr>
          </w:p>
        </w:tc>
        <w:tc>
          <w:tcPr>
            <w:tcW w:w="160" w:type="dxa"/>
            <w:vAlign w:val="bottom"/>
            <w:tcBorders>
              <w:top w:val="single" w:sz="8" w:color="CFF2FA"/>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2FA"/>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4"/>
        </w:trPr>
        <w:tc>
          <w:tcPr>
            <w:tcW w:w="6960" w:type="dxa"/>
            <w:vAlign w:val="bottom"/>
            <w:vMerge w:val="continue"/>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69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300" w:type="dxa"/>
            <w:vAlign w:val="bottom"/>
            <w:gridSpan w:val="8"/>
          </w:tcPr>
          <w:p>
            <w:pPr>
              <w:jc w:val="center"/>
              <w:ind w:right="480"/>
              <w:spacing w:after="0"/>
              <w:rPr>
                <w:sz w:val="20"/>
                <w:szCs w:val="20"/>
                <w:color w:val="auto"/>
              </w:rPr>
            </w:pPr>
            <w:r>
              <w:rPr>
                <w:rFonts w:ascii="Arial" w:cs="Arial" w:eastAsia="Arial" w:hAnsi="Arial"/>
                <w:sz w:val="20"/>
                <w:szCs w:val="20"/>
                <w:color w:val="auto"/>
                <w:w w:val="88"/>
              </w:rPr>
              <w:t>Three Months Ended</w:t>
            </w:r>
          </w:p>
        </w:tc>
        <w:tc>
          <w:tcPr>
            <w:tcW w:w="0" w:type="dxa"/>
            <w:vAlign w:val="bottom"/>
          </w:tcPr>
          <w:p>
            <w:pPr>
              <w:spacing w:after="0"/>
              <w:rPr>
                <w:sz w:val="1"/>
                <w:szCs w:val="1"/>
                <w:color w:val="auto"/>
              </w:rPr>
            </w:pPr>
          </w:p>
        </w:tc>
      </w:tr>
      <w:tr>
        <w:trPr>
          <w:trHeight w:val="246"/>
        </w:trPr>
        <w:tc>
          <w:tcPr>
            <w:tcW w:w="69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020" w:type="dxa"/>
            <w:vAlign w:val="bottom"/>
            <w:tcBorders>
              <w:bottom w:val="single" w:sz="8" w:color="auto"/>
            </w:tcBorders>
            <w:gridSpan w:val="5"/>
          </w:tcPr>
          <w:p>
            <w:pPr>
              <w:jc w:val="center"/>
              <w:ind w:left="701"/>
              <w:spacing w:after="0"/>
              <w:rPr>
                <w:sz w:val="20"/>
                <w:szCs w:val="20"/>
                <w:color w:val="auto"/>
              </w:rPr>
            </w:pPr>
            <w:r>
              <w:rPr>
                <w:rFonts w:ascii="Arial" w:cs="Arial" w:eastAsia="Arial" w:hAnsi="Arial"/>
                <w:sz w:val="20"/>
                <w:szCs w:val="20"/>
                <w:color w:val="auto"/>
                <w:w w:val="86"/>
              </w:rPr>
              <w:t>September 30,</w:t>
            </w:r>
          </w:p>
        </w:tc>
        <w:tc>
          <w:tcPr>
            <w:tcW w:w="108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9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81"/>
              <w:spacing w:after="0"/>
              <w:rPr>
                <w:sz w:val="20"/>
                <w:szCs w:val="20"/>
                <w:color w:val="auto"/>
              </w:rPr>
            </w:pPr>
            <w:r>
              <w:rPr>
                <w:rFonts w:ascii="Arial" w:cs="Arial" w:eastAsia="Arial" w:hAnsi="Arial"/>
                <w:sz w:val="20"/>
                <w:szCs w:val="20"/>
                <w:color w:val="auto"/>
              </w:rPr>
              <w:t>2015</w:t>
            </w: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81"/>
              <w:spacing w:after="0"/>
              <w:rPr>
                <w:sz w:val="20"/>
                <w:szCs w:val="20"/>
                <w:color w:val="auto"/>
              </w:rPr>
            </w:pPr>
            <w:r>
              <w:rPr>
                <w:rFonts w:ascii="Arial" w:cs="Arial" w:eastAsia="Arial" w:hAnsi="Arial"/>
                <w:sz w:val="20"/>
                <w:szCs w:val="20"/>
                <w:color w:val="auto"/>
              </w:rPr>
              <w:t>2014</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9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100" w:type="dxa"/>
            <w:vAlign w:val="bottom"/>
            <w:gridSpan w:val="6"/>
          </w:tcPr>
          <w:p>
            <w:pPr>
              <w:jc w:val="center"/>
              <w:ind w:right="181"/>
              <w:spacing w:after="0"/>
              <w:rPr>
                <w:sz w:val="20"/>
                <w:szCs w:val="20"/>
                <w:color w:val="auto"/>
              </w:rPr>
            </w:pPr>
            <w:r>
              <w:rPr>
                <w:rFonts w:ascii="Arial" w:cs="Arial" w:eastAsia="Arial" w:hAnsi="Arial"/>
                <w:sz w:val="20"/>
                <w:szCs w:val="20"/>
                <w:i w:val="1"/>
                <w:iCs w:val="1"/>
                <w:color w:val="auto"/>
                <w:w w:val="92"/>
              </w:rPr>
              <w:t>(Dollars in Thousands)</w:t>
            </w:r>
          </w:p>
        </w:tc>
        <w:tc>
          <w:tcPr>
            <w:tcW w:w="20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960" w:type="dxa"/>
            <w:vAlign w:val="bottom"/>
            <w:shd w:val="clear" w:color="auto" w:fill="CFF2FA"/>
          </w:tcPr>
          <w:p>
            <w:pPr>
              <w:spacing w:after="0"/>
              <w:rPr>
                <w:sz w:val="20"/>
                <w:szCs w:val="20"/>
                <w:color w:val="auto"/>
              </w:rPr>
            </w:pPr>
            <w:r>
              <w:rPr>
                <w:rFonts w:ascii="Arial" w:cs="Arial" w:eastAsia="Arial" w:hAnsi="Arial"/>
                <w:sz w:val="20"/>
                <w:szCs w:val="20"/>
                <w:color w:val="auto"/>
              </w:rPr>
              <w:t>Gross profit</w:t>
            </w:r>
          </w:p>
        </w:tc>
        <w:tc>
          <w:tcPr>
            <w:tcW w:w="1160" w:type="dxa"/>
            <w:vAlign w:val="bottom"/>
            <w:gridSpan w:val="3"/>
            <w:shd w:val="clear" w:color="auto" w:fill="CFF2FA"/>
          </w:tcPr>
          <w:p>
            <w:pPr>
              <w:jc w:val="right"/>
              <w:ind w:right="61"/>
              <w:spacing w:after="0"/>
              <w:rPr>
                <w:sz w:val="20"/>
                <w:szCs w:val="20"/>
                <w:color w:val="auto"/>
              </w:rPr>
            </w:pPr>
            <w:r>
              <w:rPr>
                <w:rFonts w:ascii="Arial" w:cs="Arial" w:eastAsia="Arial" w:hAnsi="Arial"/>
                <w:sz w:val="20"/>
                <w:szCs w:val="20"/>
                <w:color w:val="auto"/>
              </w:rPr>
              <w:t>$</w:t>
            </w:r>
          </w:p>
        </w:tc>
        <w:tc>
          <w:tcPr>
            <w:tcW w:w="1260" w:type="dxa"/>
            <w:vAlign w:val="bottom"/>
            <w:gridSpan w:val="2"/>
            <w:shd w:val="clear" w:color="auto" w:fill="CFF2FA"/>
          </w:tcPr>
          <w:p>
            <w:pPr>
              <w:jc w:val="right"/>
              <w:ind w:right="20"/>
              <w:spacing w:after="0"/>
              <w:rPr>
                <w:sz w:val="20"/>
                <w:szCs w:val="20"/>
                <w:color w:val="auto"/>
              </w:rPr>
            </w:pPr>
            <w:r>
              <w:rPr>
                <w:rFonts w:ascii="Arial" w:cs="Arial" w:eastAsia="Arial" w:hAnsi="Arial"/>
                <w:sz w:val="20"/>
                <w:szCs w:val="20"/>
                <w:color w:val="auto"/>
              </w:rPr>
              <w:t>38,244</w:t>
            </w:r>
          </w:p>
        </w:tc>
        <w:tc>
          <w:tcPr>
            <w:tcW w:w="160" w:type="dxa"/>
            <w:vAlign w:val="bottom"/>
            <w:shd w:val="clear" w:color="auto" w:fill="CFF2FA"/>
          </w:tcPr>
          <w:p>
            <w:pPr>
              <w:spacing w:after="0"/>
              <w:rPr>
                <w:sz w:val="21"/>
                <w:szCs w:val="21"/>
                <w:color w:val="auto"/>
              </w:rPr>
            </w:pPr>
          </w:p>
        </w:tc>
        <w:tc>
          <w:tcPr>
            <w:tcW w:w="600" w:type="dxa"/>
            <w:vAlign w:val="bottom"/>
            <w:gridSpan w:val="2"/>
            <w:shd w:val="clear" w:color="auto" w:fill="CFF2FA"/>
          </w:tcPr>
          <w:p>
            <w:pPr>
              <w:jc w:val="right"/>
              <w:ind w:right="261"/>
              <w:spacing w:after="0"/>
              <w:rPr>
                <w:sz w:val="20"/>
                <w:szCs w:val="20"/>
                <w:color w:val="auto"/>
              </w:rPr>
            </w:pPr>
            <w:r>
              <w:rPr>
                <w:rFonts w:ascii="Arial" w:cs="Arial" w:eastAsia="Arial" w:hAnsi="Arial"/>
                <w:sz w:val="20"/>
                <w:szCs w:val="20"/>
                <w:color w:val="auto"/>
              </w:rPr>
              <w:t>$</w:t>
            </w:r>
          </w:p>
        </w:tc>
        <w:tc>
          <w:tcPr>
            <w:tcW w:w="1080" w:type="dxa"/>
            <w:vAlign w:val="bottom"/>
            <w:shd w:val="clear" w:color="auto" w:fill="CFF2FA"/>
          </w:tcPr>
          <w:p>
            <w:pPr>
              <w:jc w:val="right"/>
              <w:spacing w:after="0"/>
              <w:rPr>
                <w:sz w:val="20"/>
                <w:szCs w:val="20"/>
                <w:color w:val="auto"/>
              </w:rPr>
            </w:pPr>
            <w:r>
              <w:rPr>
                <w:rFonts w:ascii="Arial" w:cs="Arial" w:eastAsia="Arial" w:hAnsi="Arial"/>
                <w:sz w:val="20"/>
                <w:szCs w:val="20"/>
                <w:color w:val="auto"/>
              </w:rPr>
              <w:t>24,194</w:t>
            </w:r>
          </w:p>
        </w:tc>
        <w:tc>
          <w:tcPr>
            <w:tcW w:w="20" w:type="dxa"/>
            <w:vAlign w:val="bottom"/>
            <w:shd w:val="clear" w:color="auto" w:fill="CFF2FA"/>
          </w:tcPr>
          <w:p>
            <w:pPr>
              <w:spacing w:after="0"/>
              <w:rPr>
                <w:sz w:val="21"/>
                <w:szCs w:val="21"/>
                <w:color w:val="auto"/>
              </w:rPr>
            </w:pPr>
          </w:p>
        </w:tc>
        <w:tc>
          <w:tcPr>
            <w:tcW w:w="180" w:type="dxa"/>
            <w:vAlign w:val="bottom"/>
            <w:shd w:val="clear" w:color="auto" w:fill="CFF2FA"/>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960" w:type="dxa"/>
            <w:vAlign w:val="bottom"/>
            <w:tcBorders>
              <w:top w:val="single" w:sz="8" w:color="CFF2FA"/>
              <w:bottom w:val="single" w:sz="8" w:color="CFF2FA"/>
            </w:tcBorders>
            <w:vMerge w:val="restart"/>
          </w:tcPr>
          <w:p>
            <w:pPr>
              <w:spacing w:after="0"/>
              <w:rPr>
                <w:sz w:val="20"/>
                <w:szCs w:val="20"/>
                <w:color w:val="auto"/>
              </w:rPr>
            </w:pPr>
            <w:r>
              <w:rPr>
                <w:rFonts w:ascii="Arial" w:cs="Arial" w:eastAsia="Arial" w:hAnsi="Arial"/>
                <w:sz w:val="20"/>
                <w:szCs w:val="20"/>
                <w:color w:val="auto"/>
              </w:rPr>
              <w:t>Total revenues</w:t>
            </w:r>
          </w:p>
        </w:tc>
        <w:tc>
          <w:tcPr>
            <w:tcW w:w="900" w:type="dxa"/>
            <w:vAlign w:val="bottom"/>
            <w:tcBorders>
              <w:top w:val="single" w:sz="8" w:color="CFF2FA"/>
            </w:tcBorders>
            <w:gridSpan w:val="2"/>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Borders>
              <w:top w:val="single" w:sz="8" w:color="CFF2FA"/>
            </w:tcBorders>
          </w:tcPr>
          <w:p>
            <w:pPr>
              <w:spacing w:after="0" w:line="20" w:lineRule="exact"/>
              <w:rPr>
                <w:sz w:val="1"/>
                <w:szCs w:val="1"/>
                <w:color w:val="auto"/>
              </w:rPr>
            </w:pPr>
          </w:p>
        </w:tc>
        <w:tc>
          <w:tcPr>
            <w:tcW w:w="140" w:type="dxa"/>
            <w:vAlign w:val="bottom"/>
            <w:tcBorders>
              <w:top w:val="single" w:sz="8" w:color="CFF2FA"/>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FF2FA"/>
            </w:tcBorders>
          </w:tcPr>
          <w:p>
            <w:pPr>
              <w:spacing w:after="0" w:line="20" w:lineRule="exact"/>
              <w:rPr>
                <w:sz w:val="1"/>
                <w:szCs w:val="1"/>
                <w:color w:val="auto"/>
              </w:rPr>
            </w:pPr>
          </w:p>
        </w:tc>
        <w:tc>
          <w:tcPr>
            <w:tcW w:w="180" w:type="dxa"/>
            <w:vAlign w:val="bottom"/>
            <w:tcBorders>
              <w:top w:val="single" w:sz="8" w:color="CFF2FA"/>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960" w:type="dxa"/>
            <w:vAlign w:val="bottom"/>
            <w:vMerge w:val="continue"/>
          </w:tcPr>
          <w:p>
            <w:pPr>
              <w:spacing w:after="0"/>
              <w:rPr>
                <w:sz w:val="19"/>
                <w:szCs w:val="19"/>
                <w:color w:val="auto"/>
              </w:rPr>
            </w:pPr>
          </w:p>
        </w:tc>
        <w:tc>
          <w:tcPr>
            <w:tcW w:w="900" w:type="dxa"/>
            <w:vAlign w:val="bottom"/>
            <w:gridSpan w:val="2"/>
          </w:tcPr>
          <w:p>
            <w:pPr>
              <w:spacing w:after="0"/>
              <w:rPr>
                <w:sz w:val="19"/>
                <w:szCs w:val="19"/>
                <w:color w:val="auto"/>
              </w:rPr>
            </w:pPr>
          </w:p>
        </w:tc>
        <w:tc>
          <w:tcPr>
            <w:tcW w:w="260" w:type="dxa"/>
            <w:vAlign w:val="bottom"/>
          </w:tcPr>
          <w:p>
            <w:pPr>
              <w:jc w:val="right"/>
              <w:ind w:right="61"/>
              <w:spacing w:after="0" w:line="224" w:lineRule="exact"/>
              <w:rPr>
                <w:sz w:val="20"/>
                <w:szCs w:val="20"/>
                <w:color w:val="auto"/>
              </w:rPr>
            </w:pPr>
            <w:r>
              <w:rPr>
                <w:rFonts w:ascii="Arial" w:cs="Arial" w:eastAsia="Arial" w:hAnsi="Arial"/>
                <w:sz w:val="20"/>
                <w:szCs w:val="20"/>
                <w:color w:val="auto"/>
                <w:w w:val="71"/>
              </w:rPr>
              <w:t>$</w:t>
            </w:r>
          </w:p>
        </w:tc>
        <w:tc>
          <w:tcPr>
            <w:tcW w:w="1260" w:type="dxa"/>
            <w:vAlign w:val="bottom"/>
            <w:gridSpan w:val="2"/>
          </w:tcPr>
          <w:p>
            <w:pPr>
              <w:jc w:val="right"/>
              <w:ind w:right="20"/>
              <w:spacing w:after="0" w:line="224" w:lineRule="exact"/>
              <w:rPr>
                <w:sz w:val="20"/>
                <w:szCs w:val="20"/>
                <w:color w:val="auto"/>
              </w:rPr>
            </w:pPr>
            <w:r>
              <w:rPr>
                <w:rFonts w:ascii="Arial" w:cs="Arial" w:eastAsia="Arial" w:hAnsi="Arial"/>
                <w:sz w:val="20"/>
                <w:szCs w:val="20"/>
                <w:color w:val="auto"/>
              </w:rPr>
              <w:t>116,135</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jc w:val="right"/>
              <w:ind w:right="261"/>
              <w:spacing w:after="0" w:line="224" w:lineRule="exact"/>
              <w:rPr>
                <w:sz w:val="20"/>
                <w:szCs w:val="20"/>
                <w:color w:val="auto"/>
              </w:rPr>
            </w:pPr>
            <w:r>
              <w:rPr>
                <w:rFonts w:ascii="Arial" w:cs="Arial" w:eastAsia="Arial" w:hAnsi="Arial"/>
                <w:sz w:val="20"/>
                <w:szCs w:val="20"/>
                <w:color w:val="auto"/>
                <w:w w:val="71"/>
              </w:rPr>
              <w:t>$</w:t>
            </w:r>
          </w:p>
        </w:tc>
        <w:tc>
          <w:tcPr>
            <w:tcW w:w="1080" w:type="dxa"/>
            <w:vAlign w:val="bottom"/>
          </w:tcPr>
          <w:p>
            <w:pPr>
              <w:jc w:val="right"/>
              <w:spacing w:after="0" w:line="224" w:lineRule="exact"/>
              <w:rPr>
                <w:sz w:val="20"/>
                <w:szCs w:val="20"/>
                <w:color w:val="auto"/>
              </w:rPr>
            </w:pPr>
            <w:r>
              <w:rPr>
                <w:rFonts w:ascii="Arial" w:cs="Arial" w:eastAsia="Arial" w:hAnsi="Arial"/>
                <w:sz w:val="20"/>
                <w:szCs w:val="20"/>
                <w:color w:val="auto"/>
              </w:rPr>
              <w:t>115,743</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960" w:type="dxa"/>
            <w:vAlign w:val="bottom"/>
            <w:shd w:val="clear" w:color="auto" w:fill="CFF2FA"/>
          </w:tcPr>
          <w:p>
            <w:pPr>
              <w:spacing w:after="0"/>
              <w:rPr>
                <w:sz w:val="20"/>
                <w:szCs w:val="20"/>
                <w:color w:val="auto"/>
              </w:rPr>
            </w:pPr>
            <w:r>
              <w:rPr>
                <w:rFonts w:ascii="Arial" w:cs="Arial" w:eastAsia="Arial" w:hAnsi="Arial"/>
                <w:sz w:val="20"/>
                <w:szCs w:val="20"/>
                <w:color w:val="auto"/>
              </w:rPr>
              <w:t>Less: Freight and delivery revenues</w:t>
            </w:r>
          </w:p>
        </w:tc>
        <w:tc>
          <w:tcPr>
            <w:tcW w:w="720" w:type="dxa"/>
            <w:vAlign w:val="bottom"/>
            <w:shd w:val="clear" w:color="auto" w:fill="CFF2FA"/>
          </w:tcPr>
          <w:p>
            <w:pPr>
              <w:spacing w:after="0"/>
              <w:rPr>
                <w:sz w:val="21"/>
                <w:szCs w:val="21"/>
                <w:color w:val="auto"/>
              </w:rPr>
            </w:pPr>
          </w:p>
        </w:tc>
        <w:tc>
          <w:tcPr>
            <w:tcW w:w="180" w:type="dxa"/>
            <w:vAlign w:val="bottom"/>
            <w:shd w:val="clear" w:color="auto" w:fill="CFF2FA"/>
          </w:tcPr>
          <w:p>
            <w:pPr>
              <w:spacing w:after="0"/>
              <w:rPr>
                <w:sz w:val="21"/>
                <w:szCs w:val="21"/>
                <w:color w:val="auto"/>
              </w:rPr>
            </w:pPr>
          </w:p>
        </w:tc>
        <w:tc>
          <w:tcPr>
            <w:tcW w:w="260" w:type="dxa"/>
            <w:vAlign w:val="bottom"/>
            <w:shd w:val="clear" w:color="auto" w:fill="CFF2FA"/>
          </w:tcPr>
          <w:p>
            <w:pPr>
              <w:spacing w:after="0"/>
              <w:rPr>
                <w:sz w:val="21"/>
                <w:szCs w:val="21"/>
                <w:color w:val="auto"/>
              </w:rPr>
            </w:pPr>
          </w:p>
        </w:tc>
        <w:tc>
          <w:tcPr>
            <w:tcW w:w="1420" w:type="dxa"/>
            <w:vAlign w:val="bottom"/>
            <w:gridSpan w:val="3"/>
            <w:shd w:val="clear" w:color="auto" w:fill="CFF2FA"/>
          </w:tcPr>
          <w:p>
            <w:pPr>
              <w:jc w:val="right"/>
              <w:ind w:right="100"/>
              <w:spacing w:after="0"/>
              <w:rPr>
                <w:sz w:val="20"/>
                <w:szCs w:val="20"/>
                <w:color w:val="auto"/>
              </w:rPr>
            </w:pPr>
            <w:r>
              <w:rPr>
                <w:rFonts w:ascii="Arial" w:cs="Arial" w:eastAsia="Arial" w:hAnsi="Arial"/>
                <w:sz w:val="20"/>
                <w:szCs w:val="20"/>
                <w:color w:val="auto"/>
              </w:rPr>
              <w:t>(5,616)</w:t>
            </w:r>
          </w:p>
        </w:tc>
        <w:tc>
          <w:tcPr>
            <w:tcW w:w="140" w:type="dxa"/>
            <w:vAlign w:val="bottom"/>
            <w:shd w:val="clear" w:color="auto" w:fill="CFF2FA"/>
          </w:tcPr>
          <w:p>
            <w:pPr>
              <w:spacing w:after="0"/>
              <w:rPr>
                <w:sz w:val="21"/>
                <w:szCs w:val="21"/>
                <w:color w:val="auto"/>
              </w:rPr>
            </w:pPr>
          </w:p>
        </w:tc>
        <w:tc>
          <w:tcPr>
            <w:tcW w:w="460" w:type="dxa"/>
            <w:vAlign w:val="bottom"/>
            <w:shd w:val="clear" w:color="auto" w:fill="CFF2FA"/>
          </w:tcPr>
          <w:p>
            <w:pPr>
              <w:spacing w:after="0"/>
              <w:rPr>
                <w:sz w:val="21"/>
                <w:szCs w:val="21"/>
                <w:color w:val="auto"/>
              </w:rPr>
            </w:pPr>
          </w:p>
        </w:tc>
        <w:tc>
          <w:tcPr>
            <w:tcW w:w="1280" w:type="dxa"/>
            <w:vAlign w:val="bottom"/>
            <w:gridSpan w:val="3"/>
            <w:shd w:val="clear" w:color="auto" w:fill="CFF2FA"/>
          </w:tcPr>
          <w:p>
            <w:pPr>
              <w:jc w:val="right"/>
              <w:ind w:right="140"/>
              <w:spacing w:after="0"/>
              <w:rPr>
                <w:sz w:val="20"/>
                <w:szCs w:val="20"/>
                <w:color w:val="auto"/>
              </w:rPr>
            </w:pPr>
            <w:r>
              <w:rPr>
                <w:rFonts w:ascii="Arial" w:cs="Arial" w:eastAsia="Arial" w:hAnsi="Arial"/>
                <w:sz w:val="20"/>
                <w:szCs w:val="20"/>
                <w:color w:val="auto"/>
              </w:rPr>
              <w:t>(6,222)</w:t>
            </w:r>
          </w:p>
        </w:tc>
        <w:tc>
          <w:tcPr>
            <w:tcW w:w="0" w:type="dxa"/>
            <w:vAlign w:val="bottom"/>
          </w:tcPr>
          <w:p>
            <w:pPr>
              <w:spacing w:after="0"/>
              <w:rPr>
                <w:sz w:val="1"/>
                <w:szCs w:val="1"/>
                <w:color w:val="auto"/>
              </w:rPr>
            </w:pPr>
          </w:p>
        </w:tc>
      </w:tr>
      <w:tr>
        <w:trPr>
          <w:trHeight w:val="277"/>
        </w:trPr>
        <w:tc>
          <w:tcPr>
            <w:tcW w:w="6960" w:type="dxa"/>
            <w:vAlign w:val="bottom"/>
            <w:tcBorders>
              <w:bottom w:val="single" w:sz="8" w:color="CFF2FA"/>
            </w:tcBorders>
          </w:tcPr>
          <w:p>
            <w:pPr>
              <w:spacing w:after="0"/>
              <w:rPr>
                <w:sz w:val="20"/>
                <w:szCs w:val="20"/>
                <w:color w:val="auto"/>
              </w:rPr>
            </w:pPr>
            <w:r>
              <w:rPr>
                <w:rFonts w:ascii="Arial" w:cs="Arial" w:eastAsia="Arial" w:hAnsi="Arial"/>
                <w:sz w:val="20"/>
                <w:szCs w:val="20"/>
                <w:color w:val="auto"/>
              </w:rPr>
              <w:t>Net sales</w:t>
            </w:r>
          </w:p>
        </w:tc>
        <w:tc>
          <w:tcPr>
            <w:tcW w:w="900" w:type="dxa"/>
            <w:vAlign w:val="bottom"/>
            <w:tcBorders>
              <w:bottom w:val="single" w:sz="8" w:color="CFF2FA"/>
            </w:tcBorders>
            <w:gridSpan w:val="2"/>
          </w:tcPr>
          <w:p>
            <w:pPr>
              <w:spacing w:after="0"/>
              <w:rPr>
                <w:sz w:val="24"/>
                <w:szCs w:val="24"/>
                <w:color w:val="auto"/>
              </w:rPr>
            </w:pPr>
          </w:p>
        </w:tc>
        <w:tc>
          <w:tcPr>
            <w:tcW w:w="26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20"/>
                <w:szCs w:val="20"/>
                <w:color w:val="auto"/>
                <w:w w:val="71"/>
              </w:rPr>
              <w:t>$</w:t>
            </w:r>
          </w:p>
        </w:tc>
        <w:tc>
          <w:tcPr>
            <w:tcW w:w="12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20"/>
                <w:szCs w:val="20"/>
                <w:color w:val="auto"/>
              </w:rPr>
              <w:t>110,519</w:t>
            </w:r>
          </w:p>
        </w:tc>
        <w:tc>
          <w:tcPr>
            <w:tcW w:w="160" w:type="dxa"/>
            <w:vAlign w:val="bottom"/>
            <w:tcBorders>
              <w:bottom w:val="single" w:sz="8" w:color="CFF2FA"/>
            </w:tcBorders>
          </w:tcPr>
          <w:p>
            <w:pPr>
              <w:spacing w:after="0"/>
              <w:rPr>
                <w:sz w:val="24"/>
                <w:szCs w:val="24"/>
                <w:color w:val="auto"/>
              </w:rPr>
            </w:pPr>
          </w:p>
        </w:tc>
        <w:tc>
          <w:tcPr>
            <w:tcW w:w="140" w:type="dxa"/>
            <w:vAlign w:val="bottom"/>
            <w:tcBorders>
              <w:bottom w:val="single" w:sz="8" w:color="CFF2FA"/>
            </w:tcBorders>
          </w:tcPr>
          <w:p>
            <w:pPr>
              <w:spacing w:after="0"/>
              <w:rPr>
                <w:sz w:val="24"/>
                <w:szCs w:val="24"/>
                <w:color w:val="auto"/>
              </w:rPr>
            </w:pPr>
          </w:p>
        </w:tc>
        <w:tc>
          <w:tcPr>
            <w:tcW w:w="460" w:type="dxa"/>
            <w:vAlign w:val="bottom"/>
            <w:tcBorders>
              <w:top w:val="single" w:sz="8" w:color="auto"/>
              <w:bottom w:val="single" w:sz="8" w:color="auto"/>
            </w:tcBorders>
          </w:tcPr>
          <w:p>
            <w:pPr>
              <w:jc w:val="right"/>
              <w:ind w:right="261"/>
              <w:spacing w:after="0"/>
              <w:rPr>
                <w:sz w:val="20"/>
                <w:szCs w:val="20"/>
                <w:color w:val="auto"/>
              </w:rPr>
            </w:pPr>
            <w:r>
              <w:rPr>
                <w:rFonts w:ascii="Arial" w:cs="Arial" w:eastAsia="Arial" w:hAnsi="Arial"/>
                <w:sz w:val="20"/>
                <w:szCs w:val="20"/>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109,521</w:t>
            </w:r>
          </w:p>
        </w:tc>
        <w:tc>
          <w:tcPr>
            <w:tcW w:w="20" w:type="dxa"/>
            <w:vAlign w:val="bottom"/>
            <w:tcBorders>
              <w:bottom w:val="single" w:sz="8" w:color="CFF2FA"/>
            </w:tcBorders>
          </w:tcPr>
          <w:p>
            <w:pPr>
              <w:spacing w:after="0"/>
              <w:rPr>
                <w:sz w:val="24"/>
                <w:szCs w:val="24"/>
                <w:color w:val="auto"/>
              </w:rPr>
            </w:pPr>
          </w:p>
        </w:tc>
        <w:tc>
          <w:tcPr>
            <w:tcW w:w="180" w:type="dxa"/>
            <w:vAlign w:val="bottom"/>
            <w:tcBorders>
              <w:bottom w:val="single" w:sz="8" w:color="CFF2FA"/>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6960" w:type="dxa"/>
            <w:vAlign w:val="bottom"/>
            <w:shd w:val="clear" w:color="auto" w:fill="CFF2FA"/>
          </w:tcPr>
          <w:p>
            <w:pPr>
              <w:spacing w:after="0" w:line="224" w:lineRule="exact"/>
              <w:rPr>
                <w:sz w:val="20"/>
                <w:szCs w:val="20"/>
                <w:color w:val="auto"/>
              </w:rPr>
            </w:pPr>
            <w:r>
              <w:rPr>
                <w:rFonts w:ascii="Arial" w:cs="Arial" w:eastAsia="Arial" w:hAnsi="Arial"/>
                <w:sz w:val="20"/>
                <w:szCs w:val="20"/>
                <w:color w:val="auto"/>
              </w:rPr>
              <w:t>Gross margin excluding freight and delivery revenues</w:t>
            </w:r>
          </w:p>
        </w:tc>
        <w:tc>
          <w:tcPr>
            <w:tcW w:w="720" w:type="dxa"/>
            <w:vAlign w:val="bottom"/>
            <w:shd w:val="clear" w:color="auto" w:fill="CFF2FA"/>
          </w:tcPr>
          <w:p>
            <w:pPr>
              <w:spacing w:after="0"/>
              <w:rPr>
                <w:sz w:val="19"/>
                <w:szCs w:val="19"/>
                <w:color w:val="auto"/>
              </w:rPr>
            </w:pPr>
          </w:p>
        </w:tc>
        <w:tc>
          <w:tcPr>
            <w:tcW w:w="180" w:type="dxa"/>
            <w:vAlign w:val="bottom"/>
            <w:shd w:val="clear" w:color="auto" w:fill="CFF2FA"/>
          </w:tcPr>
          <w:p>
            <w:pPr>
              <w:spacing w:after="0"/>
              <w:rPr>
                <w:sz w:val="19"/>
                <w:szCs w:val="19"/>
                <w:color w:val="auto"/>
              </w:rPr>
            </w:pPr>
          </w:p>
        </w:tc>
        <w:tc>
          <w:tcPr>
            <w:tcW w:w="260" w:type="dxa"/>
            <w:vAlign w:val="bottom"/>
            <w:shd w:val="clear" w:color="auto" w:fill="CFF2FA"/>
          </w:tcPr>
          <w:p>
            <w:pPr>
              <w:spacing w:after="0"/>
              <w:rPr>
                <w:sz w:val="19"/>
                <w:szCs w:val="19"/>
                <w:color w:val="auto"/>
              </w:rPr>
            </w:pPr>
          </w:p>
        </w:tc>
        <w:tc>
          <w:tcPr>
            <w:tcW w:w="1560" w:type="dxa"/>
            <w:vAlign w:val="bottom"/>
            <w:gridSpan w:val="4"/>
            <w:shd w:val="clear" w:color="auto" w:fill="CFF2FA"/>
          </w:tcPr>
          <w:p>
            <w:pPr>
              <w:jc w:val="right"/>
              <w:ind w:right="41"/>
              <w:spacing w:after="0" w:line="224" w:lineRule="exact"/>
              <w:rPr>
                <w:sz w:val="20"/>
                <w:szCs w:val="20"/>
                <w:color w:val="auto"/>
              </w:rPr>
            </w:pPr>
            <w:r>
              <w:rPr>
                <w:rFonts w:ascii="Arial" w:cs="Arial" w:eastAsia="Arial" w:hAnsi="Arial"/>
                <w:sz w:val="20"/>
                <w:szCs w:val="20"/>
                <w:color w:val="auto"/>
              </w:rPr>
              <w:t>34.6%</w:t>
            </w:r>
          </w:p>
        </w:tc>
        <w:tc>
          <w:tcPr>
            <w:tcW w:w="460" w:type="dxa"/>
            <w:vAlign w:val="bottom"/>
            <w:shd w:val="clear" w:color="auto" w:fill="CFF2FA"/>
          </w:tcPr>
          <w:p>
            <w:pPr>
              <w:spacing w:after="0"/>
              <w:rPr>
                <w:sz w:val="19"/>
                <w:szCs w:val="19"/>
                <w:color w:val="auto"/>
              </w:rPr>
            </w:pPr>
          </w:p>
        </w:tc>
        <w:tc>
          <w:tcPr>
            <w:tcW w:w="1280" w:type="dxa"/>
            <w:vAlign w:val="bottom"/>
            <w:gridSpan w:val="3"/>
            <w:shd w:val="clear" w:color="auto" w:fill="CFF2FA"/>
          </w:tcPr>
          <w:p>
            <w:pPr>
              <w:jc w:val="right"/>
              <w:ind w:right="40"/>
              <w:spacing w:after="0" w:line="224" w:lineRule="exact"/>
              <w:rPr>
                <w:sz w:val="20"/>
                <w:szCs w:val="20"/>
                <w:color w:val="auto"/>
              </w:rPr>
            </w:pPr>
            <w:r>
              <w:rPr>
                <w:rFonts w:ascii="Arial" w:cs="Arial" w:eastAsia="Arial" w:hAnsi="Arial"/>
                <w:sz w:val="20"/>
                <w:szCs w:val="20"/>
                <w:color w:val="auto"/>
              </w:rPr>
              <w:t>22.1%</w:t>
            </w:r>
          </w:p>
        </w:tc>
        <w:tc>
          <w:tcPr>
            <w:tcW w:w="0" w:type="dxa"/>
            <w:vAlign w:val="bottom"/>
          </w:tcPr>
          <w:p>
            <w:pPr>
              <w:spacing w:after="0"/>
              <w:rPr>
                <w:sz w:val="1"/>
                <w:szCs w:val="1"/>
                <w:color w:val="auto"/>
              </w:rPr>
            </w:pPr>
          </w:p>
        </w:tc>
      </w:tr>
      <w:tr>
        <w:trPr>
          <w:trHeight w:val="20"/>
        </w:trPr>
        <w:tc>
          <w:tcPr>
            <w:tcW w:w="6960" w:type="dxa"/>
            <w:vAlign w:val="bottom"/>
            <w:tcBorders>
              <w:top w:val="single" w:sz="8" w:color="CFF2FA"/>
            </w:tcBorders>
          </w:tcPr>
          <w:p>
            <w:pPr>
              <w:spacing w:after="0" w:line="20" w:lineRule="exact"/>
              <w:rPr>
                <w:sz w:val="1"/>
                <w:szCs w:val="1"/>
                <w:color w:val="auto"/>
              </w:rPr>
            </w:pPr>
          </w:p>
        </w:tc>
        <w:tc>
          <w:tcPr>
            <w:tcW w:w="720" w:type="dxa"/>
            <w:vAlign w:val="bottom"/>
            <w:tcBorders>
              <w:top w:val="single" w:sz="8" w:color="CFF2FA"/>
            </w:tcBorders>
          </w:tcPr>
          <w:p>
            <w:pPr>
              <w:spacing w:after="0" w:line="20" w:lineRule="exact"/>
              <w:rPr>
                <w:sz w:val="1"/>
                <w:szCs w:val="1"/>
                <w:color w:val="auto"/>
              </w:rPr>
            </w:pPr>
          </w:p>
        </w:tc>
        <w:tc>
          <w:tcPr>
            <w:tcW w:w="180" w:type="dxa"/>
            <w:vAlign w:val="bottom"/>
            <w:tcBorders>
              <w:top w:val="single" w:sz="8" w:color="CFF2FA"/>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2FA"/>
            </w:tcBorders>
          </w:tcPr>
          <w:p>
            <w:pPr>
              <w:spacing w:after="0" w:line="20" w:lineRule="exact"/>
              <w:rPr>
                <w:sz w:val="1"/>
                <w:szCs w:val="1"/>
                <w:color w:val="auto"/>
              </w:rPr>
            </w:pPr>
          </w:p>
        </w:tc>
        <w:tc>
          <w:tcPr>
            <w:tcW w:w="140" w:type="dxa"/>
            <w:vAlign w:val="bottom"/>
            <w:tcBorders>
              <w:top w:val="single" w:sz="8" w:color="CFF2FA"/>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FF2FA"/>
            </w:tcBorders>
          </w:tcPr>
          <w:p>
            <w:pPr>
              <w:spacing w:after="0" w:line="20" w:lineRule="exact"/>
              <w:rPr>
                <w:sz w:val="1"/>
                <w:szCs w:val="1"/>
                <w:color w:val="auto"/>
              </w:rPr>
            </w:pPr>
          </w:p>
        </w:tc>
        <w:tc>
          <w:tcPr>
            <w:tcW w:w="180" w:type="dxa"/>
            <w:vAlign w:val="bottom"/>
            <w:tcBorders>
              <w:top w:val="single" w:sz="8" w:color="CFF2FA"/>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earnings per diluted share impact of acquisition-related expenses, net, related to the TXI acquisition, represents a non-GAAP measure. It is presented for investors and analysts to evaluate and forecast the Corporation’s ongoing financial results, as acquisition-related expenses, net, related to TXI are nonrecurring.</w:t>
      </w:r>
    </w:p>
    <w:p>
      <w:pPr>
        <w:spacing w:after="0" w:line="200" w:lineRule="exact"/>
        <w:rPr>
          <w:sz w:val="20"/>
          <w:szCs w:val="20"/>
          <w:color w:val="auto"/>
        </w:rPr>
      </w:pPr>
    </w:p>
    <w:p>
      <w:pPr>
        <w:ind w:right="440"/>
        <w:spacing w:after="0" w:line="287" w:lineRule="auto"/>
        <w:rPr>
          <w:sz w:val="20"/>
          <w:szCs w:val="20"/>
          <w:color w:val="auto"/>
        </w:rPr>
      </w:pPr>
      <w:r>
        <w:rPr>
          <w:rFonts w:ascii="Arial" w:cs="Arial" w:eastAsia="Arial" w:hAnsi="Arial"/>
          <w:sz w:val="19"/>
          <w:szCs w:val="19"/>
          <w:color w:val="auto"/>
        </w:rPr>
        <w:t>The following shows the calculation of the impact of acquisition-related expenses, net, related to the combination with TXI on the loss per diluted share for the three and nine months ended September 30, 2014 (in thousands except per share data).</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00" w:type="dxa"/>
            <w:vAlign w:val="bottom"/>
          </w:tcPr>
          <w:p>
            <w:pPr>
              <w:spacing w:after="0"/>
              <w:rPr>
                <w:sz w:val="21"/>
                <w:szCs w:val="21"/>
                <w:color w:val="auto"/>
              </w:rPr>
            </w:pPr>
          </w:p>
        </w:tc>
        <w:tc>
          <w:tcPr>
            <w:tcW w:w="1500" w:type="dxa"/>
            <w:vAlign w:val="bottom"/>
            <w:gridSpan w:val="3"/>
          </w:tcPr>
          <w:p>
            <w:pPr>
              <w:jc w:val="right"/>
              <w:ind w:right="300"/>
              <w:spacing w:after="0"/>
              <w:rPr>
                <w:sz w:val="20"/>
                <w:szCs w:val="20"/>
                <w:color w:val="auto"/>
              </w:rPr>
            </w:pPr>
            <w:r>
              <w:rPr>
                <w:rFonts w:ascii="Arial" w:cs="Arial" w:eastAsia="Arial" w:hAnsi="Arial"/>
                <w:sz w:val="20"/>
                <w:szCs w:val="20"/>
                <w:color w:val="auto"/>
                <w:w w:val="95"/>
              </w:rPr>
              <w:t>Three Months</w:t>
            </w:r>
          </w:p>
        </w:tc>
        <w:tc>
          <w:tcPr>
            <w:tcW w:w="1320" w:type="dxa"/>
            <w:vAlign w:val="bottom"/>
            <w:gridSpan w:val="3"/>
          </w:tcPr>
          <w:p>
            <w:pPr>
              <w:jc w:val="right"/>
              <w:ind w:right="200"/>
              <w:spacing w:after="0"/>
              <w:rPr>
                <w:sz w:val="20"/>
                <w:szCs w:val="20"/>
                <w:color w:val="auto"/>
              </w:rPr>
            </w:pPr>
            <w:r>
              <w:rPr>
                <w:rFonts w:ascii="Arial" w:cs="Arial" w:eastAsia="Arial" w:hAnsi="Arial"/>
                <w:sz w:val="20"/>
                <w:szCs w:val="20"/>
                <w:color w:val="auto"/>
                <w:w w:val="97"/>
              </w:rPr>
              <w:t>Nine Months</w:t>
            </w:r>
          </w:p>
        </w:tc>
        <w:tc>
          <w:tcPr>
            <w:tcW w:w="0" w:type="dxa"/>
            <w:vAlign w:val="bottom"/>
          </w:tcPr>
          <w:p>
            <w:pPr>
              <w:spacing w:after="0"/>
              <w:rPr>
                <w:sz w:val="1"/>
                <w:szCs w:val="1"/>
                <w:color w:val="auto"/>
              </w:rPr>
            </w:pPr>
          </w:p>
        </w:tc>
      </w:tr>
      <w:tr>
        <w:trPr>
          <w:trHeight w:val="246"/>
        </w:trPr>
        <w:tc>
          <w:tcPr>
            <w:tcW w:w="86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gridSpan w:val="2"/>
          </w:tcPr>
          <w:p>
            <w:pPr>
              <w:jc w:val="right"/>
              <w:ind w:right="600"/>
              <w:spacing w:after="0"/>
              <w:rPr>
                <w:sz w:val="20"/>
                <w:szCs w:val="20"/>
                <w:color w:val="auto"/>
              </w:rPr>
            </w:pPr>
            <w:r>
              <w:rPr>
                <w:rFonts w:ascii="Arial" w:cs="Arial" w:eastAsia="Arial" w:hAnsi="Arial"/>
                <w:sz w:val="20"/>
                <w:szCs w:val="20"/>
                <w:color w:val="auto"/>
              </w:rPr>
              <w:t>Ended</w:t>
            </w:r>
          </w:p>
        </w:tc>
        <w:tc>
          <w:tcPr>
            <w:tcW w:w="220" w:type="dxa"/>
            <w:vAlign w:val="bottom"/>
          </w:tcPr>
          <w:p>
            <w:pPr>
              <w:spacing w:after="0"/>
              <w:rPr>
                <w:sz w:val="21"/>
                <w:szCs w:val="21"/>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20"/>
                <w:szCs w:val="20"/>
                <w:color w:val="auto"/>
              </w:rPr>
              <w:t>Ended</w:t>
            </w:r>
          </w:p>
        </w:tc>
        <w:tc>
          <w:tcPr>
            <w:tcW w:w="0" w:type="dxa"/>
            <w:vAlign w:val="bottom"/>
          </w:tcPr>
          <w:p>
            <w:pPr>
              <w:spacing w:after="0"/>
              <w:rPr>
                <w:sz w:val="1"/>
                <w:szCs w:val="1"/>
                <w:color w:val="auto"/>
              </w:rPr>
            </w:pPr>
          </w:p>
        </w:tc>
      </w:tr>
      <w:tr>
        <w:trPr>
          <w:trHeight w:val="237"/>
        </w:trPr>
        <w:tc>
          <w:tcPr>
            <w:tcW w:w="8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20"/>
                <w:szCs w:val="20"/>
                <w:color w:val="auto"/>
              </w:rPr>
              <w:t>Acquisition-related expenses, net, related to the business combination with TXI</w:t>
            </w:r>
          </w:p>
        </w:tc>
        <w:tc>
          <w:tcPr>
            <w:tcW w:w="240" w:type="dxa"/>
            <w:vAlign w:val="bottom"/>
            <w:tcBorders>
              <w:top w:val="single" w:sz="8" w:color="auto"/>
            </w:tcBorders>
            <w:shd w:val="clear" w:color="auto" w:fill="CFF0FC"/>
          </w:tcPr>
          <w:p>
            <w:pPr>
              <w:jc w:val="right"/>
              <w:ind w:right="41"/>
              <w:spacing w:after="0"/>
              <w:rPr>
                <w:sz w:val="20"/>
                <w:szCs w:val="20"/>
                <w:color w:val="auto"/>
              </w:rPr>
            </w:pPr>
            <w:r>
              <w:rPr>
                <w:rFonts w:ascii="Arial" w:cs="Arial" w:eastAsia="Arial" w:hAnsi="Arial"/>
                <w:sz w:val="20"/>
                <w:szCs w:val="20"/>
                <w:color w:val="auto"/>
                <w:w w:val="71"/>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26,064</w:t>
            </w:r>
          </w:p>
        </w:tc>
        <w:tc>
          <w:tcPr>
            <w:tcW w:w="200" w:type="dxa"/>
            <w:vAlign w:val="bottom"/>
            <w:tcBorders>
              <w:top w:val="single" w:sz="8" w:color="CFF0FC"/>
            </w:tcBorders>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jc w:val="right"/>
              <w:ind w:right="21"/>
              <w:spacing w:after="0"/>
              <w:rPr>
                <w:sz w:val="20"/>
                <w:szCs w:val="20"/>
                <w:color w:val="auto"/>
              </w:rPr>
            </w:pPr>
            <w:r>
              <w:rPr>
                <w:rFonts w:ascii="Arial" w:cs="Arial" w:eastAsia="Arial" w:hAnsi="Arial"/>
                <w:sz w:val="20"/>
                <w:szCs w:val="20"/>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41,055</w:t>
            </w:r>
          </w:p>
        </w:tc>
        <w:tc>
          <w:tcPr>
            <w:tcW w:w="120" w:type="dxa"/>
            <w:vAlign w:val="bottom"/>
            <w:tcBorders>
              <w:top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600" w:type="dxa"/>
            <w:vAlign w:val="bottom"/>
            <w:tcBorders>
              <w:bottom w:val="single" w:sz="8" w:color="CFF0FC"/>
            </w:tcBorders>
          </w:tcPr>
          <w:p>
            <w:pPr>
              <w:spacing w:after="0"/>
              <w:rPr>
                <w:sz w:val="20"/>
                <w:szCs w:val="20"/>
                <w:color w:val="auto"/>
              </w:rPr>
            </w:pPr>
            <w:r>
              <w:rPr>
                <w:rFonts w:ascii="Arial" w:cs="Arial" w:eastAsia="Arial" w:hAnsi="Arial"/>
                <w:sz w:val="20"/>
                <w:szCs w:val="20"/>
                <w:color w:val="auto"/>
              </w:rPr>
              <w:t>Income tax expense</w:t>
            </w:r>
          </w:p>
        </w:tc>
        <w:tc>
          <w:tcPr>
            <w:tcW w:w="2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11,539</w:t>
            </w:r>
          </w:p>
        </w:tc>
        <w:tc>
          <w:tcPr>
            <w:tcW w:w="200" w:type="dxa"/>
            <w:vAlign w:val="bottom"/>
            <w:tcBorders>
              <w:bottom w:val="single" w:sz="8" w:color="CFF0FC"/>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7,462</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8600" w:type="dxa"/>
            <w:vAlign w:val="bottom"/>
            <w:shd w:val="clear" w:color="auto" w:fill="CFF0FC"/>
          </w:tcPr>
          <w:p>
            <w:pPr>
              <w:spacing w:after="0" w:line="220" w:lineRule="exact"/>
              <w:rPr>
                <w:sz w:val="20"/>
                <w:szCs w:val="20"/>
                <w:color w:val="auto"/>
              </w:rPr>
            </w:pPr>
            <w:r>
              <w:rPr>
                <w:rFonts w:ascii="Arial" w:cs="Arial" w:eastAsia="Arial" w:hAnsi="Arial"/>
                <w:sz w:val="20"/>
                <w:szCs w:val="20"/>
                <w:color w:val="auto"/>
              </w:rPr>
              <w:t>After-tax impact of acquisition-related expenses, net, related to the</w:t>
            </w:r>
          </w:p>
        </w:tc>
        <w:tc>
          <w:tcPr>
            <w:tcW w:w="2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860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20"/>
                <w:szCs w:val="20"/>
                <w:color w:val="auto"/>
              </w:rPr>
              <w:t>business combination with TXI</w:t>
            </w:r>
          </w:p>
        </w:tc>
        <w:tc>
          <w:tcPr>
            <w:tcW w:w="24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20"/>
                <w:szCs w:val="20"/>
                <w:color w:val="auto"/>
                <w:w w:val="71"/>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37,603</w:t>
            </w:r>
          </w:p>
        </w:tc>
        <w:tc>
          <w:tcPr>
            <w:tcW w:w="2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21"/>
              <w:spacing w:after="0"/>
              <w:rPr>
                <w:sz w:val="20"/>
                <w:szCs w:val="20"/>
                <w:color w:val="auto"/>
              </w:rPr>
            </w:pPr>
            <w:r>
              <w:rPr>
                <w:rFonts w:ascii="Arial" w:cs="Arial" w:eastAsia="Arial" w:hAnsi="Arial"/>
                <w:sz w:val="20"/>
                <w:szCs w:val="20"/>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48,517</w:t>
            </w:r>
          </w:p>
        </w:tc>
        <w:tc>
          <w:tcPr>
            <w:tcW w:w="12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600" w:type="dxa"/>
            <w:vAlign w:val="bottom"/>
            <w:vMerge w:val="restart"/>
          </w:tcPr>
          <w:p>
            <w:pPr>
              <w:spacing w:after="0"/>
              <w:rPr>
                <w:sz w:val="20"/>
                <w:szCs w:val="20"/>
                <w:color w:val="auto"/>
              </w:rPr>
            </w:pPr>
            <w:r>
              <w:rPr>
                <w:rFonts w:ascii="Arial" w:cs="Arial" w:eastAsia="Arial" w:hAnsi="Arial"/>
                <w:sz w:val="20"/>
                <w:szCs w:val="20"/>
                <w:color w:val="auto"/>
              </w:rPr>
              <w:t>Diluted average number of common shares outstanding</w:t>
            </w: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8600" w:type="dxa"/>
            <w:vAlign w:val="bottom"/>
            <w:tcBorders>
              <w:bottom w:val="single" w:sz="8" w:color="CFF0FC"/>
            </w:tcBorders>
            <w:vMerge w:val="continue"/>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line="224" w:lineRule="exact"/>
              <w:rPr>
                <w:sz w:val="20"/>
                <w:szCs w:val="20"/>
                <w:color w:val="auto"/>
              </w:rPr>
            </w:pPr>
            <w:r>
              <w:rPr>
                <w:rFonts w:ascii="Arial" w:cs="Arial" w:eastAsia="Arial" w:hAnsi="Arial"/>
                <w:sz w:val="20"/>
                <w:szCs w:val="20"/>
                <w:color w:val="auto"/>
              </w:rPr>
              <w:t>67,495</w:t>
            </w:r>
          </w:p>
        </w:tc>
        <w:tc>
          <w:tcPr>
            <w:tcW w:w="20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line="224" w:lineRule="exact"/>
              <w:rPr>
                <w:sz w:val="20"/>
                <w:szCs w:val="20"/>
                <w:color w:val="auto"/>
              </w:rPr>
            </w:pPr>
            <w:r>
              <w:rPr>
                <w:rFonts w:ascii="Arial" w:cs="Arial" w:eastAsia="Arial" w:hAnsi="Arial"/>
                <w:sz w:val="20"/>
                <w:szCs w:val="20"/>
                <w:color w:val="auto"/>
              </w:rPr>
              <w:t>53,559</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07"/>
        </w:trPr>
        <w:tc>
          <w:tcPr>
            <w:tcW w:w="8600" w:type="dxa"/>
            <w:vAlign w:val="bottom"/>
            <w:shd w:val="clear" w:color="auto" w:fill="CFF0FC"/>
          </w:tcPr>
          <w:p>
            <w:pPr>
              <w:spacing w:after="0" w:line="207" w:lineRule="exact"/>
              <w:rPr>
                <w:sz w:val="20"/>
                <w:szCs w:val="20"/>
                <w:color w:val="auto"/>
              </w:rPr>
            </w:pPr>
            <w:r>
              <w:rPr>
                <w:rFonts w:ascii="Arial" w:cs="Arial" w:eastAsia="Arial" w:hAnsi="Arial"/>
                <w:sz w:val="20"/>
                <w:szCs w:val="20"/>
                <w:color w:val="auto"/>
              </w:rPr>
              <w:t>Per diluted share impact of acquisition-related expenses, net, related</w:t>
            </w:r>
          </w:p>
        </w:tc>
        <w:tc>
          <w:tcPr>
            <w:tcW w:w="24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8600" w:type="dxa"/>
            <w:vAlign w:val="bottom"/>
            <w:shd w:val="clear" w:color="auto" w:fill="CFF0FC"/>
          </w:tcPr>
          <w:p>
            <w:pPr>
              <w:ind w:left="260"/>
              <w:spacing w:after="0"/>
              <w:rPr>
                <w:sz w:val="20"/>
                <w:szCs w:val="20"/>
                <w:color w:val="auto"/>
              </w:rPr>
            </w:pPr>
            <w:r>
              <w:rPr>
                <w:rFonts w:ascii="Arial" w:cs="Arial" w:eastAsia="Arial" w:hAnsi="Arial"/>
                <w:sz w:val="20"/>
                <w:szCs w:val="20"/>
                <w:color w:val="auto"/>
              </w:rPr>
              <w:t>to the business combination with TXI</w:t>
            </w:r>
          </w:p>
        </w:tc>
        <w:tc>
          <w:tcPr>
            <w:tcW w:w="24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w w:val="71"/>
              </w:rPr>
              <w:t>$</w:t>
            </w:r>
          </w:p>
        </w:tc>
        <w:tc>
          <w:tcPr>
            <w:tcW w:w="1260" w:type="dxa"/>
            <w:vAlign w:val="bottom"/>
            <w:gridSpan w:val="2"/>
            <w:shd w:val="clear" w:color="auto" w:fill="CFF0FC"/>
          </w:tcPr>
          <w:p>
            <w:pPr>
              <w:jc w:val="right"/>
              <w:ind w:right="140"/>
              <w:spacing w:after="0"/>
              <w:rPr>
                <w:sz w:val="20"/>
                <w:szCs w:val="20"/>
                <w:color w:val="auto"/>
              </w:rPr>
            </w:pPr>
            <w:r>
              <w:rPr>
                <w:rFonts w:ascii="Arial" w:cs="Arial" w:eastAsia="Arial" w:hAnsi="Arial"/>
                <w:sz w:val="20"/>
                <w:szCs w:val="20"/>
                <w:color w:val="auto"/>
              </w:rPr>
              <w:t>(0.56)</w:t>
            </w:r>
          </w:p>
        </w:tc>
        <w:tc>
          <w:tcPr>
            <w:tcW w:w="22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w w:val="71"/>
              </w:rPr>
              <w:t>$</w:t>
            </w: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20"/>
                <w:szCs w:val="20"/>
                <w:color w:val="auto"/>
              </w:rPr>
              <w:t>(0.91)</w:t>
            </w:r>
          </w:p>
        </w:tc>
        <w:tc>
          <w:tcPr>
            <w:tcW w:w="0" w:type="dxa"/>
            <w:vAlign w:val="bottom"/>
          </w:tcPr>
          <w:p>
            <w:pPr>
              <w:spacing w:after="0"/>
              <w:rPr>
                <w:sz w:val="1"/>
                <w:szCs w:val="1"/>
                <w:color w:val="auto"/>
              </w:rPr>
            </w:pPr>
          </w:p>
        </w:tc>
      </w:tr>
      <w:tr>
        <w:trPr>
          <w:trHeight w:val="20"/>
        </w:trPr>
        <w:tc>
          <w:tcPr>
            <w:tcW w:w="86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28 of 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8" w:name="page29"/>
    <w:bookmarkEnd w:id="28"/>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September 30, 2015</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rPr>
          <w:sz w:val="20"/>
          <w:szCs w:val="20"/>
          <w:color w:val="auto"/>
        </w:rPr>
      </w:pPr>
      <w:r>
        <w:rPr>
          <w:rFonts w:ascii="Arial" w:cs="Arial" w:eastAsia="Arial" w:hAnsi="Arial"/>
          <w:sz w:val="20"/>
          <w:szCs w:val="20"/>
          <w:color w:val="auto"/>
        </w:rPr>
        <w:t>Third Quarter Ended September 30, 2015</w:t>
      </w:r>
    </w:p>
    <w:p>
      <w:pPr>
        <w:jc w:val="center"/>
        <w:spacing w:after="0"/>
        <w:rPr>
          <w:sz w:val="20"/>
          <w:szCs w:val="20"/>
          <w:color w:val="auto"/>
        </w:rPr>
      </w:pPr>
      <w:r>
        <w:rPr>
          <w:rFonts w:ascii="Arial" w:cs="Arial" w:eastAsia="Arial" w:hAnsi="Arial"/>
          <w:sz w:val="20"/>
          <w:szCs w:val="20"/>
          <w:color w:val="auto"/>
        </w:rPr>
        <w:t>(Continued)</w:t>
      </w:r>
    </w:p>
    <w:p>
      <w:pPr>
        <w:spacing w:after="0" w:line="213" w:lineRule="exact"/>
        <w:rPr>
          <w:sz w:val="20"/>
          <w:szCs w:val="20"/>
          <w:color w:val="auto"/>
        </w:rPr>
      </w:pPr>
    </w:p>
    <w:p>
      <w:pPr>
        <w:spacing w:after="0" w:line="250" w:lineRule="auto"/>
        <w:rPr>
          <w:sz w:val="20"/>
          <w:szCs w:val="20"/>
          <w:color w:val="auto"/>
        </w:rPr>
      </w:pPr>
      <w:r>
        <w:rPr>
          <w:rFonts w:ascii="Arial" w:cs="Arial" w:eastAsia="Arial" w:hAnsi="Arial"/>
          <w:sz w:val="20"/>
          <w:szCs w:val="20"/>
          <w:color w:val="auto"/>
        </w:rPr>
        <w:t>The following shows the calculation of the earnings per diluted share impact of selling acquired inventory due to the markup to fair value as part of accounting for the TXI acquisition for the three and nine months ended September 30, 2014:</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600" w:type="dxa"/>
            <w:vAlign w:val="bottom"/>
          </w:tcPr>
          <w:p>
            <w:pPr>
              <w:spacing w:after="0"/>
              <w:rPr>
                <w:sz w:val="20"/>
                <w:szCs w:val="20"/>
                <w:color w:val="auto"/>
              </w:rPr>
            </w:pPr>
          </w:p>
        </w:tc>
        <w:tc>
          <w:tcPr>
            <w:tcW w:w="1500" w:type="dxa"/>
            <w:vAlign w:val="bottom"/>
            <w:gridSpan w:val="3"/>
          </w:tcPr>
          <w:p>
            <w:pPr>
              <w:jc w:val="right"/>
              <w:ind w:right="300"/>
              <w:spacing w:after="0"/>
              <w:rPr>
                <w:sz w:val="20"/>
                <w:szCs w:val="20"/>
                <w:color w:val="auto"/>
              </w:rPr>
            </w:pPr>
            <w:r>
              <w:rPr>
                <w:rFonts w:ascii="Arial" w:cs="Arial" w:eastAsia="Arial" w:hAnsi="Arial"/>
                <w:sz w:val="20"/>
                <w:szCs w:val="20"/>
                <w:color w:val="auto"/>
                <w:w w:val="95"/>
              </w:rPr>
              <w:t>Three Months</w:t>
            </w:r>
          </w:p>
        </w:tc>
        <w:tc>
          <w:tcPr>
            <w:tcW w:w="1320" w:type="dxa"/>
            <w:vAlign w:val="bottom"/>
            <w:gridSpan w:val="3"/>
          </w:tcPr>
          <w:p>
            <w:pPr>
              <w:jc w:val="right"/>
              <w:ind w:right="200"/>
              <w:spacing w:after="0"/>
              <w:rPr>
                <w:sz w:val="20"/>
                <w:szCs w:val="20"/>
                <w:color w:val="auto"/>
              </w:rPr>
            </w:pPr>
            <w:r>
              <w:rPr>
                <w:rFonts w:ascii="Arial" w:cs="Arial" w:eastAsia="Arial" w:hAnsi="Arial"/>
                <w:sz w:val="20"/>
                <w:szCs w:val="20"/>
                <w:color w:val="auto"/>
                <w:w w:val="97"/>
              </w:rPr>
              <w:t>Nine Months</w:t>
            </w:r>
          </w:p>
        </w:tc>
        <w:tc>
          <w:tcPr>
            <w:tcW w:w="0" w:type="dxa"/>
            <w:vAlign w:val="bottom"/>
          </w:tcPr>
          <w:p>
            <w:pPr>
              <w:spacing w:after="0"/>
              <w:rPr>
                <w:sz w:val="1"/>
                <w:szCs w:val="1"/>
                <w:color w:val="auto"/>
              </w:rPr>
            </w:pPr>
          </w:p>
        </w:tc>
      </w:tr>
      <w:tr>
        <w:trPr>
          <w:trHeight w:val="246"/>
        </w:trPr>
        <w:tc>
          <w:tcPr>
            <w:tcW w:w="86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gridSpan w:val="2"/>
          </w:tcPr>
          <w:p>
            <w:pPr>
              <w:jc w:val="right"/>
              <w:ind w:right="600"/>
              <w:spacing w:after="0"/>
              <w:rPr>
                <w:sz w:val="20"/>
                <w:szCs w:val="20"/>
                <w:color w:val="auto"/>
              </w:rPr>
            </w:pPr>
            <w:r>
              <w:rPr>
                <w:rFonts w:ascii="Arial" w:cs="Arial" w:eastAsia="Arial" w:hAnsi="Arial"/>
                <w:sz w:val="20"/>
                <w:szCs w:val="20"/>
                <w:color w:val="auto"/>
              </w:rPr>
              <w:t>Ended</w:t>
            </w:r>
          </w:p>
        </w:tc>
        <w:tc>
          <w:tcPr>
            <w:tcW w:w="220" w:type="dxa"/>
            <w:vAlign w:val="bottom"/>
          </w:tcPr>
          <w:p>
            <w:pPr>
              <w:spacing w:after="0"/>
              <w:rPr>
                <w:sz w:val="21"/>
                <w:szCs w:val="21"/>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20"/>
                <w:szCs w:val="20"/>
                <w:color w:val="auto"/>
              </w:rPr>
              <w:t>Ended</w:t>
            </w:r>
          </w:p>
        </w:tc>
        <w:tc>
          <w:tcPr>
            <w:tcW w:w="0" w:type="dxa"/>
            <w:vAlign w:val="bottom"/>
          </w:tcPr>
          <w:p>
            <w:pPr>
              <w:spacing w:after="0"/>
              <w:rPr>
                <w:sz w:val="1"/>
                <w:szCs w:val="1"/>
                <w:color w:val="auto"/>
              </w:rPr>
            </w:pPr>
          </w:p>
        </w:tc>
      </w:tr>
      <w:tr>
        <w:trPr>
          <w:trHeight w:val="220"/>
        </w:trPr>
        <w:tc>
          <w:tcPr>
            <w:tcW w:w="8600" w:type="dxa"/>
            <w:vAlign w:val="bottom"/>
            <w:tcBorders>
              <w:top w:val="single" w:sz="8" w:color="CFF0FC"/>
            </w:tcBorders>
            <w:shd w:val="clear" w:color="auto" w:fill="CFF0FC"/>
          </w:tcPr>
          <w:p>
            <w:pPr>
              <w:spacing w:after="0" w:line="220" w:lineRule="exact"/>
              <w:rPr>
                <w:sz w:val="20"/>
                <w:szCs w:val="20"/>
                <w:color w:val="auto"/>
              </w:rPr>
            </w:pPr>
            <w:r>
              <w:rPr>
                <w:rFonts w:ascii="Arial" w:cs="Arial" w:eastAsia="Arial" w:hAnsi="Arial"/>
                <w:sz w:val="20"/>
                <w:szCs w:val="20"/>
                <w:color w:val="auto"/>
              </w:rPr>
              <w:t>Earnings impact of selling acquired inventory due to markup to fair value as part of</w:t>
            </w:r>
          </w:p>
        </w:tc>
        <w:tc>
          <w:tcPr>
            <w:tcW w:w="24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8600" w:type="dxa"/>
            <w:vAlign w:val="bottom"/>
            <w:shd w:val="clear" w:color="auto" w:fill="CFF0FC"/>
          </w:tcPr>
          <w:p>
            <w:pPr>
              <w:ind w:left="260"/>
              <w:spacing w:after="0"/>
              <w:rPr>
                <w:sz w:val="20"/>
                <w:szCs w:val="20"/>
                <w:color w:val="auto"/>
              </w:rPr>
            </w:pPr>
            <w:r>
              <w:rPr>
                <w:rFonts w:ascii="Arial" w:cs="Arial" w:eastAsia="Arial" w:hAnsi="Arial"/>
                <w:sz w:val="20"/>
                <w:szCs w:val="20"/>
                <w:color w:val="auto"/>
              </w:rPr>
              <w:t>accounting for the TXI acquisition</w:t>
            </w:r>
          </w:p>
        </w:tc>
        <w:tc>
          <w:tcPr>
            <w:tcW w:w="24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w w:val="71"/>
              </w:rPr>
              <w:t>$</w:t>
            </w:r>
          </w:p>
        </w:tc>
        <w:tc>
          <w:tcPr>
            <w:tcW w:w="1260" w:type="dxa"/>
            <w:vAlign w:val="bottom"/>
            <w:gridSpan w:val="2"/>
            <w:shd w:val="clear" w:color="auto" w:fill="CFF0FC"/>
          </w:tcPr>
          <w:p>
            <w:pPr>
              <w:jc w:val="right"/>
              <w:ind w:right="140"/>
              <w:spacing w:after="0"/>
              <w:rPr>
                <w:sz w:val="20"/>
                <w:szCs w:val="20"/>
                <w:color w:val="auto"/>
              </w:rPr>
            </w:pPr>
            <w:r>
              <w:rPr>
                <w:rFonts w:ascii="Arial" w:cs="Arial" w:eastAsia="Arial" w:hAnsi="Arial"/>
                <w:sz w:val="20"/>
                <w:szCs w:val="20"/>
                <w:color w:val="auto"/>
              </w:rPr>
              <w:t>(10,873)</w:t>
            </w:r>
          </w:p>
        </w:tc>
        <w:tc>
          <w:tcPr>
            <w:tcW w:w="22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w w:val="71"/>
              </w:rPr>
              <w:t>$</w:t>
            </w: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20"/>
                <w:szCs w:val="20"/>
                <w:color w:val="auto"/>
              </w:rPr>
              <w:t>(10,873)</w:t>
            </w:r>
          </w:p>
        </w:tc>
        <w:tc>
          <w:tcPr>
            <w:tcW w:w="0" w:type="dxa"/>
            <w:vAlign w:val="bottom"/>
          </w:tcPr>
          <w:p>
            <w:pPr>
              <w:spacing w:after="0"/>
              <w:rPr>
                <w:sz w:val="1"/>
                <w:szCs w:val="1"/>
                <w:color w:val="auto"/>
              </w:rPr>
            </w:pPr>
          </w:p>
        </w:tc>
      </w:tr>
      <w:tr>
        <w:trPr>
          <w:trHeight w:val="243"/>
        </w:trPr>
        <w:tc>
          <w:tcPr>
            <w:tcW w:w="8600" w:type="dxa"/>
            <w:vAlign w:val="bottom"/>
            <w:tcBorders>
              <w:bottom w:val="single" w:sz="8" w:color="CFF0FC"/>
            </w:tcBorders>
          </w:tcPr>
          <w:p>
            <w:pPr>
              <w:spacing w:after="0"/>
              <w:rPr>
                <w:sz w:val="20"/>
                <w:szCs w:val="20"/>
                <w:color w:val="auto"/>
              </w:rPr>
            </w:pPr>
            <w:r>
              <w:rPr>
                <w:rFonts w:ascii="Arial" w:cs="Arial" w:eastAsia="Arial" w:hAnsi="Arial"/>
                <w:sz w:val="20"/>
                <w:szCs w:val="20"/>
                <w:color w:val="auto"/>
              </w:rPr>
              <w:t>Income tax benefit</w:t>
            </w:r>
          </w:p>
        </w:tc>
        <w:tc>
          <w:tcPr>
            <w:tcW w:w="2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4,018</w:t>
            </w:r>
          </w:p>
        </w:tc>
        <w:tc>
          <w:tcPr>
            <w:tcW w:w="200" w:type="dxa"/>
            <w:vAlign w:val="bottom"/>
            <w:tcBorders>
              <w:bottom w:val="single" w:sz="8" w:color="CFF0FC"/>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4,018</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8600" w:type="dxa"/>
            <w:vAlign w:val="bottom"/>
            <w:shd w:val="clear" w:color="auto" w:fill="CFF0FC"/>
          </w:tcPr>
          <w:p>
            <w:pPr>
              <w:spacing w:after="0" w:line="220" w:lineRule="exact"/>
              <w:rPr>
                <w:sz w:val="20"/>
                <w:szCs w:val="20"/>
                <w:color w:val="auto"/>
              </w:rPr>
            </w:pPr>
            <w:r>
              <w:rPr>
                <w:rFonts w:ascii="Arial" w:cs="Arial" w:eastAsia="Arial" w:hAnsi="Arial"/>
                <w:sz w:val="20"/>
                <w:szCs w:val="20"/>
                <w:color w:val="auto"/>
              </w:rPr>
              <w:t>After-tax impact of selling acquired inventory due to markup to fair value as part of</w:t>
            </w:r>
          </w:p>
        </w:tc>
        <w:tc>
          <w:tcPr>
            <w:tcW w:w="2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8600" w:type="dxa"/>
            <w:vAlign w:val="bottom"/>
            <w:shd w:val="clear" w:color="auto" w:fill="CFF0FC"/>
          </w:tcPr>
          <w:p>
            <w:pPr>
              <w:ind w:left="260"/>
              <w:spacing w:after="0"/>
              <w:rPr>
                <w:sz w:val="20"/>
                <w:szCs w:val="20"/>
                <w:color w:val="auto"/>
              </w:rPr>
            </w:pPr>
            <w:r>
              <w:rPr>
                <w:rFonts w:ascii="Arial" w:cs="Arial" w:eastAsia="Arial" w:hAnsi="Arial"/>
                <w:sz w:val="20"/>
                <w:szCs w:val="20"/>
                <w:color w:val="auto"/>
              </w:rPr>
              <w:t>accounting for the TXI acquisition</w:t>
            </w:r>
          </w:p>
        </w:tc>
        <w:tc>
          <w:tcPr>
            <w:tcW w:w="24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w w:val="71"/>
              </w:rPr>
              <w:t>$</w:t>
            </w:r>
          </w:p>
        </w:tc>
        <w:tc>
          <w:tcPr>
            <w:tcW w:w="1260" w:type="dxa"/>
            <w:vAlign w:val="bottom"/>
            <w:gridSpan w:val="2"/>
            <w:shd w:val="clear" w:color="auto" w:fill="CFF0FC"/>
          </w:tcPr>
          <w:p>
            <w:pPr>
              <w:jc w:val="right"/>
              <w:ind w:right="140"/>
              <w:spacing w:after="0"/>
              <w:rPr>
                <w:sz w:val="20"/>
                <w:szCs w:val="20"/>
                <w:color w:val="auto"/>
              </w:rPr>
            </w:pPr>
            <w:r>
              <w:rPr>
                <w:rFonts w:ascii="Arial" w:cs="Arial" w:eastAsia="Arial" w:hAnsi="Arial"/>
                <w:sz w:val="20"/>
                <w:szCs w:val="20"/>
                <w:color w:val="auto"/>
              </w:rPr>
              <w:t>(6,855)</w:t>
            </w:r>
          </w:p>
        </w:tc>
        <w:tc>
          <w:tcPr>
            <w:tcW w:w="22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w w:val="71"/>
              </w:rPr>
              <w:t>$</w:t>
            </w: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20"/>
                <w:szCs w:val="20"/>
                <w:color w:val="auto"/>
              </w:rPr>
              <w:t>(6,855)</w:t>
            </w:r>
          </w:p>
        </w:tc>
        <w:tc>
          <w:tcPr>
            <w:tcW w:w="0" w:type="dxa"/>
            <w:vAlign w:val="bottom"/>
          </w:tcPr>
          <w:p>
            <w:pPr>
              <w:spacing w:after="0"/>
              <w:rPr>
                <w:sz w:val="1"/>
                <w:szCs w:val="1"/>
                <w:color w:val="auto"/>
              </w:rPr>
            </w:pPr>
          </w:p>
        </w:tc>
      </w:tr>
      <w:tr>
        <w:trPr>
          <w:trHeight w:val="20"/>
        </w:trPr>
        <w:tc>
          <w:tcPr>
            <w:tcW w:w="860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20"/>
                <w:szCs w:val="20"/>
                <w:color w:val="auto"/>
              </w:rPr>
              <w:t>Diluted weighted average number of common shares outstanding</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8600" w:type="dxa"/>
            <w:vAlign w:val="bottom"/>
            <w:tcBorders>
              <w:bottom w:val="single" w:sz="8" w:color="CFF0FC"/>
            </w:tcBorders>
            <w:vMerge w:val="continue"/>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line="224" w:lineRule="exact"/>
              <w:rPr>
                <w:sz w:val="20"/>
                <w:szCs w:val="20"/>
                <w:color w:val="auto"/>
              </w:rPr>
            </w:pPr>
            <w:r>
              <w:rPr>
                <w:rFonts w:ascii="Arial" w:cs="Arial" w:eastAsia="Arial" w:hAnsi="Arial"/>
                <w:sz w:val="20"/>
                <w:szCs w:val="20"/>
                <w:color w:val="auto"/>
              </w:rPr>
              <w:t>67,495</w:t>
            </w:r>
          </w:p>
        </w:tc>
        <w:tc>
          <w:tcPr>
            <w:tcW w:w="20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line="224" w:lineRule="exact"/>
              <w:rPr>
                <w:sz w:val="20"/>
                <w:szCs w:val="20"/>
                <w:color w:val="auto"/>
              </w:rPr>
            </w:pPr>
            <w:r>
              <w:rPr>
                <w:rFonts w:ascii="Arial" w:cs="Arial" w:eastAsia="Arial" w:hAnsi="Arial"/>
                <w:sz w:val="20"/>
                <w:szCs w:val="20"/>
                <w:color w:val="auto"/>
              </w:rPr>
              <w:t>53,559</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07"/>
        </w:trPr>
        <w:tc>
          <w:tcPr>
            <w:tcW w:w="8600" w:type="dxa"/>
            <w:vAlign w:val="bottom"/>
            <w:shd w:val="clear" w:color="auto" w:fill="CFF0FC"/>
          </w:tcPr>
          <w:p>
            <w:pPr>
              <w:spacing w:after="0" w:line="207" w:lineRule="exact"/>
              <w:rPr>
                <w:sz w:val="20"/>
                <w:szCs w:val="20"/>
                <w:color w:val="auto"/>
              </w:rPr>
            </w:pPr>
            <w:r>
              <w:rPr>
                <w:rFonts w:ascii="Arial" w:cs="Arial" w:eastAsia="Arial" w:hAnsi="Arial"/>
                <w:sz w:val="20"/>
                <w:szCs w:val="20"/>
                <w:color w:val="auto"/>
              </w:rPr>
              <w:t>Per diluted share impact of selling acquired inventory due to markup to fair value as</w:t>
            </w:r>
          </w:p>
        </w:tc>
        <w:tc>
          <w:tcPr>
            <w:tcW w:w="24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8600" w:type="dxa"/>
            <w:vAlign w:val="bottom"/>
            <w:shd w:val="clear" w:color="auto" w:fill="CFF0FC"/>
          </w:tcPr>
          <w:p>
            <w:pPr>
              <w:ind w:left="260"/>
              <w:spacing w:after="0"/>
              <w:rPr>
                <w:sz w:val="20"/>
                <w:szCs w:val="20"/>
                <w:color w:val="auto"/>
              </w:rPr>
            </w:pPr>
            <w:r>
              <w:rPr>
                <w:rFonts w:ascii="Arial" w:cs="Arial" w:eastAsia="Arial" w:hAnsi="Arial"/>
                <w:sz w:val="20"/>
                <w:szCs w:val="20"/>
                <w:color w:val="auto"/>
              </w:rPr>
              <w:t>part of accounting for the TXI acquisition</w:t>
            </w:r>
          </w:p>
        </w:tc>
        <w:tc>
          <w:tcPr>
            <w:tcW w:w="24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w w:val="71"/>
              </w:rPr>
              <w:t>$</w:t>
            </w:r>
          </w:p>
        </w:tc>
        <w:tc>
          <w:tcPr>
            <w:tcW w:w="1260" w:type="dxa"/>
            <w:vAlign w:val="bottom"/>
            <w:gridSpan w:val="2"/>
            <w:shd w:val="clear" w:color="auto" w:fill="CFF0FC"/>
          </w:tcPr>
          <w:p>
            <w:pPr>
              <w:jc w:val="right"/>
              <w:ind w:right="140"/>
              <w:spacing w:after="0"/>
              <w:rPr>
                <w:sz w:val="20"/>
                <w:szCs w:val="20"/>
                <w:color w:val="auto"/>
              </w:rPr>
            </w:pPr>
            <w:r>
              <w:rPr>
                <w:rFonts w:ascii="Arial" w:cs="Arial" w:eastAsia="Arial" w:hAnsi="Arial"/>
                <w:sz w:val="20"/>
                <w:szCs w:val="20"/>
                <w:color w:val="auto"/>
              </w:rPr>
              <w:t>(0.10)</w:t>
            </w:r>
          </w:p>
        </w:tc>
        <w:tc>
          <w:tcPr>
            <w:tcW w:w="22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w w:val="71"/>
              </w:rPr>
              <w:t>$</w:t>
            </w: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20"/>
                <w:szCs w:val="20"/>
                <w:color w:val="auto"/>
              </w:rPr>
              <w:t>(0.13)</w:t>
            </w:r>
          </w:p>
        </w:tc>
        <w:tc>
          <w:tcPr>
            <w:tcW w:w="0" w:type="dxa"/>
            <w:vAlign w:val="bottom"/>
          </w:tcPr>
          <w:p>
            <w:pPr>
              <w:spacing w:after="0"/>
              <w:rPr>
                <w:sz w:val="1"/>
                <w:szCs w:val="1"/>
                <w:color w:val="auto"/>
              </w:rPr>
            </w:pPr>
          </w:p>
        </w:tc>
      </w:tr>
      <w:tr>
        <w:trPr>
          <w:trHeight w:val="20"/>
        </w:trPr>
        <w:tc>
          <w:tcPr>
            <w:tcW w:w="86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following shows the calculation of the total earnings per diluted share impact of the acquisition-related expenses, net, and the inventory markup related to the TXI business combination:</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600" w:type="dxa"/>
            <w:vAlign w:val="bottom"/>
          </w:tcPr>
          <w:p>
            <w:pPr>
              <w:spacing w:after="0"/>
              <w:rPr>
                <w:sz w:val="20"/>
                <w:szCs w:val="20"/>
                <w:color w:val="auto"/>
              </w:rPr>
            </w:pPr>
          </w:p>
        </w:tc>
        <w:tc>
          <w:tcPr>
            <w:tcW w:w="1500" w:type="dxa"/>
            <w:vAlign w:val="bottom"/>
            <w:gridSpan w:val="3"/>
          </w:tcPr>
          <w:p>
            <w:pPr>
              <w:jc w:val="center"/>
              <w:ind w:right="220"/>
              <w:spacing w:after="0"/>
              <w:rPr>
                <w:sz w:val="20"/>
                <w:szCs w:val="20"/>
                <w:color w:val="auto"/>
              </w:rPr>
            </w:pPr>
            <w:r>
              <w:rPr>
                <w:rFonts w:ascii="Arial" w:cs="Arial" w:eastAsia="Arial" w:hAnsi="Arial"/>
                <w:sz w:val="20"/>
                <w:szCs w:val="20"/>
                <w:color w:val="auto"/>
                <w:w w:val="90"/>
              </w:rPr>
              <w:t>Three Months</w:t>
            </w:r>
          </w:p>
        </w:tc>
        <w:tc>
          <w:tcPr>
            <w:tcW w:w="1320" w:type="dxa"/>
            <w:vAlign w:val="bottom"/>
            <w:gridSpan w:val="3"/>
          </w:tcPr>
          <w:p>
            <w:pPr>
              <w:jc w:val="center"/>
              <w:ind w:right="120"/>
              <w:spacing w:after="0"/>
              <w:rPr>
                <w:sz w:val="20"/>
                <w:szCs w:val="20"/>
                <w:color w:val="auto"/>
              </w:rPr>
            </w:pPr>
            <w:r>
              <w:rPr>
                <w:rFonts w:ascii="Arial" w:cs="Arial" w:eastAsia="Arial" w:hAnsi="Arial"/>
                <w:sz w:val="20"/>
                <w:szCs w:val="20"/>
                <w:color w:val="auto"/>
                <w:w w:val="92"/>
              </w:rPr>
              <w:t>Nine Months</w:t>
            </w:r>
          </w:p>
        </w:tc>
      </w:tr>
      <w:tr>
        <w:trPr>
          <w:trHeight w:val="246"/>
        </w:trPr>
        <w:tc>
          <w:tcPr>
            <w:tcW w:w="86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gridSpan w:val="2"/>
          </w:tcPr>
          <w:p>
            <w:pPr>
              <w:jc w:val="center"/>
              <w:ind w:right="460"/>
              <w:spacing w:after="0"/>
              <w:rPr>
                <w:sz w:val="20"/>
                <w:szCs w:val="20"/>
                <w:color w:val="auto"/>
              </w:rPr>
            </w:pPr>
            <w:r>
              <w:rPr>
                <w:rFonts w:ascii="Arial" w:cs="Arial" w:eastAsia="Arial" w:hAnsi="Arial"/>
                <w:sz w:val="20"/>
                <w:szCs w:val="20"/>
                <w:color w:val="auto"/>
                <w:w w:val="89"/>
              </w:rPr>
              <w:t>Ended</w:t>
            </w:r>
          </w:p>
        </w:tc>
        <w:tc>
          <w:tcPr>
            <w:tcW w:w="220" w:type="dxa"/>
            <w:vAlign w:val="bottom"/>
          </w:tcPr>
          <w:p>
            <w:pPr>
              <w:spacing w:after="0"/>
              <w:rPr>
                <w:sz w:val="21"/>
                <w:szCs w:val="21"/>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20"/>
                <w:szCs w:val="20"/>
                <w:color w:val="auto"/>
                <w:w w:val="89"/>
              </w:rPr>
              <w:t>Ended</w:t>
            </w:r>
          </w:p>
        </w:tc>
      </w:tr>
      <w:tr>
        <w:trPr>
          <w:trHeight w:val="220"/>
        </w:trPr>
        <w:tc>
          <w:tcPr>
            <w:tcW w:w="8600" w:type="dxa"/>
            <w:vAlign w:val="bottom"/>
          </w:tcPr>
          <w:p>
            <w:pPr>
              <w:spacing w:after="0" w:line="220" w:lineRule="exact"/>
              <w:rPr>
                <w:sz w:val="20"/>
                <w:szCs w:val="20"/>
                <w:color w:val="auto"/>
              </w:rPr>
            </w:pPr>
            <w:r>
              <w:rPr>
                <w:rFonts w:ascii="Arial" w:cs="Arial" w:eastAsia="Arial" w:hAnsi="Arial"/>
                <w:sz w:val="20"/>
                <w:szCs w:val="20"/>
                <w:color w:val="auto"/>
              </w:rPr>
              <w:t>Earnings per diluted share in accordance with generally accepted accounting principles</w:t>
            </w:r>
          </w:p>
        </w:tc>
        <w:tc>
          <w:tcPr>
            <w:tcW w:w="24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46"/>
        </w:trPr>
        <w:tc>
          <w:tcPr>
            <w:tcW w:w="8600" w:type="dxa"/>
            <w:vAlign w:val="bottom"/>
          </w:tcPr>
          <w:p>
            <w:pPr>
              <w:ind w:left="260"/>
              <w:spacing w:after="0"/>
              <w:rPr>
                <w:sz w:val="20"/>
                <w:szCs w:val="20"/>
                <w:color w:val="auto"/>
              </w:rPr>
            </w:pPr>
            <w:r>
              <w:rPr>
                <w:rFonts w:ascii="Arial" w:cs="Arial" w:eastAsia="Arial" w:hAnsi="Arial"/>
                <w:sz w:val="20"/>
                <w:szCs w:val="20"/>
                <w:color w:val="auto"/>
              </w:rPr>
              <w:t>for the period ended September 30, 2014</w:t>
            </w:r>
          </w:p>
        </w:tc>
        <w:tc>
          <w:tcPr>
            <w:tcW w:w="240" w:type="dxa"/>
            <w:vAlign w:val="bottom"/>
          </w:tcPr>
          <w:p>
            <w:pPr>
              <w:jc w:val="right"/>
              <w:ind w:right="41"/>
              <w:spacing w:after="0"/>
              <w:rPr>
                <w:sz w:val="20"/>
                <w:szCs w:val="20"/>
                <w:color w:val="auto"/>
              </w:rPr>
            </w:pPr>
            <w:r>
              <w:rPr>
                <w:rFonts w:ascii="Arial" w:cs="Arial" w:eastAsia="Arial" w:hAnsi="Arial"/>
                <w:sz w:val="20"/>
                <w:szCs w:val="20"/>
                <w:color w:val="auto"/>
                <w:w w:val="71"/>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0.79</w:t>
            </w:r>
          </w:p>
        </w:tc>
        <w:tc>
          <w:tcPr>
            <w:tcW w:w="200" w:type="dxa"/>
            <w:vAlign w:val="bottom"/>
          </w:tcPr>
          <w:p>
            <w:pPr>
              <w:spacing w:after="0"/>
              <w:rPr>
                <w:sz w:val="21"/>
                <w:szCs w:val="21"/>
                <w:color w:val="auto"/>
              </w:rPr>
            </w:pPr>
          </w:p>
        </w:tc>
        <w:tc>
          <w:tcPr>
            <w:tcW w:w="220" w:type="dxa"/>
            <w:vAlign w:val="bottom"/>
          </w:tcPr>
          <w:p>
            <w:pPr>
              <w:jc w:val="right"/>
              <w:ind w:right="21"/>
              <w:spacing w:after="0"/>
              <w:rPr>
                <w:sz w:val="20"/>
                <w:szCs w:val="20"/>
                <w:color w:val="auto"/>
              </w:rPr>
            </w:pPr>
            <w:r>
              <w:rPr>
                <w:rFonts w:ascii="Arial" w:cs="Arial" w:eastAsia="Arial" w:hAnsi="Arial"/>
                <w:sz w:val="20"/>
                <w:szCs w:val="20"/>
                <w:color w:val="auto"/>
                <w:w w:val="71"/>
              </w:rPr>
              <w:t>$</w:t>
            </w:r>
          </w:p>
        </w:tc>
        <w:tc>
          <w:tcPr>
            <w:tcW w:w="980" w:type="dxa"/>
            <w:vAlign w:val="bottom"/>
          </w:tcPr>
          <w:p>
            <w:pPr>
              <w:jc w:val="right"/>
              <w:spacing w:after="0"/>
              <w:rPr>
                <w:sz w:val="20"/>
                <w:szCs w:val="20"/>
                <w:color w:val="auto"/>
              </w:rPr>
            </w:pPr>
            <w:r>
              <w:rPr>
                <w:rFonts w:ascii="Arial" w:cs="Arial" w:eastAsia="Arial" w:hAnsi="Arial"/>
                <w:sz w:val="20"/>
                <w:szCs w:val="20"/>
                <w:color w:val="auto"/>
              </w:rPr>
              <w:t>1.70</w:t>
            </w:r>
          </w:p>
        </w:tc>
        <w:tc>
          <w:tcPr>
            <w:tcW w:w="120" w:type="dxa"/>
            <w:vAlign w:val="bottom"/>
          </w:tcPr>
          <w:p>
            <w:pPr>
              <w:spacing w:after="0"/>
              <w:rPr>
                <w:sz w:val="21"/>
                <w:szCs w:val="21"/>
                <w:color w:val="auto"/>
              </w:rPr>
            </w:pPr>
          </w:p>
        </w:tc>
      </w:tr>
      <w:tr>
        <w:trPr>
          <w:trHeight w:val="243"/>
        </w:trPr>
        <w:tc>
          <w:tcPr>
            <w:tcW w:w="8600" w:type="dxa"/>
            <w:vAlign w:val="bottom"/>
            <w:shd w:val="clear" w:color="auto" w:fill="CFF0FC"/>
          </w:tcPr>
          <w:p>
            <w:pPr>
              <w:spacing w:after="0"/>
              <w:rPr>
                <w:sz w:val="20"/>
                <w:szCs w:val="20"/>
                <w:color w:val="auto"/>
              </w:rPr>
            </w:pPr>
            <w:r>
              <w:rPr>
                <w:rFonts w:ascii="Arial" w:cs="Arial" w:eastAsia="Arial" w:hAnsi="Arial"/>
                <w:sz w:val="20"/>
                <w:szCs w:val="20"/>
                <w:color w:val="auto"/>
              </w:rPr>
              <w:t>Acquisition-related expenses, net impact</w:t>
            </w:r>
          </w:p>
        </w:tc>
        <w:tc>
          <w:tcPr>
            <w:tcW w:w="24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0.56</w:t>
            </w:r>
          </w:p>
        </w:tc>
        <w:tc>
          <w:tcPr>
            <w:tcW w:w="2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0.91</w:t>
            </w:r>
          </w:p>
        </w:tc>
        <w:tc>
          <w:tcPr>
            <w:tcW w:w="120" w:type="dxa"/>
            <w:vAlign w:val="bottom"/>
            <w:shd w:val="clear" w:color="auto" w:fill="CFF0FC"/>
          </w:tcPr>
          <w:p>
            <w:pPr>
              <w:spacing w:after="0"/>
              <w:rPr>
                <w:sz w:val="21"/>
                <w:szCs w:val="21"/>
                <w:color w:val="auto"/>
              </w:rPr>
            </w:pPr>
          </w:p>
        </w:tc>
      </w:tr>
      <w:tr>
        <w:trPr>
          <w:trHeight w:val="243"/>
        </w:trPr>
        <w:tc>
          <w:tcPr>
            <w:tcW w:w="8600" w:type="dxa"/>
            <w:vAlign w:val="bottom"/>
            <w:tcBorders>
              <w:bottom w:val="single" w:sz="8" w:color="CFF0FC"/>
            </w:tcBorders>
          </w:tcPr>
          <w:p>
            <w:pPr>
              <w:spacing w:after="0"/>
              <w:rPr>
                <w:sz w:val="20"/>
                <w:szCs w:val="20"/>
                <w:color w:val="auto"/>
              </w:rPr>
            </w:pPr>
            <w:r>
              <w:rPr>
                <w:rFonts w:ascii="Arial" w:cs="Arial" w:eastAsia="Arial" w:hAnsi="Arial"/>
                <w:sz w:val="20"/>
                <w:szCs w:val="20"/>
                <w:color w:val="auto"/>
              </w:rPr>
              <w:t>Inventory markup impact</w:t>
            </w:r>
          </w:p>
        </w:tc>
        <w:tc>
          <w:tcPr>
            <w:tcW w:w="2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0.10</w:t>
            </w:r>
          </w:p>
        </w:tc>
        <w:tc>
          <w:tcPr>
            <w:tcW w:w="200" w:type="dxa"/>
            <w:vAlign w:val="bottom"/>
            <w:tcBorders>
              <w:bottom w:val="single" w:sz="8" w:color="CFF0FC"/>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0.13</w:t>
            </w:r>
          </w:p>
        </w:tc>
        <w:tc>
          <w:tcPr>
            <w:tcW w:w="120" w:type="dxa"/>
            <w:vAlign w:val="bottom"/>
            <w:tcBorders>
              <w:bottom w:val="single" w:sz="8" w:color="CFF0FC"/>
            </w:tcBorders>
          </w:tcPr>
          <w:p>
            <w:pPr>
              <w:spacing w:after="0"/>
              <w:rPr>
                <w:sz w:val="21"/>
                <w:szCs w:val="21"/>
                <w:color w:val="auto"/>
              </w:rPr>
            </w:pPr>
          </w:p>
        </w:tc>
      </w:tr>
      <w:tr>
        <w:trPr>
          <w:trHeight w:val="237"/>
        </w:trPr>
        <w:tc>
          <w:tcPr>
            <w:tcW w:w="86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Adjusted earnings per diluted share for the period ended September 30, 2014</w:t>
            </w:r>
          </w:p>
        </w:tc>
        <w:tc>
          <w:tcPr>
            <w:tcW w:w="24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20"/>
                <w:szCs w:val="20"/>
                <w:color w:val="auto"/>
                <w:w w:val="71"/>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1.45</w:t>
            </w:r>
          </w:p>
        </w:tc>
        <w:tc>
          <w:tcPr>
            <w:tcW w:w="20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21"/>
              <w:spacing w:after="0"/>
              <w:rPr>
                <w:sz w:val="20"/>
                <w:szCs w:val="20"/>
                <w:color w:val="auto"/>
              </w:rPr>
            </w:pPr>
            <w:r>
              <w:rPr>
                <w:rFonts w:ascii="Arial" w:cs="Arial" w:eastAsia="Arial" w:hAnsi="Arial"/>
                <w:sz w:val="20"/>
                <w:szCs w:val="20"/>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2.74</w:t>
            </w:r>
          </w:p>
        </w:tc>
        <w:tc>
          <w:tcPr>
            <w:tcW w:w="120" w:type="dxa"/>
            <w:vAlign w:val="bottom"/>
            <w:tcBorders>
              <w:bottom w:val="single" w:sz="8" w:color="CFF0FC"/>
            </w:tcBorders>
            <w:shd w:val="clear" w:color="auto" w:fill="CFF0FC"/>
          </w:tcPr>
          <w:p>
            <w:pPr>
              <w:spacing w:after="0"/>
              <w:rPr>
                <w:sz w:val="20"/>
                <w:szCs w:val="20"/>
                <w:color w:val="auto"/>
              </w:rPr>
            </w:pPr>
          </w:p>
        </w:tc>
      </w:tr>
      <w:tr>
        <w:trPr>
          <w:trHeight w:val="20"/>
        </w:trPr>
        <w:tc>
          <w:tcPr>
            <w:tcW w:w="8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9"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following reconciles earnings from operations as reported to adjusted earnings from operations, which excludes acquisition-related expenses, net, and the impact of selling acquired inventory marked up to fair value at the acquisition date for the quarter ended September 30, 2014 (dollars in thousands):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600" w:type="dxa"/>
            <w:vAlign w:val="bottom"/>
          </w:tcPr>
          <w:p>
            <w:pPr>
              <w:spacing w:after="0"/>
              <w:rPr>
                <w:sz w:val="20"/>
                <w:szCs w:val="20"/>
                <w:color w:val="auto"/>
              </w:rPr>
            </w:pPr>
          </w:p>
        </w:tc>
        <w:tc>
          <w:tcPr>
            <w:tcW w:w="1500" w:type="dxa"/>
            <w:vAlign w:val="bottom"/>
            <w:gridSpan w:val="3"/>
          </w:tcPr>
          <w:p>
            <w:pPr>
              <w:jc w:val="center"/>
              <w:ind w:right="220"/>
              <w:spacing w:after="0"/>
              <w:rPr>
                <w:sz w:val="20"/>
                <w:szCs w:val="20"/>
                <w:color w:val="auto"/>
              </w:rPr>
            </w:pPr>
            <w:r>
              <w:rPr>
                <w:rFonts w:ascii="Arial" w:cs="Arial" w:eastAsia="Arial" w:hAnsi="Arial"/>
                <w:sz w:val="20"/>
                <w:szCs w:val="20"/>
                <w:color w:val="auto"/>
                <w:w w:val="90"/>
              </w:rPr>
              <w:t>Three Months</w:t>
            </w:r>
          </w:p>
        </w:tc>
        <w:tc>
          <w:tcPr>
            <w:tcW w:w="1320" w:type="dxa"/>
            <w:vAlign w:val="bottom"/>
            <w:gridSpan w:val="3"/>
          </w:tcPr>
          <w:p>
            <w:pPr>
              <w:jc w:val="center"/>
              <w:ind w:right="120"/>
              <w:spacing w:after="0"/>
              <w:rPr>
                <w:sz w:val="20"/>
                <w:szCs w:val="20"/>
                <w:color w:val="auto"/>
              </w:rPr>
            </w:pPr>
            <w:r>
              <w:rPr>
                <w:rFonts w:ascii="Arial" w:cs="Arial" w:eastAsia="Arial" w:hAnsi="Arial"/>
                <w:sz w:val="20"/>
                <w:szCs w:val="20"/>
                <w:color w:val="auto"/>
                <w:w w:val="92"/>
              </w:rPr>
              <w:t>Nine Months</w:t>
            </w:r>
          </w:p>
        </w:tc>
      </w:tr>
      <w:tr>
        <w:trPr>
          <w:trHeight w:val="246"/>
        </w:trPr>
        <w:tc>
          <w:tcPr>
            <w:tcW w:w="86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gridSpan w:val="2"/>
          </w:tcPr>
          <w:p>
            <w:pPr>
              <w:jc w:val="center"/>
              <w:ind w:right="460"/>
              <w:spacing w:after="0"/>
              <w:rPr>
                <w:sz w:val="20"/>
                <w:szCs w:val="20"/>
                <w:color w:val="auto"/>
              </w:rPr>
            </w:pPr>
            <w:r>
              <w:rPr>
                <w:rFonts w:ascii="Arial" w:cs="Arial" w:eastAsia="Arial" w:hAnsi="Arial"/>
                <w:sz w:val="20"/>
                <w:szCs w:val="20"/>
                <w:color w:val="auto"/>
                <w:w w:val="89"/>
              </w:rPr>
              <w:t>Ended</w:t>
            </w:r>
          </w:p>
        </w:tc>
        <w:tc>
          <w:tcPr>
            <w:tcW w:w="220" w:type="dxa"/>
            <w:vAlign w:val="bottom"/>
          </w:tcPr>
          <w:p>
            <w:pPr>
              <w:spacing w:after="0"/>
              <w:rPr>
                <w:sz w:val="21"/>
                <w:szCs w:val="21"/>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20"/>
                <w:szCs w:val="20"/>
                <w:color w:val="auto"/>
                <w:w w:val="89"/>
              </w:rPr>
              <w:t>Ended</w:t>
            </w:r>
          </w:p>
        </w:tc>
      </w:tr>
      <w:tr>
        <w:trPr>
          <w:trHeight w:val="237"/>
        </w:trPr>
        <w:tc>
          <w:tcPr>
            <w:tcW w:w="8600" w:type="dxa"/>
            <w:vAlign w:val="bottom"/>
          </w:tcPr>
          <w:p>
            <w:pPr>
              <w:spacing w:after="0"/>
              <w:rPr>
                <w:sz w:val="20"/>
                <w:szCs w:val="20"/>
                <w:color w:val="auto"/>
              </w:rPr>
            </w:pPr>
            <w:r>
              <w:rPr>
                <w:rFonts w:ascii="Arial" w:cs="Arial" w:eastAsia="Arial" w:hAnsi="Arial"/>
                <w:sz w:val="20"/>
                <w:szCs w:val="20"/>
                <w:color w:val="auto"/>
              </w:rPr>
              <w:t>Earnings from operations, as reported</w:t>
            </w:r>
          </w:p>
        </w:tc>
        <w:tc>
          <w:tcPr>
            <w:tcW w:w="240" w:type="dxa"/>
            <w:vAlign w:val="bottom"/>
            <w:tcBorders>
              <w:top w:val="single" w:sz="8" w:color="auto"/>
            </w:tcBorders>
          </w:tcPr>
          <w:p>
            <w:pPr>
              <w:jc w:val="right"/>
              <w:ind w:right="41"/>
              <w:spacing w:after="0"/>
              <w:rPr>
                <w:sz w:val="20"/>
                <w:szCs w:val="20"/>
                <w:color w:val="auto"/>
              </w:rPr>
            </w:pPr>
            <w:r>
              <w:rPr>
                <w:rFonts w:ascii="Arial" w:cs="Arial" w:eastAsia="Arial" w:hAnsi="Arial"/>
                <w:sz w:val="20"/>
                <w:szCs w:val="20"/>
                <w:color w:val="auto"/>
                <w:w w:val="71"/>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115,956</w:t>
            </w:r>
          </w:p>
        </w:tc>
        <w:tc>
          <w:tcPr>
            <w:tcW w:w="200" w:type="dxa"/>
            <w:vAlign w:val="bottom"/>
          </w:tcPr>
          <w:p>
            <w:pPr>
              <w:spacing w:after="0"/>
              <w:rPr>
                <w:sz w:val="20"/>
                <w:szCs w:val="20"/>
                <w:color w:val="auto"/>
              </w:rPr>
            </w:pPr>
          </w:p>
        </w:tc>
        <w:tc>
          <w:tcPr>
            <w:tcW w:w="220" w:type="dxa"/>
            <w:vAlign w:val="bottom"/>
            <w:tcBorders>
              <w:top w:val="single" w:sz="8" w:color="auto"/>
            </w:tcBorders>
          </w:tcPr>
          <w:p>
            <w:pPr>
              <w:jc w:val="right"/>
              <w:ind w:right="21"/>
              <w:spacing w:after="0"/>
              <w:rPr>
                <w:sz w:val="20"/>
                <w:szCs w:val="20"/>
                <w:color w:val="auto"/>
              </w:rPr>
            </w:pPr>
            <w:r>
              <w:rPr>
                <w:rFonts w:ascii="Arial" w:cs="Arial" w:eastAsia="Arial" w:hAnsi="Arial"/>
                <w:sz w:val="20"/>
                <w:szCs w:val="20"/>
                <w:color w:val="auto"/>
                <w:w w:val="71"/>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196,300</w:t>
            </w:r>
          </w:p>
        </w:tc>
        <w:tc>
          <w:tcPr>
            <w:tcW w:w="120" w:type="dxa"/>
            <w:vAlign w:val="bottom"/>
          </w:tcPr>
          <w:p>
            <w:pPr>
              <w:spacing w:after="0"/>
              <w:rPr>
                <w:sz w:val="20"/>
                <w:szCs w:val="20"/>
                <w:color w:val="auto"/>
              </w:rPr>
            </w:pPr>
          </w:p>
        </w:tc>
      </w:tr>
      <w:tr>
        <w:trPr>
          <w:trHeight w:val="243"/>
        </w:trPr>
        <w:tc>
          <w:tcPr>
            <w:tcW w:w="8600" w:type="dxa"/>
            <w:vAlign w:val="bottom"/>
            <w:shd w:val="clear" w:color="auto" w:fill="CFF0FC"/>
          </w:tcPr>
          <w:p>
            <w:pPr>
              <w:spacing w:after="0"/>
              <w:rPr>
                <w:sz w:val="20"/>
                <w:szCs w:val="20"/>
                <w:color w:val="auto"/>
              </w:rPr>
            </w:pPr>
            <w:r>
              <w:rPr>
                <w:rFonts w:ascii="Arial" w:cs="Arial" w:eastAsia="Arial" w:hAnsi="Arial"/>
                <w:sz w:val="20"/>
                <w:szCs w:val="20"/>
                <w:color w:val="auto"/>
              </w:rPr>
              <w:t>Acquisition-related expenses, net, related to the business combination with TXI</w:t>
            </w:r>
          </w:p>
        </w:tc>
        <w:tc>
          <w:tcPr>
            <w:tcW w:w="24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26,118</w:t>
            </w:r>
          </w:p>
        </w:tc>
        <w:tc>
          <w:tcPr>
            <w:tcW w:w="2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41,055</w:t>
            </w:r>
          </w:p>
        </w:tc>
        <w:tc>
          <w:tcPr>
            <w:tcW w:w="120" w:type="dxa"/>
            <w:vAlign w:val="bottom"/>
            <w:shd w:val="clear" w:color="auto" w:fill="CFF0FC"/>
          </w:tcPr>
          <w:p>
            <w:pPr>
              <w:spacing w:after="0"/>
              <w:rPr>
                <w:sz w:val="21"/>
                <w:szCs w:val="21"/>
                <w:color w:val="auto"/>
              </w:rPr>
            </w:pPr>
          </w:p>
        </w:tc>
      </w:tr>
      <w:tr>
        <w:trPr>
          <w:trHeight w:val="226"/>
        </w:trPr>
        <w:tc>
          <w:tcPr>
            <w:tcW w:w="8600" w:type="dxa"/>
            <w:vAlign w:val="bottom"/>
          </w:tcPr>
          <w:p>
            <w:pPr>
              <w:spacing w:after="0" w:line="227" w:lineRule="exact"/>
              <w:rPr>
                <w:sz w:val="20"/>
                <w:szCs w:val="20"/>
                <w:color w:val="auto"/>
              </w:rPr>
            </w:pPr>
            <w:r>
              <w:rPr>
                <w:rFonts w:ascii="Arial" w:cs="Arial" w:eastAsia="Arial" w:hAnsi="Arial"/>
                <w:sz w:val="20"/>
                <w:szCs w:val="20"/>
                <w:color w:val="auto"/>
              </w:rPr>
              <w:t>Impact of selling acquired inventory due to markup to fair value as part of accounting</w:t>
            </w: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46"/>
        </w:trPr>
        <w:tc>
          <w:tcPr>
            <w:tcW w:w="8600" w:type="dxa"/>
            <w:vAlign w:val="bottom"/>
            <w:tcBorders>
              <w:bottom w:val="single" w:sz="8" w:color="CFF0FC"/>
            </w:tcBorders>
          </w:tcPr>
          <w:p>
            <w:pPr>
              <w:ind w:left="260"/>
              <w:spacing w:after="0"/>
              <w:rPr>
                <w:sz w:val="20"/>
                <w:szCs w:val="20"/>
                <w:color w:val="auto"/>
              </w:rPr>
            </w:pPr>
            <w:r>
              <w:rPr>
                <w:rFonts w:ascii="Arial" w:cs="Arial" w:eastAsia="Arial" w:hAnsi="Arial"/>
                <w:sz w:val="20"/>
                <w:szCs w:val="20"/>
                <w:color w:val="auto"/>
              </w:rPr>
              <w:t>for the TXI acquisition</w:t>
            </w:r>
          </w:p>
        </w:tc>
        <w:tc>
          <w:tcPr>
            <w:tcW w:w="2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10,873</w:t>
            </w:r>
          </w:p>
        </w:tc>
        <w:tc>
          <w:tcPr>
            <w:tcW w:w="200" w:type="dxa"/>
            <w:vAlign w:val="bottom"/>
            <w:tcBorders>
              <w:bottom w:val="single" w:sz="8" w:color="CFF0FC"/>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10,873</w:t>
            </w:r>
          </w:p>
        </w:tc>
        <w:tc>
          <w:tcPr>
            <w:tcW w:w="120" w:type="dxa"/>
            <w:vAlign w:val="bottom"/>
            <w:tcBorders>
              <w:bottom w:val="single" w:sz="8" w:color="CFF0FC"/>
            </w:tcBorders>
          </w:tcPr>
          <w:p>
            <w:pPr>
              <w:spacing w:after="0"/>
              <w:rPr>
                <w:sz w:val="21"/>
                <w:szCs w:val="21"/>
                <w:color w:val="auto"/>
              </w:rPr>
            </w:pPr>
          </w:p>
        </w:tc>
      </w:tr>
      <w:tr>
        <w:trPr>
          <w:trHeight w:val="237"/>
        </w:trPr>
        <w:tc>
          <w:tcPr>
            <w:tcW w:w="86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Adjusted earnings from operations</w:t>
            </w:r>
          </w:p>
        </w:tc>
        <w:tc>
          <w:tcPr>
            <w:tcW w:w="24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20"/>
                <w:szCs w:val="20"/>
                <w:color w:val="auto"/>
                <w:w w:val="71"/>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152,947</w:t>
            </w:r>
          </w:p>
        </w:tc>
        <w:tc>
          <w:tcPr>
            <w:tcW w:w="20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21"/>
              <w:spacing w:after="0"/>
              <w:rPr>
                <w:sz w:val="20"/>
                <w:szCs w:val="20"/>
                <w:color w:val="auto"/>
              </w:rPr>
            </w:pPr>
            <w:r>
              <w:rPr>
                <w:rFonts w:ascii="Arial" w:cs="Arial" w:eastAsia="Arial" w:hAnsi="Arial"/>
                <w:sz w:val="20"/>
                <w:szCs w:val="20"/>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248,228</w:t>
            </w:r>
          </w:p>
        </w:tc>
        <w:tc>
          <w:tcPr>
            <w:tcW w:w="120" w:type="dxa"/>
            <w:vAlign w:val="bottom"/>
            <w:tcBorders>
              <w:bottom w:val="single" w:sz="8" w:color="CFF0FC"/>
            </w:tcBorders>
            <w:shd w:val="clear" w:color="auto" w:fill="CFF0FC"/>
          </w:tcPr>
          <w:p>
            <w:pPr>
              <w:spacing w:after="0"/>
              <w:rPr>
                <w:sz w:val="20"/>
                <w:szCs w:val="20"/>
                <w:color w:val="auto"/>
              </w:rPr>
            </w:pPr>
          </w:p>
        </w:tc>
      </w:tr>
      <w:tr>
        <w:trPr>
          <w:trHeight w:val="20"/>
        </w:trPr>
        <w:tc>
          <w:tcPr>
            <w:tcW w:w="8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29 of 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9" w:name="page30"/>
    <w:bookmarkEnd w:id="29"/>
    <w:p>
      <w:pPr>
        <w:jc w:val="center"/>
        <w:ind w:right="-19"/>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FORM 10-Q</w:t>
      </w:r>
    </w:p>
    <w:p>
      <w:pPr>
        <w:jc w:val="center"/>
        <w:ind w:right="-19"/>
        <w:spacing w:after="0"/>
        <w:rPr>
          <w:sz w:val="20"/>
          <w:szCs w:val="20"/>
          <w:color w:val="auto"/>
        </w:rPr>
      </w:pPr>
      <w:r>
        <w:rPr>
          <w:rFonts w:ascii="Arial" w:cs="Arial" w:eastAsia="Arial" w:hAnsi="Arial"/>
          <w:sz w:val="20"/>
          <w:szCs w:val="20"/>
          <w:color w:val="auto"/>
        </w:rPr>
        <w:t>For the Quarter Ended September 30, 2015</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RESULTS OF OPERATIONS</w:t>
      </w:r>
    </w:p>
    <w:p>
      <w:pPr>
        <w:jc w:val="center"/>
        <w:ind w:right="-19"/>
        <w:spacing w:after="0"/>
        <w:rPr>
          <w:sz w:val="20"/>
          <w:szCs w:val="20"/>
          <w:color w:val="auto"/>
        </w:rPr>
      </w:pPr>
      <w:r>
        <w:rPr>
          <w:rFonts w:ascii="Arial" w:cs="Arial" w:eastAsia="Arial" w:hAnsi="Arial"/>
          <w:sz w:val="20"/>
          <w:szCs w:val="20"/>
          <w:color w:val="auto"/>
        </w:rPr>
        <w:t>Third Quarter Ended September 30, 2015</w:t>
      </w:r>
    </w:p>
    <w:p>
      <w:pPr>
        <w:jc w:val="center"/>
        <w:ind w:right="-19"/>
        <w:spacing w:after="0"/>
        <w:rPr>
          <w:sz w:val="20"/>
          <w:szCs w:val="20"/>
          <w:color w:val="auto"/>
        </w:rPr>
      </w:pPr>
      <w:r>
        <w:rPr>
          <w:rFonts w:ascii="Arial" w:cs="Arial" w:eastAsia="Arial" w:hAnsi="Arial"/>
          <w:sz w:val="20"/>
          <w:szCs w:val="20"/>
          <w:color w:val="auto"/>
        </w:rPr>
        <w:t>(Continued)</w:t>
      </w:r>
    </w:p>
    <w:p>
      <w:pPr>
        <w:spacing w:after="0" w:line="200" w:lineRule="exact"/>
        <w:rPr>
          <w:sz w:val="20"/>
          <w:szCs w:val="20"/>
          <w:color w:val="auto"/>
        </w:rPr>
      </w:pPr>
    </w:p>
    <w:p>
      <w:pPr>
        <w:spacing w:after="0" w:line="229"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Incremental gross margin (excluding freight and delivery revenues) is a non-GAAP measure. The Corporation presents this metric to enhance analysts’ and investors’ understanding of the impact of increased net sales on profitability. The following shows the calculation of incremental gross margin (excluding freight and delivery revenues) for the consolidated business and the Aggregates business for the quarter ended September 30, 2015 (dollars in thousands).</w:t>
      </w:r>
    </w:p>
    <w:p>
      <w:pPr>
        <w:sectPr>
          <w:pgSz w:w="11900" w:h="16838" w:orient="portrait"/>
          <w:cols w:equalWidth="0" w:num="1">
            <w:col w:w="11420"/>
          </w:cols>
          <w:pgMar w:left="240" w:top="121" w:right="239" w:bottom="1440" w:gutter="0" w:footer="0" w:header="0"/>
        </w:sectPr>
      </w:pPr>
    </w:p>
    <w:p>
      <w:pPr>
        <w:spacing w:after="0" w:line="327" w:lineRule="exact"/>
        <w:rPr>
          <w:sz w:val="20"/>
          <w:szCs w:val="20"/>
          <w:color w:val="auto"/>
        </w:rPr>
      </w:pPr>
    </w:p>
    <w:p>
      <w:pPr>
        <w:spacing w:after="0"/>
        <w:rPr>
          <w:sz w:val="20"/>
          <w:szCs w:val="20"/>
          <w:color w:val="auto"/>
        </w:rPr>
      </w:pPr>
      <w:r>
        <w:rPr>
          <w:rFonts w:ascii="Arial" w:cs="Arial" w:eastAsia="Arial" w:hAnsi="Arial"/>
          <w:sz w:val="16"/>
          <w:szCs w:val="16"/>
          <w:color w:val="auto"/>
        </w:rPr>
        <w:t>Consolidated business net sales for the quarter ended September 30,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1543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Consolidated business net sales for the quarter ended September 30,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5" w:lineRule="exact"/>
        <w:rPr>
          <w:sz w:val="20"/>
          <w:szCs w:val="20"/>
          <w:color w:val="auto"/>
        </w:rPr>
      </w:pPr>
    </w:p>
    <w:p>
      <w:pPr>
        <w:spacing w:after="0"/>
        <w:rPr>
          <w:sz w:val="20"/>
          <w:szCs w:val="20"/>
          <w:color w:val="auto"/>
        </w:rPr>
      </w:pPr>
      <w:r>
        <w:rPr>
          <w:rFonts w:ascii="Arial" w:cs="Arial" w:eastAsia="Arial" w:hAnsi="Arial"/>
          <w:sz w:val="20"/>
          <w:szCs w:val="20"/>
          <w:color w:val="auto"/>
        </w:rPr>
        <w:t>Incremental net sales</w:t>
      </w:r>
    </w:p>
    <w:p>
      <w:pPr>
        <w:spacing w:after="0" w:line="20" w:lineRule="exact"/>
        <w:rPr>
          <w:sz w:val="20"/>
          <w:szCs w:val="20"/>
          <w:color w:val="auto"/>
        </w:rPr>
      </w:pPr>
      <w:r>
        <w:rPr>
          <w:sz w:val="20"/>
          <w:szCs w:val="20"/>
          <w:color w:val="auto"/>
        </w:rPr>
        <w:br w:type="column"/>
      </w:r>
    </w:p>
    <w:p>
      <w:pPr>
        <w:spacing w:after="0" w:line="307" w:lineRule="exact"/>
        <w:rPr>
          <w:sz w:val="20"/>
          <w:szCs w:val="20"/>
          <w:color w:val="auto"/>
        </w:rPr>
      </w:pPr>
    </w:p>
    <w:p>
      <w:pPr>
        <w:ind w:left="364" w:hanging="364"/>
        <w:spacing w:after="0"/>
        <w:tabs>
          <w:tab w:leader="none" w:pos="364" w:val="left"/>
        </w:tabs>
        <w:numPr>
          <w:ilvl w:val="0"/>
          <w:numId w:val="21"/>
        </w:numPr>
        <w:rPr>
          <w:rFonts w:ascii="Arial" w:cs="Arial" w:eastAsia="Arial" w:hAnsi="Arial"/>
          <w:sz w:val="16"/>
          <w:szCs w:val="16"/>
          <w:color w:val="auto"/>
        </w:rPr>
      </w:pPr>
      <w:r>
        <w:rPr>
          <w:rFonts w:ascii="Arial" w:cs="Arial" w:eastAsia="Arial" w:hAnsi="Arial"/>
          <w:sz w:val="16"/>
          <w:szCs w:val="16"/>
          <w:color w:val="auto"/>
        </w:rPr>
        <w:t>1,005,218</w:t>
      </w:r>
    </w:p>
    <w:p>
      <w:pPr>
        <w:spacing w:after="0" w:line="66" w:lineRule="exact"/>
        <w:rPr>
          <w:rFonts w:ascii="Arial" w:cs="Arial" w:eastAsia="Arial" w:hAnsi="Arial"/>
          <w:sz w:val="16"/>
          <w:szCs w:val="16"/>
          <w:color w:val="auto"/>
        </w:rPr>
      </w:pPr>
    </w:p>
    <w:p>
      <w:pPr>
        <w:ind w:left="504"/>
        <w:spacing w:after="0"/>
        <w:rPr>
          <w:rFonts w:ascii="Arial" w:cs="Arial" w:eastAsia="Arial" w:hAnsi="Arial"/>
          <w:sz w:val="16"/>
          <w:szCs w:val="16"/>
          <w:color w:val="auto"/>
        </w:rPr>
      </w:pPr>
      <w:r>
        <w:rPr>
          <w:rFonts w:ascii="Arial" w:cs="Arial" w:eastAsia="Arial" w:hAnsi="Arial"/>
          <w:sz w:val="16"/>
          <w:szCs w:val="16"/>
          <w:color w:val="auto"/>
        </w:rPr>
        <w:t>917,942</w:t>
      </w:r>
    </w:p>
    <w:p>
      <w:pPr>
        <w:spacing w:after="0" w:line="65" w:lineRule="exact"/>
        <w:rPr>
          <w:sz w:val="20"/>
          <w:szCs w:val="20"/>
          <w:color w:val="auto"/>
        </w:rPr>
      </w:pPr>
    </w:p>
    <w:p>
      <w:pPr>
        <w:ind w:left="604" w:hanging="604"/>
        <w:spacing w:after="0"/>
        <w:tabs>
          <w:tab w:leader="none" w:pos="604" w:val="left"/>
        </w:tabs>
        <w:numPr>
          <w:ilvl w:val="0"/>
          <w:numId w:val="22"/>
        </w:numPr>
        <w:rPr>
          <w:rFonts w:ascii="Arial" w:cs="Arial" w:eastAsia="Arial" w:hAnsi="Arial"/>
          <w:sz w:val="16"/>
          <w:szCs w:val="16"/>
          <w:color w:val="auto"/>
        </w:rPr>
      </w:pPr>
      <w:r>
        <w:rPr>
          <w:rFonts w:ascii="Arial" w:cs="Arial" w:eastAsia="Arial" w:hAnsi="Arial"/>
          <w:sz w:val="16"/>
          <w:szCs w:val="16"/>
          <w:color w:val="auto"/>
        </w:rPr>
        <w:t>87,276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56515</wp:posOffset>
            </wp:positionV>
            <wp:extent cx="73723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37235" cy="8890"/>
                    </a:xfrm>
                    <a:prstGeom prst="rect">
                      <a:avLst/>
                    </a:prstGeom>
                    <a:noFill/>
                  </pic:spPr>
                </pic:pic>
              </a:graphicData>
            </a:graphic>
          </wp:anchor>
        </w:drawing>
      </w:r>
    </w:p>
    <w:p>
      <w:pPr>
        <w:spacing w:after="0" w:line="245" w:lineRule="exact"/>
        <w:rPr>
          <w:sz w:val="20"/>
          <w:szCs w:val="20"/>
          <w:color w:val="auto"/>
        </w:rPr>
      </w:pPr>
    </w:p>
    <w:p>
      <w:pPr>
        <w:sectPr>
          <w:pgSz w:w="11900" w:h="16838" w:orient="portrait"/>
          <w:cols w:equalWidth="0" w:num="2">
            <w:col w:w="9336" w:space="720"/>
            <w:col w:w="1364"/>
          </w:cols>
          <w:pgMar w:left="240" w:top="121" w:right="239" w:bottom="1440" w:gutter="0" w:footer="0" w:header="0"/>
          <w:type w:val="continuous"/>
        </w:sectPr>
      </w:pP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color w:val="auto"/>
        </w:rPr>
        <w:t>Consolidated gross profit for the quarter ended September 30,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1543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Consolidated gross profit for the quarter ended September 30,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1714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5" w:lineRule="exact"/>
        <w:rPr>
          <w:sz w:val="20"/>
          <w:szCs w:val="20"/>
          <w:color w:val="auto"/>
        </w:rPr>
      </w:pPr>
    </w:p>
    <w:p>
      <w:pPr>
        <w:spacing w:after="0"/>
        <w:rPr>
          <w:sz w:val="20"/>
          <w:szCs w:val="20"/>
          <w:color w:val="auto"/>
        </w:rPr>
      </w:pPr>
      <w:r>
        <w:rPr>
          <w:rFonts w:ascii="Arial" w:cs="Arial" w:eastAsia="Arial" w:hAnsi="Arial"/>
          <w:sz w:val="20"/>
          <w:szCs w:val="20"/>
          <w:color w:val="auto"/>
        </w:rPr>
        <w:t>Incremental gross profit</w:t>
      </w:r>
    </w:p>
    <w:p>
      <w:pPr>
        <w:spacing w:after="0" w:line="20" w:lineRule="exact"/>
        <w:rPr>
          <w:sz w:val="20"/>
          <w:szCs w:val="20"/>
          <w:color w:val="auto"/>
        </w:rPr>
      </w:pPr>
      <w:r>
        <w:rPr>
          <w:sz w:val="20"/>
          <w:szCs w:val="20"/>
          <w:color w:val="auto"/>
        </w:rPr>
        <w:br w:type="column"/>
      </w:r>
    </w:p>
    <w:p>
      <w:pPr>
        <w:spacing w:after="0" w:line="77" w:lineRule="exact"/>
        <w:rPr>
          <w:sz w:val="20"/>
          <w:szCs w:val="20"/>
          <w:color w:val="auto"/>
        </w:rPr>
      </w:pPr>
    </w:p>
    <w:p>
      <w:pPr>
        <w:ind w:left="504" w:hanging="504"/>
        <w:spacing w:after="0"/>
        <w:tabs>
          <w:tab w:leader="none" w:pos="504" w:val="left"/>
        </w:tabs>
        <w:numPr>
          <w:ilvl w:val="0"/>
          <w:numId w:val="23"/>
        </w:numPr>
        <w:rPr>
          <w:rFonts w:ascii="Arial" w:cs="Arial" w:eastAsia="Arial" w:hAnsi="Arial"/>
          <w:sz w:val="16"/>
          <w:szCs w:val="16"/>
          <w:color w:val="auto"/>
        </w:rPr>
      </w:pPr>
      <w:r>
        <w:rPr>
          <w:rFonts w:ascii="Arial" w:cs="Arial" w:eastAsia="Arial" w:hAnsi="Arial"/>
          <w:sz w:val="16"/>
          <w:szCs w:val="16"/>
          <w:color w:val="auto"/>
        </w:rPr>
        <w:t>262,505</w:t>
      </w:r>
    </w:p>
    <w:p>
      <w:pPr>
        <w:spacing w:after="0" w:line="66" w:lineRule="exact"/>
        <w:rPr>
          <w:rFonts w:ascii="Arial" w:cs="Arial" w:eastAsia="Arial" w:hAnsi="Arial"/>
          <w:sz w:val="16"/>
          <w:szCs w:val="16"/>
          <w:color w:val="auto"/>
        </w:rPr>
      </w:pPr>
    </w:p>
    <w:p>
      <w:pPr>
        <w:ind w:left="504"/>
        <w:spacing w:after="0"/>
        <w:rPr>
          <w:rFonts w:ascii="Arial" w:cs="Arial" w:eastAsia="Arial" w:hAnsi="Arial"/>
          <w:sz w:val="16"/>
          <w:szCs w:val="16"/>
          <w:color w:val="auto"/>
        </w:rPr>
      </w:pPr>
      <w:r>
        <w:rPr>
          <w:rFonts w:ascii="Arial" w:cs="Arial" w:eastAsia="Arial" w:hAnsi="Arial"/>
          <w:sz w:val="16"/>
          <w:szCs w:val="16"/>
          <w:color w:val="auto"/>
        </w:rPr>
        <w:t>195,593</w:t>
      </w:r>
    </w:p>
    <w:p>
      <w:pPr>
        <w:spacing w:after="0" w:line="65" w:lineRule="exact"/>
        <w:rPr>
          <w:sz w:val="20"/>
          <w:szCs w:val="20"/>
          <w:color w:val="auto"/>
        </w:rPr>
      </w:pPr>
    </w:p>
    <w:p>
      <w:pPr>
        <w:ind w:left="604" w:hanging="604"/>
        <w:spacing w:after="0"/>
        <w:tabs>
          <w:tab w:leader="none" w:pos="604" w:val="left"/>
        </w:tabs>
        <w:numPr>
          <w:ilvl w:val="0"/>
          <w:numId w:val="24"/>
        </w:numPr>
        <w:rPr>
          <w:rFonts w:ascii="Arial" w:cs="Arial" w:eastAsia="Arial" w:hAnsi="Arial"/>
          <w:sz w:val="16"/>
          <w:szCs w:val="16"/>
          <w:color w:val="auto"/>
        </w:rPr>
      </w:pPr>
      <w:r>
        <w:rPr>
          <w:rFonts w:ascii="Arial" w:cs="Arial" w:eastAsia="Arial" w:hAnsi="Arial"/>
          <w:sz w:val="16"/>
          <w:szCs w:val="16"/>
          <w:color w:val="auto"/>
        </w:rPr>
        <w:t>66,912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56515</wp:posOffset>
            </wp:positionV>
            <wp:extent cx="73723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37235" cy="8890"/>
                    </a:xfrm>
                    <a:prstGeom prst="rect">
                      <a:avLst/>
                    </a:prstGeom>
                    <a:noFill/>
                  </pic:spPr>
                </pic:pic>
              </a:graphicData>
            </a:graphic>
          </wp:anchor>
        </w:drawing>
      </w:r>
    </w:p>
    <w:p>
      <w:pPr>
        <w:spacing w:after="0" w:line="245" w:lineRule="exact"/>
        <w:rPr>
          <w:sz w:val="20"/>
          <w:szCs w:val="20"/>
          <w:color w:val="auto"/>
        </w:rPr>
      </w:pPr>
    </w:p>
    <w:p>
      <w:pPr>
        <w:sectPr>
          <w:pgSz w:w="11900" w:h="16838" w:orient="portrait"/>
          <w:cols w:equalWidth="0" w:num="2">
            <w:col w:w="9336" w:space="720"/>
            <w:col w:w="1364"/>
          </w:cols>
          <w:pgMar w:left="240" w:top="121" w:right="239" w:bottom="1440" w:gutter="0" w:footer="0" w:header="0"/>
          <w:type w:val="continuous"/>
        </w:sectPr>
      </w:pP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360" w:type="dxa"/>
            <w:vAlign w:val="bottom"/>
          </w:tcPr>
          <w:p>
            <w:pPr>
              <w:spacing w:after="0"/>
              <w:rPr>
                <w:sz w:val="20"/>
                <w:szCs w:val="20"/>
                <w:color w:val="auto"/>
              </w:rPr>
            </w:pPr>
            <w:r>
              <w:rPr>
                <w:rFonts w:ascii="Arial" w:cs="Arial" w:eastAsia="Arial" w:hAnsi="Arial"/>
                <w:sz w:val="20"/>
                <w:szCs w:val="20"/>
                <w:color w:val="auto"/>
              </w:rPr>
              <w:t>Consolidated incremental gross margin (excluding freight and delivery revenues) for quarter ended</w:t>
            </w:r>
          </w:p>
        </w:tc>
        <w:tc>
          <w:tcPr>
            <w:tcW w:w="2020" w:type="dxa"/>
            <w:vAlign w:val="bottom"/>
          </w:tcPr>
          <w:p>
            <w:pPr>
              <w:spacing w:after="0"/>
              <w:rPr>
                <w:sz w:val="19"/>
                <w:szCs w:val="19"/>
                <w:color w:val="auto"/>
              </w:rPr>
            </w:pPr>
          </w:p>
        </w:tc>
      </w:tr>
      <w:tr>
        <w:trPr>
          <w:trHeight w:val="250"/>
        </w:trPr>
        <w:tc>
          <w:tcPr>
            <w:tcW w:w="9360" w:type="dxa"/>
            <w:vAlign w:val="bottom"/>
          </w:tcPr>
          <w:p>
            <w:pPr>
              <w:ind w:left="260"/>
              <w:spacing w:after="0"/>
              <w:rPr>
                <w:sz w:val="20"/>
                <w:szCs w:val="20"/>
                <w:color w:val="auto"/>
              </w:rPr>
            </w:pPr>
            <w:r>
              <w:rPr>
                <w:rFonts w:ascii="Arial" w:cs="Arial" w:eastAsia="Arial" w:hAnsi="Arial"/>
                <w:sz w:val="20"/>
                <w:szCs w:val="20"/>
                <w:color w:val="auto"/>
              </w:rPr>
              <w:t>September 30, 2015</w:t>
            </w:r>
          </w:p>
        </w:tc>
        <w:tc>
          <w:tcPr>
            <w:tcW w:w="2020" w:type="dxa"/>
            <w:vAlign w:val="bottom"/>
          </w:tcPr>
          <w:p>
            <w:pPr>
              <w:jc w:val="right"/>
              <w:spacing w:after="0"/>
              <w:rPr>
                <w:sz w:val="20"/>
                <w:szCs w:val="20"/>
                <w:color w:val="auto"/>
              </w:rPr>
            </w:pPr>
            <w:r>
              <w:rPr>
                <w:rFonts w:ascii="Arial" w:cs="Arial" w:eastAsia="Arial" w:hAnsi="Arial"/>
                <w:sz w:val="20"/>
                <w:szCs w:val="20"/>
                <w:color w:val="auto"/>
              </w:rPr>
              <w:t>76.7%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-302260</wp:posOffset>
            </wp:positionV>
            <wp:extent cx="7246620" cy="3257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3257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6"/>
          <w:szCs w:val="16"/>
          <w:color w:val="auto"/>
        </w:rPr>
        <w:t>Aggregates business net sales for the quarter ended September 30,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7246620" cy="1543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Aggregates business net sales for the quarter ended September 30, 2014</w:t>
      </w:r>
    </w:p>
    <w:p>
      <w:pPr>
        <w:spacing w:after="0" w:line="65" w:lineRule="exact"/>
        <w:rPr>
          <w:sz w:val="20"/>
          <w:szCs w:val="20"/>
          <w:color w:val="auto"/>
        </w:rPr>
      </w:pPr>
    </w:p>
    <w:p>
      <w:pPr>
        <w:spacing w:after="0"/>
        <w:rPr>
          <w:sz w:val="20"/>
          <w:szCs w:val="20"/>
          <w:color w:val="auto"/>
        </w:rPr>
      </w:pPr>
      <w:r>
        <w:rPr>
          <w:rFonts w:ascii="Arial" w:cs="Arial" w:eastAsia="Arial" w:hAnsi="Arial"/>
          <w:sz w:val="20"/>
          <w:szCs w:val="20"/>
          <w:color w:val="auto"/>
        </w:rPr>
        <w:t>Incremental net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246620" cy="1714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9" w:lineRule="exact"/>
        <w:rPr>
          <w:sz w:val="20"/>
          <w:szCs w:val="20"/>
          <w:color w:val="auto"/>
        </w:rPr>
      </w:pPr>
    </w:p>
    <w:p>
      <w:pPr>
        <w:ind w:left="504" w:hanging="504"/>
        <w:spacing w:after="0"/>
        <w:tabs>
          <w:tab w:leader="none" w:pos="504" w:val="left"/>
        </w:tabs>
        <w:numPr>
          <w:ilvl w:val="0"/>
          <w:numId w:val="25"/>
        </w:numPr>
        <w:rPr>
          <w:rFonts w:ascii="Arial" w:cs="Arial" w:eastAsia="Arial" w:hAnsi="Arial"/>
          <w:sz w:val="16"/>
          <w:szCs w:val="16"/>
          <w:color w:val="auto"/>
        </w:rPr>
      </w:pPr>
      <w:r>
        <w:rPr>
          <w:rFonts w:ascii="Arial" w:cs="Arial" w:eastAsia="Arial" w:hAnsi="Arial"/>
          <w:sz w:val="16"/>
          <w:szCs w:val="16"/>
          <w:color w:val="auto"/>
        </w:rPr>
        <w:t>837,441</w:t>
      </w:r>
    </w:p>
    <w:p>
      <w:pPr>
        <w:spacing w:after="0" w:line="66" w:lineRule="exact"/>
        <w:rPr>
          <w:rFonts w:ascii="Arial" w:cs="Arial" w:eastAsia="Arial" w:hAnsi="Arial"/>
          <w:sz w:val="16"/>
          <w:szCs w:val="16"/>
          <w:color w:val="auto"/>
        </w:rPr>
      </w:pPr>
    </w:p>
    <w:p>
      <w:pPr>
        <w:ind w:left="504"/>
        <w:spacing w:after="0"/>
        <w:rPr>
          <w:rFonts w:ascii="Arial" w:cs="Arial" w:eastAsia="Arial" w:hAnsi="Arial"/>
          <w:sz w:val="16"/>
          <w:szCs w:val="16"/>
          <w:color w:val="auto"/>
        </w:rPr>
      </w:pPr>
      <w:r>
        <w:rPr>
          <w:rFonts w:ascii="Arial" w:cs="Arial" w:eastAsia="Arial" w:hAnsi="Arial"/>
          <w:sz w:val="16"/>
          <w:szCs w:val="16"/>
          <w:color w:val="auto"/>
        </w:rPr>
        <w:t>749,749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34925</wp:posOffset>
            </wp:positionV>
            <wp:extent cx="73723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37235" cy="8890"/>
                    </a:xfrm>
                    <a:prstGeom prst="rect">
                      <a:avLst/>
                    </a:prstGeom>
                    <a:noFill/>
                  </pic:spPr>
                </pic:pic>
              </a:graphicData>
            </a:graphic>
          </wp:anchor>
        </w:drawing>
      </w:r>
    </w:p>
    <w:p>
      <w:pPr>
        <w:spacing w:after="0" w:line="45" w:lineRule="exact"/>
        <w:rPr>
          <w:sz w:val="20"/>
          <w:szCs w:val="20"/>
          <w:color w:val="auto"/>
        </w:rPr>
      </w:pPr>
    </w:p>
    <w:p>
      <w:pPr>
        <w:ind w:left="604" w:hanging="604"/>
        <w:spacing w:after="0"/>
        <w:tabs>
          <w:tab w:leader="none" w:pos="604" w:val="left"/>
        </w:tabs>
        <w:numPr>
          <w:ilvl w:val="0"/>
          <w:numId w:val="26"/>
        </w:numPr>
        <w:rPr>
          <w:rFonts w:ascii="Arial" w:cs="Arial" w:eastAsia="Arial" w:hAnsi="Arial"/>
          <w:sz w:val="16"/>
          <w:szCs w:val="16"/>
          <w:color w:val="auto"/>
        </w:rPr>
      </w:pPr>
      <w:r>
        <w:rPr>
          <w:rFonts w:ascii="Arial" w:cs="Arial" w:eastAsia="Arial" w:hAnsi="Arial"/>
          <w:sz w:val="16"/>
          <w:szCs w:val="16"/>
          <w:color w:val="auto"/>
        </w:rPr>
        <w:t>87,692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39370</wp:posOffset>
            </wp:positionV>
            <wp:extent cx="73723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37235" cy="8890"/>
                    </a:xfrm>
                    <a:prstGeom prst="rect">
                      <a:avLst/>
                    </a:prstGeom>
                    <a:noFill/>
                  </pic:spPr>
                </pic:pic>
              </a:graphicData>
            </a:graphic>
          </wp:anchor>
        </w:drawing>
      </w:r>
    </w:p>
    <w:p>
      <w:pPr>
        <w:spacing w:after="0" w:line="245" w:lineRule="exact"/>
        <w:rPr>
          <w:sz w:val="20"/>
          <w:szCs w:val="20"/>
          <w:color w:val="auto"/>
        </w:rPr>
      </w:pPr>
    </w:p>
    <w:p>
      <w:pPr>
        <w:sectPr>
          <w:pgSz w:w="11900" w:h="16838" w:orient="portrait"/>
          <w:cols w:equalWidth="0" w:num="2">
            <w:col w:w="9336" w:space="720"/>
            <w:col w:w="1364"/>
          </w:cols>
          <w:pgMar w:left="240" w:top="121" w:right="239" w:bottom="1440" w:gutter="0" w:footer="0" w:header="0"/>
          <w:type w:val="continuous"/>
        </w:sectPr>
      </w:pP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color w:val="auto"/>
        </w:rPr>
        <w:t>Aggregates business gross profit for the quarter ended September 30,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7246620" cy="1543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Aggregates business gross profit for the quarter ended September 30, 2014</w:t>
      </w:r>
    </w:p>
    <w:p>
      <w:pPr>
        <w:spacing w:after="0" w:line="65" w:lineRule="exact"/>
        <w:rPr>
          <w:sz w:val="20"/>
          <w:szCs w:val="20"/>
          <w:color w:val="auto"/>
        </w:rPr>
      </w:pPr>
    </w:p>
    <w:p>
      <w:pPr>
        <w:spacing w:after="0"/>
        <w:rPr>
          <w:sz w:val="20"/>
          <w:szCs w:val="20"/>
          <w:color w:val="auto"/>
        </w:rPr>
      </w:pPr>
      <w:r>
        <w:rPr>
          <w:rFonts w:ascii="Arial" w:cs="Arial" w:eastAsia="Arial" w:hAnsi="Arial"/>
          <w:sz w:val="20"/>
          <w:szCs w:val="20"/>
          <w:color w:val="auto"/>
        </w:rPr>
        <w:t>Incremental gross profit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246620" cy="1714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7" w:lineRule="exact"/>
        <w:rPr>
          <w:sz w:val="20"/>
          <w:szCs w:val="20"/>
          <w:color w:val="auto"/>
        </w:rPr>
      </w:pPr>
    </w:p>
    <w:p>
      <w:pPr>
        <w:ind w:left="504" w:hanging="504"/>
        <w:spacing w:after="0"/>
        <w:tabs>
          <w:tab w:leader="none" w:pos="504" w:val="left"/>
        </w:tabs>
        <w:numPr>
          <w:ilvl w:val="0"/>
          <w:numId w:val="27"/>
        </w:numPr>
        <w:rPr>
          <w:rFonts w:ascii="Arial" w:cs="Arial" w:eastAsia="Arial" w:hAnsi="Arial"/>
          <w:sz w:val="16"/>
          <w:szCs w:val="16"/>
          <w:color w:val="auto"/>
        </w:rPr>
      </w:pPr>
      <w:r>
        <w:rPr>
          <w:rFonts w:ascii="Arial" w:cs="Arial" w:eastAsia="Arial" w:hAnsi="Arial"/>
          <w:sz w:val="16"/>
          <w:szCs w:val="16"/>
          <w:color w:val="auto"/>
        </w:rPr>
        <w:t>211,780</w:t>
      </w:r>
    </w:p>
    <w:p>
      <w:pPr>
        <w:spacing w:after="0" w:line="66" w:lineRule="exact"/>
        <w:rPr>
          <w:rFonts w:ascii="Arial" w:cs="Arial" w:eastAsia="Arial" w:hAnsi="Arial"/>
          <w:sz w:val="16"/>
          <w:szCs w:val="16"/>
          <w:color w:val="auto"/>
        </w:rPr>
      </w:pPr>
    </w:p>
    <w:p>
      <w:pPr>
        <w:ind w:left="504"/>
        <w:spacing w:after="0"/>
        <w:rPr>
          <w:rFonts w:ascii="Arial" w:cs="Arial" w:eastAsia="Arial" w:hAnsi="Arial"/>
          <w:sz w:val="16"/>
          <w:szCs w:val="16"/>
          <w:color w:val="auto"/>
        </w:rPr>
      </w:pPr>
      <w:r>
        <w:rPr>
          <w:rFonts w:ascii="Arial" w:cs="Arial" w:eastAsia="Arial" w:hAnsi="Arial"/>
          <w:sz w:val="16"/>
          <w:szCs w:val="16"/>
          <w:color w:val="auto"/>
        </w:rPr>
        <w:t>152,158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34925</wp:posOffset>
            </wp:positionV>
            <wp:extent cx="73723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37235" cy="8890"/>
                    </a:xfrm>
                    <a:prstGeom prst="rect">
                      <a:avLst/>
                    </a:prstGeom>
                    <a:noFill/>
                  </pic:spPr>
                </pic:pic>
              </a:graphicData>
            </a:graphic>
          </wp:anchor>
        </w:drawing>
      </w:r>
    </w:p>
    <w:p>
      <w:pPr>
        <w:spacing w:after="0" w:line="45" w:lineRule="exact"/>
        <w:rPr>
          <w:sz w:val="20"/>
          <w:szCs w:val="20"/>
          <w:color w:val="auto"/>
        </w:rPr>
      </w:pPr>
    </w:p>
    <w:p>
      <w:pPr>
        <w:ind w:left="604" w:hanging="604"/>
        <w:spacing w:after="0"/>
        <w:tabs>
          <w:tab w:leader="none" w:pos="604" w:val="left"/>
        </w:tabs>
        <w:numPr>
          <w:ilvl w:val="0"/>
          <w:numId w:val="28"/>
        </w:numPr>
        <w:rPr>
          <w:rFonts w:ascii="Arial" w:cs="Arial" w:eastAsia="Arial" w:hAnsi="Arial"/>
          <w:sz w:val="16"/>
          <w:szCs w:val="16"/>
          <w:color w:val="auto"/>
        </w:rPr>
      </w:pPr>
      <w:r>
        <w:rPr>
          <w:rFonts w:ascii="Arial" w:cs="Arial" w:eastAsia="Arial" w:hAnsi="Arial"/>
          <w:sz w:val="16"/>
          <w:szCs w:val="16"/>
          <w:color w:val="auto"/>
        </w:rPr>
        <w:t>59,622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39370</wp:posOffset>
            </wp:positionV>
            <wp:extent cx="73723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37235" cy="8890"/>
                    </a:xfrm>
                    <a:prstGeom prst="rect">
                      <a:avLst/>
                    </a:prstGeom>
                    <a:noFill/>
                  </pic:spPr>
                </pic:pic>
              </a:graphicData>
            </a:graphic>
          </wp:anchor>
        </w:drawing>
      </w:r>
    </w:p>
    <w:p>
      <w:pPr>
        <w:spacing w:after="0" w:line="245" w:lineRule="exact"/>
        <w:rPr>
          <w:sz w:val="20"/>
          <w:szCs w:val="20"/>
          <w:color w:val="auto"/>
        </w:rPr>
      </w:pPr>
    </w:p>
    <w:p>
      <w:pPr>
        <w:sectPr>
          <w:pgSz w:w="11900" w:h="16838" w:orient="portrait"/>
          <w:cols w:equalWidth="0" w:num="2">
            <w:col w:w="9336" w:space="720"/>
            <w:col w:w="1364"/>
          </w:cols>
          <w:pgMar w:left="240" w:top="121" w:right="239" w:bottom="1440" w:gutter="0" w:footer="0" w:header="0"/>
          <w:type w:val="continuous"/>
        </w:sectPr>
      </w:pP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380" w:type="dxa"/>
            <w:vAlign w:val="bottom"/>
          </w:tcPr>
          <w:p>
            <w:pPr>
              <w:spacing w:after="0"/>
              <w:rPr>
                <w:sz w:val="20"/>
                <w:szCs w:val="20"/>
                <w:color w:val="auto"/>
              </w:rPr>
            </w:pPr>
            <w:r>
              <w:rPr>
                <w:rFonts w:ascii="Arial" w:cs="Arial" w:eastAsia="Arial" w:hAnsi="Arial"/>
                <w:sz w:val="20"/>
                <w:szCs w:val="20"/>
                <w:color w:val="auto"/>
              </w:rPr>
              <w:t>Aggregates business incremental gross margin (excluding freight and delivery revenues) for quarter</w:t>
            </w:r>
          </w:p>
        </w:tc>
        <w:tc>
          <w:tcPr>
            <w:tcW w:w="2000" w:type="dxa"/>
            <w:vAlign w:val="bottom"/>
          </w:tcPr>
          <w:p>
            <w:pPr>
              <w:spacing w:after="0"/>
              <w:rPr>
                <w:sz w:val="19"/>
                <w:szCs w:val="19"/>
                <w:color w:val="auto"/>
              </w:rPr>
            </w:pPr>
          </w:p>
        </w:tc>
      </w:tr>
      <w:tr>
        <w:trPr>
          <w:trHeight w:val="250"/>
        </w:trPr>
        <w:tc>
          <w:tcPr>
            <w:tcW w:w="9380" w:type="dxa"/>
            <w:vAlign w:val="bottom"/>
          </w:tcPr>
          <w:p>
            <w:pPr>
              <w:ind w:left="260"/>
              <w:spacing w:after="0"/>
              <w:rPr>
                <w:sz w:val="20"/>
                <w:szCs w:val="20"/>
                <w:color w:val="auto"/>
              </w:rPr>
            </w:pPr>
            <w:r>
              <w:rPr>
                <w:rFonts w:ascii="Arial" w:cs="Arial" w:eastAsia="Arial" w:hAnsi="Arial"/>
                <w:sz w:val="20"/>
                <w:szCs w:val="20"/>
                <w:color w:val="auto"/>
              </w:rPr>
              <w:t>ended September 30, 2015</w:t>
            </w:r>
          </w:p>
        </w:tc>
        <w:tc>
          <w:tcPr>
            <w:tcW w:w="2000" w:type="dxa"/>
            <w:vAlign w:val="bottom"/>
          </w:tcPr>
          <w:p>
            <w:pPr>
              <w:jc w:val="right"/>
              <w:spacing w:after="0"/>
              <w:rPr>
                <w:sz w:val="20"/>
                <w:szCs w:val="20"/>
                <w:color w:val="auto"/>
              </w:rPr>
            </w:pPr>
            <w:r>
              <w:rPr>
                <w:rFonts w:ascii="Arial" w:cs="Arial" w:eastAsia="Arial" w:hAnsi="Arial"/>
                <w:sz w:val="20"/>
                <w:szCs w:val="20"/>
                <w:color w:val="auto"/>
              </w:rPr>
              <w:t>68.0%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6385560</wp:posOffset>
            </wp:positionH>
            <wp:positionV relativeFrom="paragraph">
              <wp:posOffset>-1905</wp:posOffset>
            </wp:positionV>
            <wp:extent cx="73723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37235" cy="8890"/>
                    </a:xfrm>
                    <a:prstGeom prst="rect">
                      <a:avLst/>
                    </a:prstGeom>
                    <a:noFill/>
                  </pic:spPr>
                </pic:pic>
              </a:graphicData>
            </a:graphic>
          </wp:anchor>
        </w:drawing>
        <w:drawing>
          <wp:anchor simplePos="0" relativeHeight="251657728" behindDoc="1" locked="0" layoutInCell="0" allowOverlap="1">
            <wp:simplePos x="0" y="0"/>
            <wp:positionH relativeFrom="column">
              <wp:posOffset>6385560</wp:posOffset>
            </wp:positionH>
            <wp:positionV relativeFrom="paragraph">
              <wp:posOffset>14605</wp:posOffset>
            </wp:positionV>
            <wp:extent cx="73723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37235" cy="8890"/>
                    </a:xfrm>
                    <a:prstGeom prst="rect">
                      <a:avLst/>
                    </a:prstGeom>
                    <a:noFill/>
                  </pic:spPr>
                </pic:pic>
              </a:graphicData>
            </a:graphic>
          </wp:anchor>
        </w:drawing>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30 of 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30" w:name="page31"/>
    <w:bookmarkEnd w:id="30"/>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September 30, 2015</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rPr>
          <w:sz w:val="20"/>
          <w:szCs w:val="20"/>
          <w:color w:val="auto"/>
        </w:rPr>
      </w:pPr>
      <w:r>
        <w:rPr>
          <w:rFonts w:ascii="Arial" w:cs="Arial" w:eastAsia="Arial" w:hAnsi="Arial"/>
          <w:sz w:val="20"/>
          <w:szCs w:val="20"/>
          <w:color w:val="auto"/>
        </w:rPr>
        <w:t>Third Quarter Ended September 30, 2015</w:t>
      </w:r>
    </w:p>
    <w:p>
      <w:pPr>
        <w:jc w:val="center"/>
        <w:spacing w:after="0"/>
        <w:rPr>
          <w:sz w:val="20"/>
          <w:szCs w:val="20"/>
          <w:color w:val="auto"/>
        </w:rPr>
      </w:pPr>
      <w:r>
        <w:rPr>
          <w:rFonts w:ascii="Arial" w:cs="Arial" w:eastAsia="Arial" w:hAnsi="Arial"/>
          <w:sz w:val="20"/>
          <w:szCs w:val="20"/>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The Corporation presents the earnings per diluted share impact and operating earnings impact of the loss on the sale of the California cement operations, including related expenses. This non-GAAP measure is presented for investors and analysts to evaluate and forecast the Corporation’s ongoing financial results, as the loss on the divestiture and related expenses is nonrecurring.</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The following shows the calculation of the impact of the loss on the sale of the California cement operations and other related expenses on earnings per diluted share for the three and nine months ended September 30, 2015 (in thousands except per share data):</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600" w:type="dxa"/>
            <w:vAlign w:val="bottom"/>
          </w:tcPr>
          <w:p>
            <w:pPr>
              <w:spacing w:after="0"/>
              <w:rPr>
                <w:sz w:val="20"/>
                <w:szCs w:val="20"/>
                <w:color w:val="auto"/>
              </w:rPr>
            </w:pPr>
          </w:p>
        </w:tc>
        <w:tc>
          <w:tcPr>
            <w:tcW w:w="1500" w:type="dxa"/>
            <w:vAlign w:val="bottom"/>
            <w:gridSpan w:val="3"/>
          </w:tcPr>
          <w:p>
            <w:pPr>
              <w:jc w:val="right"/>
              <w:ind w:right="300"/>
              <w:spacing w:after="0"/>
              <w:rPr>
                <w:sz w:val="20"/>
                <w:szCs w:val="20"/>
                <w:color w:val="auto"/>
              </w:rPr>
            </w:pPr>
            <w:r>
              <w:rPr>
                <w:rFonts w:ascii="Arial" w:cs="Arial" w:eastAsia="Arial" w:hAnsi="Arial"/>
                <w:sz w:val="20"/>
                <w:szCs w:val="20"/>
                <w:color w:val="auto"/>
                <w:w w:val="95"/>
              </w:rPr>
              <w:t>Three Months</w:t>
            </w:r>
          </w:p>
        </w:tc>
        <w:tc>
          <w:tcPr>
            <w:tcW w:w="1320" w:type="dxa"/>
            <w:vAlign w:val="bottom"/>
            <w:gridSpan w:val="3"/>
          </w:tcPr>
          <w:p>
            <w:pPr>
              <w:jc w:val="right"/>
              <w:ind w:right="200"/>
              <w:spacing w:after="0"/>
              <w:rPr>
                <w:sz w:val="20"/>
                <w:szCs w:val="20"/>
                <w:color w:val="auto"/>
              </w:rPr>
            </w:pPr>
            <w:r>
              <w:rPr>
                <w:rFonts w:ascii="Arial" w:cs="Arial" w:eastAsia="Arial" w:hAnsi="Arial"/>
                <w:sz w:val="20"/>
                <w:szCs w:val="20"/>
                <w:color w:val="auto"/>
                <w:w w:val="97"/>
              </w:rPr>
              <w:t>Nine Months</w:t>
            </w:r>
          </w:p>
        </w:tc>
        <w:tc>
          <w:tcPr>
            <w:tcW w:w="0" w:type="dxa"/>
            <w:vAlign w:val="bottom"/>
          </w:tcPr>
          <w:p>
            <w:pPr>
              <w:spacing w:after="0"/>
              <w:rPr>
                <w:sz w:val="1"/>
                <w:szCs w:val="1"/>
                <w:color w:val="auto"/>
              </w:rPr>
            </w:pPr>
          </w:p>
        </w:tc>
      </w:tr>
      <w:tr>
        <w:trPr>
          <w:trHeight w:val="246"/>
        </w:trPr>
        <w:tc>
          <w:tcPr>
            <w:tcW w:w="86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gridSpan w:val="2"/>
          </w:tcPr>
          <w:p>
            <w:pPr>
              <w:jc w:val="right"/>
              <w:ind w:right="600"/>
              <w:spacing w:after="0"/>
              <w:rPr>
                <w:sz w:val="20"/>
                <w:szCs w:val="20"/>
                <w:color w:val="auto"/>
              </w:rPr>
            </w:pPr>
            <w:r>
              <w:rPr>
                <w:rFonts w:ascii="Arial" w:cs="Arial" w:eastAsia="Arial" w:hAnsi="Arial"/>
                <w:sz w:val="20"/>
                <w:szCs w:val="20"/>
                <w:color w:val="auto"/>
              </w:rPr>
              <w:t>Ended</w:t>
            </w:r>
          </w:p>
        </w:tc>
        <w:tc>
          <w:tcPr>
            <w:tcW w:w="220" w:type="dxa"/>
            <w:vAlign w:val="bottom"/>
          </w:tcPr>
          <w:p>
            <w:pPr>
              <w:spacing w:after="0"/>
              <w:rPr>
                <w:sz w:val="21"/>
                <w:szCs w:val="21"/>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20"/>
                <w:szCs w:val="20"/>
                <w:color w:val="auto"/>
              </w:rPr>
              <w:t>Ended</w:t>
            </w:r>
          </w:p>
        </w:tc>
        <w:tc>
          <w:tcPr>
            <w:tcW w:w="0" w:type="dxa"/>
            <w:vAlign w:val="bottom"/>
          </w:tcPr>
          <w:p>
            <w:pPr>
              <w:spacing w:after="0"/>
              <w:rPr>
                <w:sz w:val="1"/>
                <w:szCs w:val="1"/>
                <w:color w:val="auto"/>
              </w:rPr>
            </w:pPr>
          </w:p>
        </w:tc>
      </w:tr>
      <w:tr>
        <w:trPr>
          <w:trHeight w:val="237"/>
        </w:trPr>
        <w:tc>
          <w:tcPr>
            <w:tcW w:w="8600" w:type="dxa"/>
            <w:vAlign w:val="bottom"/>
          </w:tcPr>
          <w:p>
            <w:pPr>
              <w:spacing w:after="0"/>
              <w:rPr>
                <w:sz w:val="20"/>
                <w:szCs w:val="20"/>
                <w:color w:val="auto"/>
              </w:rPr>
            </w:pPr>
            <w:r>
              <w:rPr>
                <w:rFonts w:ascii="Arial" w:cs="Arial" w:eastAsia="Arial" w:hAnsi="Arial"/>
                <w:sz w:val="20"/>
                <w:szCs w:val="20"/>
                <w:color w:val="auto"/>
              </w:rPr>
              <w:t>Loss on the sale of the California cement operations and other related expenses</w:t>
            </w:r>
          </w:p>
        </w:tc>
        <w:tc>
          <w:tcPr>
            <w:tcW w:w="240" w:type="dxa"/>
            <w:vAlign w:val="bottom"/>
            <w:tcBorders>
              <w:top w:val="single" w:sz="8" w:color="auto"/>
            </w:tcBorders>
          </w:tcPr>
          <w:p>
            <w:pPr>
              <w:jc w:val="right"/>
              <w:ind w:right="41"/>
              <w:spacing w:after="0"/>
              <w:rPr>
                <w:sz w:val="20"/>
                <w:szCs w:val="20"/>
                <w:color w:val="auto"/>
              </w:rPr>
            </w:pPr>
            <w:r>
              <w:rPr>
                <w:rFonts w:ascii="Arial" w:cs="Arial" w:eastAsia="Arial" w:hAnsi="Arial"/>
                <w:sz w:val="20"/>
                <w:szCs w:val="20"/>
                <w:color w:val="auto"/>
                <w:w w:val="71"/>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28,709</w:t>
            </w:r>
          </w:p>
        </w:tc>
        <w:tc>
          <w:tcPr>
            <w:tcW w:w="200" w:type="dxa"/>
            <w:vAlign w:val="bottom"/>
          </w:tcPr>
          <w:p>
            <w:pPr>
              <w:spacing w:after="0"/>
              <w:rPr>
                <w:sz w:val="20"/>
                <w:szCs w:val="20"/>
                <w:color w:val="auto"/>
              </w:rPr>
            </w:pPr>
          </w:p>
        </w:tc>
        <w:tc>
          <w:tcPr>
            <w:tcW w:w="220" w:type="dxa"/>
            <w:vAlign w:val="bottom"/>
            <w:tcBorders>
              <w:top w:val="single" w:sz="8" w:color="auto"/>
            </w:tcBorders>
          </w:tcPr>
          <w:p>
            <w:pPr>
              <w:jc w:val="right"/>
              <w:ind w:right="21"/>
              <w:spacing w:after="0"/>
              <w:rPr>
                <w:sz w:val="20"/>
                <w:szCs w:val="20"/>
                <w:color w:val="auto"/>
              </w:rPr>
            </w:pPr>
            <w:r>
              <w:rPr>
                <w:rFonts w:ascii="Arial" w:cs="Arial" w:eastAsia="Arial" w:hAnsi="Arial"/>
                <w:sz w:val="20"/>
                <w:szCs w:val="20"/>
                <w:color w:val="auto"/>
                <w:w w:val="71"/>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29,888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600" w:type="dxa"/>
            <w:vAlign w:val="bottom"/>
            <w:shd w:val="clear" w:color="auto" w:fill="CFF0FC"/>
          </w:tcPr>
          <w:p>
            <w:pPr>
              <w:spacing w:after="0"/>
              <w:rPr>
                <w:sz w:val="20"/>
                <w:szCs w:val="20"/>
                <w:color w:val="auto"/>
              </w:rPr>
            </w:pPr>
            <w:r>
              <w:rPr>
                <w:rFonts w:ascii="Arial" w:cs="Arial" w:eastAsia="Arial" w:hAnsi="Arial"/>
                <w:sz w:val="20"/>
                <w:szCs w:val="20"/>
                <w:color w:val="auto"/>
              </w:rPr>
              <w:t>Income tax benefit</w:t>
            </w:r>
          </w:p>
        </w:tc>
        <w:tc>
          <w:tcPr>
            <w:tcW w:w="24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140"/>
              <w:spacing w:after="0"/>
              <w:rPr>
                <w:sz w:val="20"/>
                <w:szCs w:val="20"/>
                <w:color w:val="auto"/>
              </w:rPr>
            </w:pPr>
            <w:r>
              <w:rPr>
                <w:rFonts w:ascii="Arial" w:cs="Arial" w:eastAsia="Arial" w:hAnsi="Arial"/>
                <w:sz w:val="20"/>
                <w:szCs w:val="20"/>
                <w:color w:val="auto"/>
              </w:rPr>
              <w:t>(11,856)</w:t>
            </w:r>
          </w:p>
        </w:tc>
        <w:tc>
          <w:tcPr>
            <w:tcW w:w="22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20"/>
                <w:szCs w:val="20"/>
                <w:color w:val="auto"/>
              </w:rPr>
              <w:t>(12,227)</w:t>
            </w:r>
          </w:p>
        </w:tc>
        <w:tc>
          <w:tcPr>
            <w:tcW w:w="0" w:type="dxa"/>
            <w:vAlign w:val="bottom"/>
          </w:tcPr>
          <w:p>
            <w:pPr>
              <w:spacing w:after="0"/>
              <w:rPr>
                <w:sz w:val="1"/>
                <w:szCs w:val="1"/>
                <w:color w:val="auto"/>
              </w:rPr>
            </w:pPr>
          </w:p>
        </w:tc>
      </w:tr>
      <w:tr>
        <w:trPr>
          <w:trHeight w:val="220"/>
        </w:trPr>
        <w:tc>
          <w:tcPr>
            <w:tcW w:w="8600" w:type="dxa"/>
            <w:vAlign w:val="bottom"/>
          </w:tcPr>
          <w:p>
            <w:pPr>
              <w:spacing w:after="0" w:line="220" w:lineRule="exact"/>
              <w:rPr>
                <w:sz w:val="20"/>
                <w:szCs w:val="20"/>
                <w:color w:val="auto"/>
              </w:rPr>
            </w:pPr>
            <w:r>
              <w:rPr>
                <w:rFonts w:ascii="Arial" w:cs="Arial" w:eastAsia="Arial" w:hAnsi="Arial"/>
                <w:sz w:val="20"/>
                <w:szCs w:val="20"/>
                <w:color w:val="auto"/>
              </w:rPr>
              <w:t>After-tax impact of the loss on the sale of the California cement operations and other</w:t>
            </w:r>
          </w:p>
        </w:tc>
        <w:tc>
          <w:tcPr>
            <w:tcW w:w="24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6"/>
        </w:trPr>
        <w:tc>
          <w:tcPr>
            <w:tcW w:w="8600" w:type="dxa"/>
            <w:vAlign w:val="bottom"/>
            <w:tcBorders>
              <w:bottom w:val="single" w:sz="8" w:color="CFF0FC"/>
            </w:tcBorders>
          </w:tcPr>
          <w:p>
            <w:pPr>
              <w:ind w:left="260"/>
              <w:spacing w:after="0"/>
              <w:rPr>
                <w:sz w:val="20"/>
                <w:szCs w:val="20"/>
                <w:color w:val="auto"/>
              </w:rPr>
            </w:pPr>
            <w:r>
              <w:rPr>
                <w:rFonts w:ascii="Arial" w:cs="Arial" w:eastAsia="Arial" w:hAnsi="Arial"/>
                <w:sz w:val="20"/>
                <w:szCs w:val="20"/>
                <w:color w:val="auto"/>
              </w:rPr>
              <w:t>related expenses</w:t>
            </w:r>
          </w:p>
        </w:tc>
        <w:tc>
          <w:tcPr>
            <w:tcW w:w="24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16,853</w:t>
            </w:r>
          </w:p>
        </w:tc>
        <w:tc>
          <w:tcPr>
            <w:tcW w:w="200" w:type="dxa"/>
            <w:vAlign w:val="bottom"/>
            <w:tcBorders>
              <w:bottom w:val="single" w:sz="8" w:color="CFF0FC"/>
            </w:tcBorders>
          </w:tcPr>
          <w:p>
            <w:pPr>
              <w:spacing w:after="0"/>
              <w:rPr>
                <w:sz w:val="24"/>
                <w:szCs w:val="24"/>
                <w:color w:val="auto"/>
              </w:rPr>
            </w:pPr>
          </w:p>
        </w:tc>
        <w:tc>
          <w:tcPr>
            <w:tcW w:w="22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17,661</w:t>
            </w:r>
          </w:p>
        </w:tc>
        <w:tc>
          <w:tcPr>
            <w:tcW w:w="120" w:type="dxa"/>
            <w:vAlign w:val="bottom"/>
            <w:tcBorders>
              <w:bottom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8600" w:type="dxa"/>
            <w:vAlign w:val="bottom"/>
            <w:tcBorders>
              <w:bottom w:val="single" w:sz="8" w:color="CFF0FC"/>
            </w:tcBorders>
            <w:shd w:val="clear" w:color="auto" w:fill="CFF0FC"/>
          </w:tcPr>
          <w:p>
            <w:pPr>
              <w:spacing w:after="0" w:line="224" w:lineRule="exact"/>
              <w:rPr>
                <w:sz w:val="20"/>
                <w:szCs w:val="20"/>
                <w:color w:val="auto"/>
              </w:rPr>
            </w:pPr>
            <w:r>
              <w:rPr>
                <w:rFonts w:ascii="Arial" w:cs="Arial" w:eastAsia="Arial" w:hAnsi="Arial"/>
                <w:sz w:val="20"/>
                <w:szCs w:val="20"/>
                <w:color w:val="auto"/>
              </w:rPr>
              <w:t>Diluted average number of common shares outstanding</w:t>
            </w:r>
          </w:p>
        </w:tc>
        <w:tc>
          <w:tcPr>
            <w:tcW w:w="24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line="224" w:lineRule="exact"/>
              <w:rPr>
                <w:sz w:val="20"/>
                <w:szCs w:val="20"/>
                <w:color w:val="auto"/>
              </w:rPr>
            </w:pPr>
            <w:r>
              <w:rPr>
                <w:rFonts w:ascii="Arial" w:cs="Arial" w:eastAsia="Arial" w:hAnsi="Arial"/>
                <w:sz w:val="20"/>
                <w:szCs w:val="20"/>
                <w:color w:val="auto"/>
              </w:rPr>
              <w:t>67,108</w:t>
            </w:r>
          </w:p>
        </w:tc>
        <w:tc>
          <w:tcPr>
            <w:tcW w:w="2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line="224" w:lineRule="exact"/>
              <w:rPr>
                <w:sz w:val="20"/>
                <w:szCs w:val="20"/>
                <w:color w:val="auto"/>
              </w:rPr>
            </w:pPr>
            <w:r>
              <w:rPr>
                <w:rFonts w:ascii="Arial" w:cs="Arial" w:eastAsia="Arial" w:hAnsi="Arial"/>
                <w:sz w:val="20"/>
                <w:szCs w:val="20"/>
                <w:color w:val="auto"/>
              </w:rPr>
              <w:t>67,470</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00" w:type="dxa"/>
            <w:vAlign w:val="bottom"/>
            <w:vMerge w:val="restart"/>
          </w:tcPr>
          <w:p>
            <w:pPr>
              <w:spacing w:after="0"/>
              <w:rPr>
                <w:sz w:val="20"/>
                <w:szCs w:val="20"/>
                <w:color w:val="auto"/>
              </w:rPr>
            </w:pPr>
            <w:r>
              <w:rPr>
                <w:rFonts w:ascii="Arial" w:cs="Arial" w:eastAsia="Arial" w:hAnsi="Arial"/>
                <w:sz w:val="20"/>
                <w:szCs w:val="20"/>
                <w:color w:val="auto"/>
              </w:rPr>
              <w:t>Per diluted share impact of the loss on the sale of the California cement operations and</w:t>
            </w: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860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8600" w:type="dxa"/>
            <w:vAlign w:val="bottom"/>
          </w:tcPr>
          <w:p>
            <w:pPr>
              <w:ind w:left="260"/>
              <w:spacing w:after="0"/>
              <w:rPr>
                <w:sz w:val="20"/>
                <w:szCs w:val="20"/>
                <w:color w:val="auto"/>
              </w:rPr>
            </w:pPr>
            <w:r>
              <w:rPr>
                <w:rFonts w:ascii="Arial" w:cs="Arial" w:eastAsia="Arial" w:hAnsi="Arial"/>
                <w:sz w:val="20"/>
                <w:szCs w:val="20"/>
                <w:color w:val="auto"/>
              </w:rPr>
              <w:t>other related expenses</w:t>
            </w:r>
          </w:p>
        </w:tc>
        <w:tc>
          <w:tcPr>
            <w:tcW w:w="240" w:type="dxa"/>
            <w:vAlign w:val="bottom"/>
          </w:tcPr>
          <w:p>
            <w:pPr>
              <w:jc w:val="right"/>
              <w:ind w:right="41"/>
              <w:spacing w:after="0"/>
              <w:rPr>
                <w:sz w:val="20"/>
                <w:szCs w:val="20"/>
                <w:color w:val="auto"/>
              </w:rPr>
            </w:pPr>
            <w:r>
              <w:rPr>
                <w:rFonts w:ascii="Arial" w:cs="Arial" w:eastAsia="Arial" w:hAnsi="Arial"/>
                <w:sz w:val="20"/>
                <w:szCs w:val="20"/>
                <w:color w:val="auto"/>
                <w:w w:val="71"/>
              </w:rPr>
              <w:t>$</w:t>
            </w:r>
          </w:p>
        </w:tc>
        <w:tc>
          <w:tcPr>
            <w:tcW w:w="1260" w:type="dxa"/>
            <w:vAlign w:val="bottom"/>
            <w:gridSpan w:val="2"/>
          </w:tcPr>
          <w:p>
            <w:pPr>
              <w:jc w:val="right"/>
              <w:ind w:right="140"/>
              <w:spacing w:after="0"/>
              <w:rPr>
                <w:sz w:val="20"/>
                <w:szCs w:val="20"/>
                <w:color w:val="auto"/>
              </w:rPr>
            </w:pPr>
            <w:r>
              <w:rPr>
                <w:rFonts w:ascii="Arial" w:cs="Arial" w:eastAsia="Arial" w:hAnsi="Arial"/>
                <w:sz w:val="20"/>
                <w:szCs w:val="20"/>
                <w:color w:val="auto"/>
              </w:rPr>
              <w:t>(0.25)</w:t>
            </w:r>
          </w:p>
        </w:tc>
        <w:tc>
          <w:tcPr>
            <w:tcW w:w="220" w:type="dxa"/>
            <w:vAlign w:val="bottom"/>
          </w:tcPr>
          <w:p>
            <w:pPr>
              <w:jc w:val="right"/>
              <w:ind w:right="21"/>
              <w:spacing w:after="0"/>
              <w:rPr>
                <w:sz w:val="20"/>
                <w:szCs w:val="20"/>
                <w:color w:val="auto"/>
              </w:rPr>
            </w:pPr>
            <w:r>
              <w:rPr>
                <w:rFonts w:ascii="Arial" w:cs="Arial" w:eastAsia="Arial" w:hAnsi="Arial"/>
                <w:sz w:val="20"/>
                <w:szCs w:val="20"/>
                <w:color w:val="auto"/>
                <w:w w:val="71"/>
              </w:rPr>
              <w:t>$</w:t>
            </w:r>
          </w:p>
        </w:tc>
        <w:tc>
          <w:tcPr>
            <w:tcW w:w="1100" w:type="dxa"/>
            <w:vAlign w:val="bottom"/>
            <w:gridSpan w:val="2"/>
          </w:tcPr>
          <w:p>
            <w:pPr>
              <w:jc w:val="right"/>
              <w:ind w:right="60"/>
              <w:spacing w:after="0"/>
              <w:rPr>
                <w:sz w:val="20"/>
                <w:szCs w:val="20"/>
                <w:color w:val="auto"/>
              </w:rPr>
            </w:pPr>
            <w:r>
              <w:rPr>
                <w:rFonts w:ascii="Arial" w:cs="Arial" w:eastAsia="Arial" w:hAnsi="Arial"/>
                <w:sz w:val="20"/>
                <w:szCs w:val="20"/>
                <w:color w:val="auto"/>
              </w:rPr>
              <w:t>(0.26)</w:t>
            </w:r>
          </w:p>
        </w:tc>
        <w:tc>
          <w:tcPr>
            <w:tcW w:w="0" w:type="dxa"/>
            <w:vAlign w:val="bottom"/>
          </w:tcPr>
          <w:p>
            <w:pPr>
              <w:spacing w:after="0"/>
              <w:rPr>
                <w:sz w:val="1"/>
                <w:szCs w:val="1"/>
                <w:color w:val="auto"/>
              </w:rPr>
            </w:pPr>
          </w:p>
        </w:tc>
      </w:tr>
      <w:tr>
        <w:trPr>
          <w:trHeight w:val="226"/>
        </w:trPr>
        <w:tc>
          <w:tcPr>
            <w:tcW w:w="860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rPr>
              <w:t>Per diluted share impact of recording a valuation allowance for certain net operating</w:t>
            </w:r>
          </w:p>
        </w:tc>
        <w:tc>
          <w:tcPr>
            <w:tcW w:w="2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8600" w:type="dxa"/>
            <w:vAlign w:val="bottom"/>
            <w:shd w:val="clear" w:color="auto" w:fill="CFF0FC"/>
          </w:tcPr>
          <w:p>
            <w:pPr>
              <w:ind w:left="260"/>
              <w:spacing w:after="0"/>
              <w:rPr>
                <w:sz w:val="20"/>
                <w:szCs w:val="20"/>
                <w:color w:val="auto"/>
              </w:rPr>
            </w:pPr>
            <w:r>
              <w:rPr>
                <w:rFonts w:ascii="Arial" w:cs="Arial" w:eastAsia="Arial" w:hAnsi="Arial"/>
                <w:sz w:val="20"/>
                <w:szCs w:val="20"/>
                <w:color w:val="auto"/>
              </w:rPr>
              <w:t>loss carry forwards as a result of the sale of the California cement operations</w:t>
            </w:r>
          </w:p>
        </w:tc>
        <w:tc>
          <w:tcPr>
            <w:tcW w:w="24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140"/>
              <w:spacing w:after="0"/>
              <w:rPr>
                <w:sz w:val="20"/>
                <w:szCs w:val="20"/>
                <w:color w:val="auto"/>
              </w:rPr>
            </w:pPr>
            <w:r>
              <w:rPr>
                <w:rFonts w:ascii="Arial" w:cs="Arial" w:eastAsia="Arial" w:hAnsi="Arial"/>
                <w:sz w:val="20"/>
                <w:szCs w:val="20"/>
                <w:color w:val="auto"/>
              </w:rPr>
              <w:t>(0.05)</w:t>
            </w:r>
          </w:p>
        </w:tc>
        <w:tc>
          <w:tcPr>
            <w:tcW w:w="22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20"/>
                <w:szCs w:val="20"/>
                <w:color w:val="auto"/>
              </w:rPr>
              <w:t>(0.05)</w:t>
            </w:r>
          </w:p>
        </w:tc>
        <w:tc>
          <w:tcPr>
            <w:tcW w:w="0" w:type="dxa"/>
            <w:vAlign w:val="bottom"/>
          </w:tcPr>
          <w:p>
            <w:pPr>
              <w:spacing w:after="0"/>
              <w:rPr>
                <w:sz w:val="1"/>
                <w:szCs w:val="1"/>
                <w:color w:val="auto"/>
              </w:rPr>
            </w:pPr>
          </w:p>
        </w:tc>
      </w:tr>
      <w:tr>
        <w:trPr>
          <w:trHeight w:val="220"/>
        </w:trPr>
        <w:tc>
          <w:tcPr>
            <w:tcW w:w="8600" w:type="dxa"/>
            <w:vAlign w:val="bottom"/>
          </w:tcPr>
          <w:p>
            <w:pPr>
              <w:spacing w:after="0" w:line="220" w:lineRule="exact"/>
              <w:rPr>
                <w:sz w:val="20"/>
                <w:szCs w:val="20"/>
                <w:color w:val="auto"/>
              </w:rPr>
            </w:pPr>
            <w:r>
              <w:rPr>
                <w:rFonts w:ascii="Arial" w:cs="Arial" w:eastAsia="Arial" w:hAnsi="Arial"/>
                <w:sz w:val="20"/>
                <w:szCs w:val="20"/>
                <w:color w:val="auto"/>
              </w:rPr>
              <w:t>Total per diluted share impact of the loss on the sale of the California cement</w:t>
            </w:r>
          </w:p>
        </w:tc>
        <w:tc>
          <w:tcPr>
            <w:tcW w:w="24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8600" w:type="dxa"/>
            <w:vAlign w:val="bottom"/>
          </w:tcPr>
          <w:p>
            <w:pPr>
              <w:ind w:left="260"/>
              <w:spacing w:after="0"/>
              <w:rPr>
                <w:sz w:val="20"/>
                <w:szCs w:val="20"/>
                <w:color w:val="auto"/>
              </w:rPr>
            </w:pPr>
            <w:r>
              <w:rPr>
                <w:rFonts w:ascii="Arial" w:cs="Arial" w:eastAsia="Arial" w:hAnsi="Arial"/>
                <w:sz w:val="20"/>
                <w:szCs w:val="20"/>
                <w:color w:val="auto"/>
              </w:rPr>
              <w:t>operations and related expenses</w:t>
            </w:r>
          </w:p>
        </w:tc>
        <w:tc>
          <w:tcPr>
            <w:tcW w:w="240" w:type="dxa"/>
            <w:vAlign w:val="bottom"/>
          </w:tcPr>
          <w:p>
            <w:pPr>
              <w:jc w:val="right"/>
              <w:ind w:right="41"/>
              <w:spacing w:after="0"/>
              <w:rPr>
                <w:sz w:val="20"/>
                <w:szCs w:val="20"/>
                <w:color w:val="auto"/>
              </w:rPr>
            </w:pPr>
            <w:r>
              <w:rPr>
                <w:rFonts w:ascii="Arial" w:cs="Arial" w:eastAsia="Arial" w:hAnsi="Arial"/>
                <w:sz w:val="20"/>
                <w:szCs w:val="20"/>
                <w:color w:val="auto"/>
                <w:w w:val="71"/>
              </w:rPr>
              <w:t>$</w:t>
            </w:r>
          </w:p>
        </w:tc>
        <w:tc>
          <w:tcPr>
            <w:tcW w:w="1260" w:type="dxa"/>
            <w:vAlign w:val="bottom"/>
            <w:gridSpan w:val="2"/>
          </w:tcPr>
          <w:p>
            <w:pPr>
              <w:jc w:val="right"/>
              <w:ind w:right="140"/>
              <w:spacing w:after="0"/>
              <w:rPr>
                <w:sz w:val="20"/>
                <w:szCs w:val="20"/>
                <w:color w:val="auto"/>
              </w:rPr>
            </w:pPr>
            <w:r>
              <w:rPr>
                <w:rFonts w:ascii="Arial" w:cs="Arial" w:eastAsia="Arial" w:hAnsi="Arial"/>
                <w:sz w:val="20"/>
                <w:szCs w:val="20"/>
                <w:color w:val="auto"/>
              </w:rPr>
              <w:t>(0.30)</w:t>
            </w:r>
          </w:p>
        </w:tc>
        <w:tc>
          <w:tcPr>
            <w:tcW w:w="220" w:type="dxa"/>
            <w:vAlign w:val="bottom"/>
          </w:tcPr>
          <w:p>
            <w:pPr>
              <w:jc w:val="right"/>
              <w:ind w:right="21"/>
              <w:spacing w:after="0"/>
              <w:rPr>
                <w:sz w:val="20"/>
                <w:szCs w:val="20"/>
                <w:color w:val="auto"/>
              </w:rPr>
            </w:pPr>
            <w:r>
              <w:rPr>
                <w:rFonts w:ascii="Arial" w:cs="Arial" w:eastAsia="Arial" w:hAnsi="Arial"/>
                <w:sz w:val="20"/>
                <w:szCs w:val="20"/>
                <w:color w:val="auto"/>
                <w:w w:val="71"/>
              </w:rPr>
              <w:t>$</w:t>
            </w:r>
          </w:p>
        </w:tc>
        <w:tc>
          <w:tcPr>
            <w:tcW w:w="1100" w:type="dxa"/>
            <w:vAlign w:val="bottom"/>
            <w:gridSpan w:val="2"/>
          </w:tcPr>
          <w:p>
            <w:pPr>
              <w:jc w:val="right"/>
              <w:ind w:right="60"/>
              <w:spacing w:after="0"/>
              <w:rPr>
                <w:sz w:val="20"/>
                <w:szCs w:val="20"/>
                <w:color w:val="auto"/>
              </w:rPr>
            </w:pPr>
            <w:r>
              <w:rPr>
                <w:rFonts w:ascii="Arial" w:cs="Arial" w:eastAsia="Arial" w:hAnsi="Arial"/>
                <w:sz w:val="20"/>
                <w:szCs w:val="20"/>
                <w:color w:val="auto"/>
              </w:rPr>
              <w:t>(0.31)</w:t>
            </w:r>
          </w:p>
        </w:tc>
        <w:tc>
          <w:tcPr>
            <w:tcW w:w="0" w:type="dxa"/>
            <w:vAlign w:val="bottom"/>
          </w:tcPr>
          <w:p>
            <w:pPr>
              <w:spacing w:after="0"/>
              <w:rPr>
                <w:sz w:val="1"/>
                <w:szCs w:val="1"/>
                <w:color w:val="auto"/>
              </w:rPr>
            </w:pPr>
          </w:p>
        </w:tc>
      </w:tr>
      <w:tr>
        <w:trPr>
          <w:trHeight w:val="20"/>
        </w:trPr>
        <w:tc>
          <w:tcPr>
            <w:tcW w:w="86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following shows the calculation of the impact of the loss on the sale of the California cement operations and related expenses on operating earnings for the three and nine months ended September 30, 2015 (dollars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00" w:type="dxa"/>
            <w:vAlign w:val="bottom"/>
          </w:tcPr>
          <w:p>
            <w:pPr>
              <w:spacing w:after="0"/>
              <w:rPr>
                <w:sz w:val="21"/>
                <w:szCs w:val="21"/>
                <w:color w:val="auto"/>
              </w:rPr>
            </w:pPr>
          </w:p>
        </w:tc>
        <w:tc>
          <w:tcPr>
            <w:tcW w:w="1500" w:type="dxa"/>
            <w:vAlign w:val="bottom"/>
            <w:gridSpan w:val="3"/>
          </w:tcPr>
          <w:p>
            <w:pPr>
              <w:jc w:val="center"/>
              <w:ind w:right="220"/>
              <w:spacing w:after="0"/>
              <w:rPr>
                <w:sz w:val="20"/>
                <w:szCs w:val="20"/>
                <w:color w:val="auto"/>
              </w:rPr>
            </w:pPr>
            <w:r>
              <w:rPr>
                <w:rFonts w:ascii="Arial" w:cs="Arial" w:eastAsia="Arial" w:hAnsi="Arial"/>
                <w:sz w:val="20"/>
                <w:szCs w:val="20"/>
                <w:color w:val="auto"/>
                <w:w w:val="90"/>
              </w:rPr>
              <w:t>Three Months</w:t>
            </w:r>
          </w:p>
        </w:tc>
        <w:tc>
          <w:tcPr>
            <w:tcW w:w="1320" w:type="dxa"/>
            <w:vAlign w:val="bottom"/>
            <w:gridSpan w:val="3"/>
          </w:tcPr>
          <w:p>
            <w:pPr>
              <w:jc w:val="center"/>
              <w:ind w:right="120"/>
              <w:spacing w:after="0"/>
              <w:rPr>
                <w:sz w:val="20"/>
                <w:szCs w:val="20"/>
                <w:color w:val="auto"/>
              </w:rPr>
            </w:pPr>
            <w:r>
              <w:rPr>
                <w:rFonts w:ascii="Arial" w:cs="Arial" w:eastAsia="Arial" w:hAnsi="Arial"/>
                <w:sz w:val="20"/>
                <w:szCs w:val="20"/>
                <w:color w:val="auto"/>
                <w:w w:val="92"/>
              </w:rPr>
              <w:t>Nine Months</w:t>
            </w:r>
          </w:p>
        </w:tc>
      </w:tr>
      <w:tr>
        <w:trPr>
          <w:trHeight w:val="246"/>
        </w:trPr>
        <w:tc>
          <w:tcPr>
            <w:tcW w:w="86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gridSpan w:val="2"/>
          </w:tcPr>
          <w:p>
            <w:pPr>
              <w:jc w:val="center"/>
              <w:ind w:right="460"/>
              <w:spacing w:after="0"/>
              <w:rPr>
                <w:sz w:val="20"/>
                <w:szCs w:val="20"/>
                <w:color w:val="auto"/>
              </w:rPr>
            </w:pPr>
            <w:r>
              <w:rPr>
                <w:rFonts w:ascii="Arial" w:cs="Arial" w:eastAsia="Arial" w:hAnsi="Arial"/>
                <w:sz w:val="20"/>
                <w:szCs w:val="20"/>
                <w:color w:val="auto"/>
                <w:w w:val="89"/>
              </w:rPr>
              <w:t>Ended</w:t>
            </w:r>
          </w:p>
        </w:tc>
        <w:tc>
          <w:tcPr>
            <w:tcW w:w="220" w:type="dxa"/>
            <w:vAlign w:val="bottom"/>
          </w:tcPr>
          <w:p>
            <w:pPr>
              <w:spacing w:after="0"/>
              <w:rPr>
                <w:sz w:val="21"/>
                <w:szCs w:val="21"/>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20"/>
                <w:szCs w:val="20"/>
                <w:color w:val="auto"/>
                <w:w w:val="89"/>
              </w:rPr>
              <w:t>Ended</w:t>
            </w:r>
          </w:p>
        </w:tc>
      </w:tr>
      <w:tr>
        <w:trPr>
          <w:trHeight w:val="237"/>
        </w:trPr>
        <w:tc>
          <w:tcPr>
            <w:tcW w:w="8600" w:type="dxa"/>
            <w:vAlign w:val="bottom"/>
          </w:tcPr>
          <w:p>
            <w:pPr>
              <w:spacing w:after="0"/>
              <w:rPr>
                <w:sz w:val="20"/>
                <w:szCs w:val="20"/>
                <w:color w:val="auto"/>
              </w:rPr>
            </w:pPr>
            <w:r>
              <w:rPr>
                <w:rFonts w:ascii="Arial" w:cs="Arial" w:eastAsia="Arial" w:hAnsi="Arial"/>
                <w:sz w:val="20"/>
                <w:szCs w:val="20"/>
                <w:color w:val="auto"/>
              </w:rPr>
              <w:t>Earnings from operations, as reported</w:t>
            </w:r>
          </w:p>
        </w:tc>
        <w:tc>
          <w:tcPr>
            <w:tcW w:w="240" w:type="dxa"/>
            <w:vAlign w:val="bottom"/>
            <w:tcBorders>
              <w:top w:val="single" w:sz="8" w:color="auto"/>
            </w:tcBorders>
          </w:tcPr>
          <w:p>
            <w:pPr>
              <w:jc w:val="right"/>
              <w:ind w:right="41"/>
              <w:spacing w:after="0"/>
              <w:rPr>
                <w:sz w:val="20"/>
                <w:szCs w:val="20"/>
                <w:color w:val="auto"/>
              </w:rPr>
            </w:pPr>
            <w:r>
              <w:rPr>
                <w:rFonts w:ascii="Arial" w:cs="Arial" w:eastAsia="Arial" w:hAnsi="Arial"/>
                <w:sz w:val="20"/>
                <w:szCs w:val="20"/>
                <w:color w:val="auto"/>
                <w:w w:val="71"/>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179,498</w:t>
            </w:r>
          </w:p>
        </w:tc>
        <w:tc>
          <w:tcPr>
            <w:tcW w:w="200" w:type="dxa"/>
            <w:vAlign w:val="bottom"/>
          </w:tcPr>
          <w:p>
            <w:pPr>
              <w:spacing w:after="0"/>
              <w:rPr>
                <w:sz w:val="20"/>
                <w:szCs w:val="20"/>
                <w:color w:val="auto"/>
              </w:rPr>
            </w:pPr>
          </w:p>
        </w:tc>
        <w:tc>
          <w:tcPr>
            <w:tcW w:w="220" w:type="dxa"/>
            <w:vAlign w:val="bottom"/>
            <w:tcBorders>
              <w:top w:val="single" w:sz="8" w:color="auto"/>
            </w:tcBorders>
          </w:tcPr>
          <w:p>
            <w:pPr>
              <w:jc w:val="right"/>
              <w:ind w:right="21"/>
              <w:spacing w:after="0"/>
              <w:rPr>
                <w:sz w:val="20"/>
                <w:szCs w:val="20"/>
                <w:color w:val="auto"/>
              </w:rPr>
            </w:pPr>
            <w:r>
              <w:rPr>
                <w:rFonts w:ascii="Arial" w:cs="Arial" w:eastAsia="Arial" w:hAnsi="Arial"/>
                <w:sz w:val="20"/>
                <w:szCs w:val="20"/>
                <w:color w:val="auto"/>
                <w:w w:val="71"/>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342,052</w:t>
            </w:r>
          </w:p>
        </w:tc>
        <w:tc>
          <w:tcPr>
            <w:tcW w:w="120" w:type="dxa"/>
            <w:vAlign w:val="bottom"/>
          </w:tcPr>
          <w:p>
            <w:pPr>
              <w:spacing w:after="0"/>
              <w:rPr>
                <w:sz w:val="20"/>
                <w:szCs w:val="20"/>
                <w:color w:val="auto"/>
              </w:rPr>
            </w:pPr>
          </w:p>
        </w:tc>
      </w:tr>
      <w:tr>
        <w:trPr>
          <w:trHeight w:val="243"/>
        </w:trPr>
        <w:tc>
          <w:tcPr>
            <w:tcW w:w="8600" w:type="dxa"/>
            <w:vAlign w:val="bottom"/>
            <w:shd w:val="clear" w:color="auto" w:fill="CFF0FC"/>
          </w:tcPr>
          <w:p>
            <w:pPr>
              <w:spacing w:after="0"/>
              <w:rPr>
                <w:sz w:val="20"/>
                <w:szCs w:val="20"/>
                <w:color w:val="auto"/>
              </w:rPr>
            </w:pPr>
            <w:r>
              <w:rPr>
                <w:rFonts w:ascii="Arial" w:cs="Arial" w:eastAsia="Arial" w:hAnsi="Arial"/>
                <w:sz w:val="20"/>
                <w:szCs w:val="20"/>
                <w:color w:val="auto"/>
              </w:rPr>
              <w:t>Loss on the sale of the California cement operations and other related expenses</w:t>
            </w:r>
          </w:p>
        </w:tc>
        <w:tc>
          <w:tcPr>
            <w:tcW w:w="24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28,709</w:t>
            </w:r>
          </w:p>
        </w:tc>
        <w:tc>
          <w:tcPr>
            <w:tcW w:w="200" w:type="dxa"/>
            <w:vAlign w:val="bottom"/>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29,888</w:t>
            </w:r>
          </w:p>
        </w:tc>
        <w:tc>
          <w:tcPr>
            <w:tcW w:w="120" w:type="dxa"/>
            <w:vAlign w:val="bottom"/>
            <w:shd w:val="clear" w:color="auto" w:fill="CFF0FC"/>
          </w:tcPr>
          <w:p>
            <w:pPr>
              <w:spacing w:after="0"/>
              <w:rPr>
                <w:sz w:val="21"/>
                <w:szCs w:val="21"/>
                <w:color w:val="auto"/>
              </w:rPr>
            </w:pPr>
          </w:p>
        </w:tc>
      </w:tr>
      <w:tr>
        <w:trPr>
          <w:trHeight w:val="237"/>
        </w:trPr>
        <w:tc>
          <w:tcPr>
            <w:tcW w:w="8600" w:type="dxa"/>
            <w:vAlign w:val="bottom"/>
          </w:tcPr>
          <w:p>
            <w:pPr>
              <w:spacing w:after="0"/>
              <w:rPr>
                <w:sz w:val="20"/>
                <w:szCs w:val="20"/>
                <w:color w:val="auto"/>
              </w:rPr>
            </w:pPr>
            <w:r>
              <w:rPr>
                <w:rFonts w:ascii="Arial" w:cs="Arial" w:eastAsia="Arial" w:hAnsi="Arial"/>
                <w:sz w:val="20"/>
                <w:szCs w:val="20"/>
                <w:color w:val="auto"/>
              </w:rPr>
              <w:t>Adjusted earnings from operations</w:t>
            </w:r>
          </w:p>
        </w:tc>
        <w:tc>
          <w:tcPr>
            <w:tcW w:w="24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208,207</w:t>
            </w:r>
          </w:p>
        </w:tc>
        <w:tc>
          <w:tcPr>
            <w:tcW w:w="200" w:type="dxa"/>
            <w:vAlign w:val="bottom"/>
          </w:tcPr>
          <w:p>
            <w:pPr>
              <w:spacing w:after="0"/>
              <w:rPr>
                <w:sz w:val="20"/>
                <w:szCs w:val="20"/>
                <w:color w:val="auto"/>
              </w:rPr>
            </w:pPr>
          </w:p>
        </w:tc>
        <w:tc>
          <w:tcPr>
            <w:tcW w:w="22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371,940</w:t>
            </w:r>
          </w:p>
        </w:tc>
        <w:tc>
          <w:tcPr>
            <w:tcW w:w="120" w:type="dxa"/>
            <w:vAlign w:val="bottom"/>
          </w:tcPr>
          <w:p>
            <w:pPr>
              <w:spacing w:after="0"/>
              <w:rPr>
                <w:sz w:val="20"/>
                <w:szCs w:val="20"/>
                <w:color w:val="auto"/>
              </w:rPr>
            </w:pPr>
          </w:p>
        </w:tc>
      </w:tr>
      <w:tr>
        <w:trPr>
          <w:trHeight w:val="20"/>
        </w:trPr>
        <w:tc>
          <w:tcPr>
            <w:tcW w:w="8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31 of 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1" w:name="page32"/>
    <w:bookmarkEnd w:id="31"/>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September 30, 2015</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rPr>
          <w:sz w:val="20"/>
          <w:szCs w:val="20"/>
          <w:color w:val="auto"/>
        </w:rPr>
      </w:pPr>
      <w:r>
        <w:rPr>
          <w:rFonts w:ascii="Arial" w:cs="Arial" w:eastAsia="Arial" w:hAnsi="Arial"/>
          <w:sz w:val="20"/>
          <w:szCs w:val="20"/>
          <w:color w:val="auto"/>
        </w:rPr>
        <w:t>Third Quarter Ended September 30, 2015</w:t>
      </w:r>
    </w:p>
    <w:p>
      <w:pPr>
        <w:jc w:val="center"/>
        <w:spacing w:after="0"/>
        <w:rPr>
          <w:sz w:val="20"/>
          <w:szCs w:val="20"/>
          <w:color w:val="auto"/>
        </w:rPr>
      </w:pPr>
      <w:r>
        <w:rPr>
          <w:rFonts w:ascii="Arial" w:cs="Arial" w:eastAsia="Arial" w:hAnsi="Arial"/>
          <w:sz w:val="20"/>
          <w:szCs w:val="20"/>
          <w:color w:val="auto"/>
        </w:rPr>
        <w:t>(Continued)</w:t>
      </w:r>
    </w:p>
    <w:p>
      <w:pPr>
        <w:spacing w:after="0" w:line="200" w:lineRule="exact"/>
        <w:rPr>
          <w:sz w:val="20"/>
          <w:szCs w:val="20"/>
          <w:color w:val="auto"/>
        </w:rPr>
      </w:pPr>
    </w:p>
    <w:p>
      <w:pPr>
        <w:spacing w:after="0" w:line="229" w:lineRule="exact"/>
        <w:rPr>
          <w:sz w:val="20"/>
          <w:szCs w:val="20"/>
          <w:color w:val="auto"/>
        </w:rPr>
      </w:pPr>
    </w:p>
    <w:p>
      <w:pPr>
        <w:jc w:val="both"/>
        <w:spacing w:after="0" w:line="245" w:lineRule="auto"/>
        <w:rPr>
          <w:sz w:val="20"/>
          <w:szCs w:val="20"/>
          <w:color w:val="auto"/>
        </w:rPr>
      </w:pPr>
      <w:r>
        <w:rPr>
          <w:rFonts w:ascii="Arial" w:cs="Arial" w:eastAsia="Arial" w:hAnsi="Arial"/>
          <w:sz w:val="20"/>
          <w:szCs w:val="20"/>
          <w:color w:val="auto"/>
        </w:rPr>
        <w:t>Earnings before interest, income taxes, depreciation, depletion and amortization (“EBITDA”) is a widely accepted financial indicator of a company's ability to service and/or incur indebtedness. EBITDA is not defined by generally accepted accounting principles and, as such, should not be construed as an alternative to net earnings or operating cash flow. Further, adjusted EBITDA excludes the impact of the loss on the sale of the California cement operations and other related expenses.</w:t>
      </w:r>
    </w:p>
    <w:tbl>
      <w:tblPr>
        <w:tblLayout w:type="fixed"/>
        <w:tblInd w:w="0" w:type="dxa"/>
        <w:tblCellMar>
          <w:top w:w="0" w:type="dxa"/>
          <w:left w:w="0" w:type="dxa"/>
          <w:bottom w:w="0" w:type="dxa"/>
          <w:right w:w="0" w:type="dxa"/>
        </w:tblCellMar>
      </w:tblPr>
      <w:tr>
        <w:trPr>
          <w:trHeight w:val="236"/>
        </w:trPr>
        <w:tc>
          <w:tcPr>
            <w:tcW w:w="8600" w:type="dxa"/>
            <w:vAlign w:val="bottom"/>
          </w:tcPr>
          <w:p>
            <w:pPr>
              <w:spacing w:after="0"/>
              <w:rPr>
                <w:sz w:val="20"/>
                <w:szCs w:val="20"/>
                <w:color w:val="auto"/>
              </w:rPr>
            </w:pPr>
          </w:p>
        </w:tc>
        <w:tc>
          <w:tcPr>
            <w:tcW w:w="1500" w:type="dxa"/>
            <w:vAlign w:val="bottom"/>
            <w:gridSpan w:val="3"/>
          </w:tcPr>
          <w:p>
            <w:pPr>
              <w:jc w:val="center"/>
              <w:ind w:right="220"/>
              <w:spacing w:after="0"/>
              <w:rPr>
                <w:sz w:val="20"/>
                <w:szCs w:val="20"/>
                <w:color w:val="auto"/>
              </w:rPr>
            </w:pPr>
            <w:r>
              <w:rPr>
                <w:rFonts w:ascii="Arial" w:cs="Arial" w:eastAsia="Arial" w:hAnsi="Arial"/>
                <w:sz w:val="20"/>
                <w:szCs w:val="20"/>
                <w:color w:val="auto"/>
                <w:w w:val="90"/>
              </w:rPr>
              <w:t>Three Months</w:t>
            </w:r>
          </w:p>
        </w:tc>
        <w:tc>
          <w:tcPr>
            <w:tcW w:w="1320" w:type="dxa"/>
            <w:vAlign w:val="bottom"/>
            <w:gridSpan w:val="3"/>
          </w:tcPr>
          <w:p>
            <w:pPr>
              <w:jc w:val="center"/>
              <w:ind w:right="120"/>
              <w:spacing w:after="0"/>
              <w:rPr>
                <w:sz w:val="20"/>
                <w:szCs w:val="20"/>
                <w:color w:val="auto"/>
              </w:rPr>
            </w:pPr>
            <w:r>
              <w:rPr>
                <w:rFonts w:ascii="Arial" w:cs="Arial" w:eastAsia="Arial" w:hAnsi="Arial"/>
                <w:sz w:val="20"/>
                <w:szCs w:val="20"/>
                <w:color w:val="auto"/>
                <w:w w:val="92"/>
              </w:rPr>
              <w:t>Nine Months</w:t>
            </w:r>
          </w:p>
        </w:tc>
      </w:tr>
      <w:tr>
        <w:trPr>
          <w:trHeight w:val="246"/>
        </w:trPr>
        <w:tc>
          <w:tcPr>
            <w:tcW w:w="86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gridSpan w:val="2"/>
          </w:tcPr>
          <w:p>
            <w:pPr>
              <w:jc w:val="center"/>
              <w:ind w:right="460"/>
              <w:spacing w:after="0"/>
              <w:rPr>
                <w:sz w:val="20"/>
                <w:szCs w:val="20"/>
                <w:color w:val="auto"/>
              </w:rPr>
            </w:pPr>
            <w:r>
              <w:rPr>
                <w:rFonts w:ascii="Arial" w:cs="Arial" w:eastAsia="Arial" w:hAnsi="Arial"/>
                <w:sz w:val="20"/>
                <w:szCs w:val="20"/>
                <w:color w:val="auto"/>
                <w:w w:val="89"/>
              </w:rPr>
              <w:t>Ended</w:t>
            </w:r>
          </w:p>
        </w:tc>
        <w:tc>
          <w:tcPr>
            <w:tcW w:w="220" w:type="dxa"/>
            <w:vAlign w:val="bottom"/>
          </w:tcPr>
          <w:p>
            <w:pPr>
              <w:spacing w:after="0"/>
              <w:rPr>
                <w:sz w:val="21"/>
                <w:szCs w:val="21"/>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20"/>
                <w:szCs w:val="20"/>
                <w:color w:val="auto"/>
                <w:w w:val="89"/>
              </w:rPr>
              <w:t>Ended</w:t>
            </w:r>
          </w:p>
        </w:tc>
      </w:tr>
      <w:tr>
        <w:trPr>
          <w:trHeight w:val="237"/>
        </w:trPr>
        <w:tc>
          <w:tcPr>
            <w:tcW w:w="8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20"/>
                <w:szCs w:val="20"/>
                <w:color w:val="auto"/>
              </w:rPr>
              <w:t>Net Earnings Attributable to Martin Marietta Materials, Inc.</w:t>
            </w:r>
          </w:p>
        </w:tc>
        <w:tc>
          <w:tcPr>
            <w:tcW w:w="240" w:type="dxa"/>
            <w:vAlign w:val="bottom"/>
            <w:tcBorders>
              <w:top w:val="single" w:sz="8" w:color="auto"/>
            </w:tcBorders>
            <w:shd w:val="clear" w:color="auto" w:fill="CFF0FC"/>
          </w:tcPr>
          <w:p>
            <w:pPr>
              <w:jc w:val="right"/>
              <w:ind w:right="41"/>
              <w:spacing w:after="0"/>
              <w:rPr>
                <w:sz w:val="20"/>
                <w:szCs w:val="20"/>
                <w:color w:val="auto"/>
              </w:rPr>
            </w:pPr>
            <w:r>
              <w:rPr>
                <w:rFonts w:ascii="Arial" w:cs="Arial" w:eastAsia="Arial" w:hAnsi="Arial"/>
                <w:sz w:val="20"/>
                <w:szCs w:val="20"/>
                <w:color w:val="auto"/>
                <w:w w:val="71"/>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117,544</w:t>
            </w:r>
          </w:p>
        </w:tc>
        <w:tc>
          <w:tcPr>
            <w:tcW w:w="200" w:type="dxa"/>
            <w:vAlign w:val="bottom"/>
            <w:tcBorders>
              <w:top w:val="single" w:sz="8" w:color="CFF0FC"/>
            </w:tcBorders>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jc w:val="right"/>
              <w:ind w:right="21"/>
              <w:spacing w:after="0"/>
              <w:rPr>
                <w:sz w:val="20"/>
                <w:szCs w:val="20"/>
                <w:color w:val="auto"/>
              </w:rPr>
            </w:pPr>
            <w:r>
              <w:rPr>
                <w:rFonts w:ascii="Arial" w:cs="Arial" w:eastAsia="Arial" w:hAnsi="Arial"/>
                <w:sz w:val="20"/>
                <w:szCs w:val="20"/>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205,607</w:t>
            </w:r>
          </w:p>
        </w:tc>
        <w:tc>
          <w:tcPr>
            <w:tcW w:w="120" w:type="dxa"/>
            <w:vAlign w:val="bottom"/>
            <w:tcBorders>
              <w:top w:val="single" w:sz="8" w:color="CFF0FC"/>
            </w:tcBorders>
            <w:shd w:val="clear" w:color="auto" w:fill="CFF0FC"/>
          </w:tcPr>
          <w:p>
            <w:pPr>
              <w:spacing w:after="0"/>
              <w:rPr>
                <w:sz w:val="20"/>
                <w:szCs w:val="20"/>
                <w:color w:val="auto"/>
              </w:rPr>
            </w:pPr>
          </w:p>
        </w:tc>
      </w:tr>
      <w:tr>
        <w:trPr>
          <w:trHeight w:val="243"/>
        </w:trPr>
        <w:tc>
          <w:tcPr>
            <w:tcW w:w="8600" w:type="dxa"/>
            <w:vAlign w:val="bottom"/>
          </w:tcPr>
          <w:p>
            <w:pPr>
              <w:spacing w:after="0"/>
              <w:rPr>
                <w:sz w:val="20"/>
                <w:szCs w:val="20"/>
                <w:color w:val="auto"/>
              </w:rPr>
            </w:pPr>
            <w:r>
              <w:rPr>
                <w:rFonts w:ascii="Arial" w:cs="Arial" w:eastAsia="Arial" w:hAnsi="Arial"/>
                <w:sz w:val="20"/>
                <w:szCs w:val="20"/>
                <w:color w:val="auto"/>
              </w:rPr>
              <w:t>Add back:</w:t>
            </w:r>
          </w:p>
        </w:tc>
        <w:tc>
          <w:tcPr>
            <w:tcW w:w="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43"/>
        </w:trPr>
        <w:tc>
          <w:tcPr>
            <w:tcW w:w="8600" w:type="dxa"/>
            <w:vAlign w:val="bottom"/>
            <w:shd w:val="clear" w:color="auto" w:fill="CFF0FC"/>
          </w:tcPr>
          <w:p>
            <w:pPr>
              <w:ind w:left="140"/>
              <w:spacing w:after="0"/>
              <w:rPr>
                <w:sz w:val="20"/>
                <w:szCs w:val="20"/>
                <w:color w:val="auto"/>
              </w:rPr>
            </w:pPr>
            <w:r>
              <w:rPr>
                <w:rFonts w:ascii="Arial" w:cs="Arial" w:eastAsia="Arial" w:hAnsi="Arial"/>
                <w:sz w:val="20"/>
                <w:szCs w:val="20"/>
                <w:color w:val="auto"/>
              </w:rPr>
              <w:t>Interest expense</w:t>
            </w:r>
          </w:p>
        </w:tc>
        <w:tc>
          <w:tcPr>
            <w:tcW w:w="24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18,926</w:t>
            </w:r>
          </w:p>
        </w:tc>
        <w:tc>
          <w:tcPr>
            <w:tcW w:w="2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57,344</w:t>
            </w:r>
          </w:p>
        </w:tc>
        <w:tc>
          <w:tcPr>
            <w:tcW w:w="120" w:type="dxa"/>
            <w:vAlign w:val="bottom"/>
            <w:shd w:val="clear" w:color="auto" w:fill="CFF0FC"/>
          </w:tcPr>
          <w:p>
            <w:pPr>
              <w:spacing w:after="0"/>
              <w:rPr>
                <w:sz w:val="21"/>
                <w:szCs w:val="21"/>
                <w:color w:val="auto"/>
              </w:rPr>
            </w:pPr>
          </w:p>
        </w:tc>
      </w:tr>
      <w:tr>
        <w:trPr>
          <w:trHeight w:val="243"/>
        </w:trPr>
        <w:tc>
          <w:tcPr>
            <w:tcW w:w="8600" w:type="dxa"/>
            <w:vAlign w:val="bottom"/>
          </w:tcPr>
          <w:p>
            <w:pPr>
              <w:ind w:left="140"/>
              <w:spacing w:after="0"/>
              <w:rPr>
                <w:sz w:val="20"/>
                <w:szCs w:val="20"/>
                <w:color w:val="auto"/>
              </w:rPr>
            </w:pPr>
            <w:r>
              <w:rPr>
                <w:rFonts w:ascii="Arial" w:cs="Arial" w:eastAsia="Arial" w:hAnsi="Arial"/>
                <w:sz w:val="20"/>
                <w:szCs w:val="20"/>
                <w:color w:val="auto"/>
              </w:rPr>
              <w:t>Income tax expense for controlling interests</w:t>
            </w: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47,483</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85,600</w:t>
            </w:r>
          </w:p>
        </w:tc>
        <w:tc>
          <w:tcPr>
            <w:tcW w:w="120" w:type="dxa"/>
            <w:vAlign w:val="bottom"/>
          </w:tcPr>
          <w:p>
            <w:pPr>
              <w:spacing w:after="0"/>
              <w:rPr>
                <w:sz w:val="21"/>
                <w:szCs w:val="21"/>
                <w:color w:val="auto"/>
              </w:rPr>
            </w:pPr>
          </w:p>
        </w:tc>
      </w:tr>
      <w:tr>
        <w:trPr>
          <w:trHeight w:val="243"/>
        </w:trPr>
        <w:tc>
          <w:tcPr>
            <w:tcW w:w="8600" w:type="dxa"/>
            <w:vAlign w:val="bottom"/>
            <w:shd w:val="clear" w:color="auto" w:fill="CFF0FC"/>
          </w:tcPr>
          <w:p>
            <w:pPr>
              <w:ind w:left="140"/>
              <w:spacing w:after="0"/>
              <w:rPr>
                <w:sz w:val="20"/>
                <w:szCs w:val="20"/>
                <w:color w:val="auto"/>
              </w:rPr>
            </w:pPr>
            <w:r>
              <w:rPr>
                <w:rFonts w:ascii="Arial" w:cs="Arial" w:eastAsia="Arial" w:hAnsi="Arial"/>
                <w:sz w:val="20"/>
                <w:szCs w:val="20"/>
                <w:color w:val="auto"/>
              </w:rPr>
              <w:t>Depreciation, depletion and amortization expense</w:t>
            </w:r>
          </w:p>
        </w:tc>
        <w:tc>
          <w:tcPr>
            <w:tcW w:w="24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64,289</w:t>
            </w:r>
          </w:p>
        </w:tc>
        <w:tc>
          <w:tcPr>
            <w:tcW w:w="200" w:type="dxa"/>
            <w:vAlign w:val="bottom"/>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197,787</w:t>
            </w:r>
          </w:p>
        </w:tc>
        <w:tc>
          <w:tcPr>
            <w:tcW w:w="120" w:type="dxa"/>
            <w:vAlign w:val="bottom"/>
            <w:shd w:val="clear" w:color="auto" w:fill="CFF0FC"/>
          </w:tcPr>
          <w:p>
            <w:pPr>
              <w:spacing w:after="0"/>
              <w:rPr>
                <w:sz w:val="21"/>
                <w:szCs w:val="21"/>
                <w:color w:val="auto"/>
              </w:rPr>
            </w:pPr>
          </w:p>
        </w:tc>
      </w:tr>
      <w:tr>
        <w:trPr>
          <w:trHeight w:val="237"/>
        </w:trPr>
        <w:tc>
          <w:tcPr>
            <w:tcW w:w="8600" w:type="dxa"/>
            <w:vAlign w:val="bottom"/>
          </w:tcPr>
          <w:p>
            <w:pPr>
              <w:spacing w:after="0"/>
              <w:rPr>
                <w:sz w:val="20"/>
                <w:szCs w:val="20"/>
                <w:color w:val="auto"/>
              </w:rPr>
            </w:pPr>
            <w:r>
              <w:rPr>
                <w:rFonts w:ascii="Arial" w:cs="Arial" w:eastAsia="Arial" w:hAnsi="Arial"/>
                <w:sz w:val="20"/>
                <w:szCs w:val="20"/>
                <w:color w:val="auto"/>
              </w:rPr>
              <w:t>Consolidated EBITDA</w:t>
            </w:r>
          </w:p>
        </w:tc>
        <w:tc>
          <w:tcPr>
            <w:tcW w:w="240" w:type="dxa"/>
            <w:vAlign w:val="bottom"/>
          </w:tcPr>
          <w:p>
            <w:pPr>
              <w:jc w:val="right"/>
              <w:ind w:right="41"/>
              <w:spacing w:after="0"/>
              <w:rPr>
                <w:sz w:val="20"/>
                <w:szCs w:val="20"/>
                <w:color w:val="auto"/>
              </w:rPr>
            </w:pPr>
            <w:r>
              <w:rPr>
                <w:rFonts w:ascii="Arial" w:cs="Arial" w:eastAsia="Arial" w:hAnsi="Arial"/>
                <w:sz w:val="20"/>
                <w:szCs w:val="20"/>
                <w:color w:val="auto"/>
                <w:w w:val="71"/>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248,242</w:t>
            </w:r>
          </w:p>
        </w:tc>
        <w:tc>
          <w:tcPr>
            <w:tcW w:w="200" w:type="dxa"/>
            <w:vAlign w:val="bottom"/>
          </w:tcPr>
          <w:p>
            <w:pPr>
              <w:spacing w:after="0"/>
              <w:rPr>
                <w:sz w:val="20"/>
                <w:szCs w:val="20"/>
                <w:color w:val="auto"/>
              </w:rPr>
            </w:pPr>
          </w:p>
        </w:tc>
        <w:tc>
          <w:tcPr>
            <w:tcW w:w="220" w:type="dxa"/>
            <w:vAlign w:val="bottom"/>
          </w:tcPr>
          <w:p>
            <w:pPr>
              <w:jc w:val="right"/>
              <w:ind w:right="21"/>
              <w:spacing w:after="0"/>
              <w:rPr>
                <w:sz w:val="20"/>
                <w:szCs w:val="20"/>
                <w:color w:val="auto"/>
              </w:rPr>
            </w:pPr>
            <w:r>
              <w:rPr>
                <w:rFonts w:ascii="Arial" w:cs="Arial" w:eastAsia="Arial" w:hAnsi="Arial"/>
                <w:sz w:val="20"/>
                <w:szCs w:val="20"/>
                <w:color w:val="auto"/>
                <w:w w:val="71"/>
              </w:rPr>
              <w:t>$</w:t>
            </w:r>
          </w:p>
        </w:tc>
        <w:tc>
          <w:tcPr>
            <w:tcW w:w="980" w:type="dxa"/>
            <w:vAlign w:val="bottom"/>
          </w:tcPr>
          <w:p>
            <w:pPr>
              <w:jc w:val="right"/>
              <w:spacing w:after="0"/>
              <w:rPr>
                <w:sz w:val="20"/>
                <w:szCs w:val="20"/>
                <w:color w:val="auto"/>
              </w:rPr>
            </w:pPr>
            <w:r>
              <w:rPr>
                <w:rFonts w:ascii="Arial" w:cs="Arial" w:eastAsia="Arial" w:hAnsi="Arial"/>
                <w:sz w:val="20"/>
                <w:szCs w:val="20"/>
                <w:color w:val="auto"/>
              </w:rPr>
              <w:t>546,338</w:t>
            </w:r>
          </w:p>
        </w:tc>
        <w:tc>
          <w:tcPr>
            <w:tcW w:w="120" w:type="dxa"/>
            <w:vAlign w:val="bottom"/>
          </w:tcPr>
          <w:p>
            <w:pPr>
              <w:spacing w:after="0"/>
              <w:rPr>
                <w:sz w:val="20"/>
                <w:szCs w:val="20"/>
                <w:color w:val="auto"/>
              </w:rPr>
            </w:pPr>
          </w:p>
        </w:tc>
      </w:tr>
      <w:tr>
        <w:trPr>
          <w:trHeight w:val="243"/>
        </w:trPr>
        <w:tc>
          <w:tcPr>
            <w:tcW w:w="8600" w:type="dxa"/>
            <w:vAlign w:val="bottom"/>
            <w:shd w:val="clear" w:color="auto" w:fill="CFF0FC"/>
          </w:tcPr>
          <w:p>
            <w:pPr>
              <w:ind w:left="140"/>
              <w:spacing w:after="0"/>
              <w:rPr>
                <w:sz w:val="20"/>
                <w:szCs w:val="20"/>
                <w:color w:val="auto"/>
              </w:rPr>
            </w:pPr>
            <w:r>
              <w:rPr>
                <w:rFonts w:ascii="Arial" w:cs="Arial" w:eastAsia="Arial" w:hAnsi="Arial"/>
                <w:sz w:val="20"/>
                <w:szCs w:val="20"/>
                <w:color w:val="auto"/>
              </w:rPr>
              <w:t>Loss on the sale of California cement operations and other related expenses</w:t>
            </w:r>
          </w:p>
        </w:tc>
        <w:tc>
          <w:tcPr>
            <w:tcW w:w="24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28,709</w:t>
            </w:r>
          </w:p>
        </w:tc>
        <w:tc>
          <w:tcPr>
            <w:tcW w:w="200" w:type="dxa"/>
            <w:vAlign w:val="bottom"/>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29,888</w:t>
            </w:r>
          </w:p>
        </w:tc>
        <w:tc>
          <w:tcPr>
            <w:tcW w:w="120" w:type="dxa"/>
            <w:vAlign w:val="bottom"/>
            <w:shd w:val="clear" w:color="auto" w:fill="CFF0FC"/>
          </w:tcPr>
          <w:p>
            <w:pPr>
              <w:spacing w:after="0"/>
              <w:rPr>
                <w:sz w:val="21"/>
                <w:szCs w:val="21"/>
                <w:color w:val="auto"/>
              </w:rPr>
            </w:pPr>
          </w:p>
        </w:tc>
      </w:tr>
      <w:tr>
        <w:trPr>
          <w:trHeight w:val="237"/>
        </w:trPr>
        <w:tc>
          <w:tcPr>
            <w:tcW w:w="8600" w:type="dxa"/>
            <w:vAlign w:val="bottom"/>
          </w:tcPr>
          <w:p>
            <w:pPr>
              <w:spacing w:after="0"/>
              <w:rPr>
                <w:sz w:val="20"/>
                <w:szCs w:val="20"/>
                <w:color w:val="auto"/>
              </w:rPr>
            </w:pPr>
            <w:r>
              <w:rPr>
                <w:rFonts w:ascii="Arial" w:cs="Arial" w:eastAsia="Arial" w:hAnsi="Arial"/>
                <w:sz w:val="20"/>
                <w:szCs w:val="20"/>
                <w:color w:val="auto"/>
              </w:rPr>
              <w:t>Adjusted Consolidated EBITDA</w:t>
            </w:r>
          </w:p>
        </w:tc>
        <w:tc>
          <w:tcPr>
            <w:tcW w:w="24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276,951</w:t>
            </w:r>
          </w:p>
        </w:tc>
        <w:tc>
          <w:tcPr>
            <w:tcW w:w="200" w:type="dxa"/>
            <w:vAlign w:val="bottom"/>
          </w:tcPr>
          <w:p>
            <w:pPr>
              <w:spacing w:after="0"/>
              <w:rPr>
                <w:sz w:val="20"/>
                <w:szCs w:val="20"/>
                <w:color w:val="auto"/>
              </w:rPr>
            </w:pPr>
          </w:p>
        </w:tc>
        <w:tc>
          <w:tcPr>
            <w:tcW w:w="22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576,226</w:t>
            </w:r>
          </w:p>
        </w:tc>
        <w:tc>
          <w:tcPr>
            <w:tcW w:w="120" w:type="dxa"/>
            <w:vAlign w:val="bottom"/>
          </w:tcPr>
          <w:p>
            <w:pPr>
              <w:spacing w:after="0"/>
              <w:rPr>
                <w:sz w:val="20"/>
                <w:szCs w:val="20"/>
                <w:color w:val="auto"/>
              </w:rPr>
            </w:pPr>
          </w:p>
        </w:tc>
      </w:tr>
      <w:tr>
        <w:trPr>
          <w:trHeight w:val="20"/>
        </w:trPr>
        <w:tc>
          <w:tcPr>
            <w:tcW w:w="8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color w:val="auto"/>
        </w:rPr>
        <w:t>Significant items for the quarter ended September 30, 2015 (unless noted, all comparisons are versus the prior-year quarter):</w:t>
      </w:r>
    </w:p>
    <w:p>
      <w:pPr>
        <w:spacing w:after="0" w:line="229" w:lineRule="exact"/>
        <w:rPr>
          <w:sz w:val="20"/>
          <w:szCs w:val="20"/>
          <w:color w:val="auto"/>
        </w:rPr>
      </w:pPr>
    </w:p>
    <w:p>
      <w:pPr>
        <w:ind w:left="760" w:hanging="374"/>
        <w:spacing w:after="0"/>
        <w:tabs>
          <w:tab w:leader="none" w:pos="760" w:val="left"/>
        </w:tabs>
        <w:numPr>
          <w:ilvl w:val="0"/>
          <w:numId w:val="29"/>
        </w:numPr>
        <w:rPr>
          <w:rFonts w:ascii="Arial" w:cs="Arial" w:eastAsia="Arial" w:hAnsi="Arial"/>
          <w:sz w:val="20"/>
          <w:szCs w:val="20"/>
          <w:color w:val="auto"/>
        </w:rPr>
      </w:pPr>
      <w:r>
        <w:rPr>
          <w:rFonts w:ascii="Arial" w:cs="Arial" w:eastAsia="Arial" w:hAnsi="Arial"/>
          <w:sz w:val="20"/>
          <w:szCs w:val="20"/>
          <w:color w:val="auto"/>
        </w:rPr>
        <w:t>Record consolidated net sales of $1.0 billion compared with $917.9 million, an increase of 9.5%</w:t>
      </w:r>
    </w:p>
    <w:p>
      <w:pPr>
        <w:spacing w:after="0" w:line="107" w:lineRule="exact"/>
        <w:rPr>
          <w:rFonts w:ascii="Arial" w:cs="Arial" w:eastAsia="Arial" w:hAnsi="Arial"/>
          <w:sz w:val="20"/>
          <w:szCs w:val="20"/>
          <w:color w:val="auto"/>
        </w:rPr>
      </w:pPr>
    </w:p>
    <w:p>
      <w:pPr>
        <w:ind w:left="760" w:hanging="374"/>
        <w:spacing w:after="0"/>
        <w:tabs>
          <w:tab w:leader="none" w:pos="760" w:val="left"/>
        </w:tabs>
        <w:numPr>
          <w:ilvl w:val="0"/>
          <w:numId w:val="29"/>
        </w:numPr>
        <w:rPr>
          <w:rFonts w:ascii="Arial" w:cs="Arial" w:eastAsia="Arial" w:hAnsi="Arial"/>
          <w:sz w:val="20"/>
          <w:szCs w:val="20"/>
          <w:color w:val="auto"/>
        </w:rPr>
      </w:pPr>
      <w:r>
        <w:rPr>
          <w:rFonts w:ascii="Arial" w:cs="Arial" w:eastAsia="Arial" w:hAnsi="Arial"/>
          <w:sz w:val="20"/>
          <w:szCs w:val="20"/>
          <w:color w:val="auto"/>
        </w:rPr>
        <w:t>Aggregates product line volume increase of 5.4%; aggregates product line price increase of 5.4%</w:t>
      </w:r>
    </w:p>
    <w:p>
      <w:pPr>
        <w:spacing w:after="0" w:line="107" w:lineRule="exact"/>
        <w:rPr>
          <w:rFonts w:ascii="Arial" w:cs="Arial" w:eastAsia="Arial" w:hAnsi="Arial"/>
          <w:sz w:val="20"/>
          <w:szCs w:val="20"/>
          <w:color w:val="auto"/>
        </w:rPr>
      </w:pPr>
    </w:p>
    <w:p>
      <w:pPr>
        <w:ind w:left="760" w:hanging="374"/>
        <w:spacing w:after="0"/>
        <w:tabs>
          <w:tab w:leader="none" w:pos="760" w:val="left"/>
        </w:tabs>
        <w:numPr>
          <w:ilvl w:val="0"/>
          <w:numId w:val="29"/>
        </w:numPr>
        <w:rPr>
          <w:rFonts w:ascii="Arial" w:cs="Arial" w:eastAsia="Arial" w:hAnsi="Arial"/>
          <w:sz w:val="20"/>
          <w:szCs w:val="20"/>
          <w:color w:val="auto"/>
        </w:rPr>
      </w:pPr>
      <w:r>
        <w:rPr>
          <w:rFonts w:ascii="Arial" w:cs="Arial" w:eastAsia="Arial" w:hAnsi="Arial"/>
          <w:sz w:val="20"/>
          <w:szCs w:val="20"/>
          <w:color w:val="auto"/>
        </w:rPr>
        <w:t>Cement business net sales of $110.5 million and gross profit of $38.2 million</w:t>
      </w:r>
    </w:p>
    <w:p>
      <w:pPr>
        <w:spacing w:after="0" w:line="107" w:lineRule="exact"/>
        <w:rPr>
          <w:rFonts w:ascii="Arial" w:cs="Arial" w:eastAsia="Arial" w:hAnsi="Arial"/>
          <w:sz w:val="20"/>
          <w:szCs w:val="20"/>
          <w:color w:val="auto"/>
        </w:rPr>
      </w:pPr>
    </w:p>
    <w:p>
      <w:pPr>
        <w:ind w:left="760" w:hanging="374"/>
        <w:spacing w:after="0"/>
        <w:tabs>
          <w:tab w:leader="none" w:pos="760" w:val="left"/>
        </w:tabs>
        <w:numPr>
          <w:ilvl w:val="0"/>
          <w:numId w:val="29"/>
        </w:numPr>
        <w:rPr>
          <w:rFonts w:ascii="Arial" w:cs="Arial" w:eastAsia="Arial" w:hAnsi="Arial"/>
          <w:sz w:val="20"/>
          <w:szCs w:val="20"/>
          <w:color w:val="auto"/>
        </w:rPr>
      </w:pPr>
      <w:r>
        <w:rPr>
          <w:rFonts w:ascii="Arial" w:cs="Arial" w:eastAsia="Arial" w:hAnsi="Arial"/>
          <w:sz w:val="20"/>
          <w:szCs w:val="20"/>
          <w:color w:val="auto"/>
        </w:rPr>
        <w:t>Magnesia Specialties net sales of $57.3 million and earnings from operations of $17.0 million</w:t>
      </w:r>
    </w:p>
    <w:p>
      <w:pPr>
        <w:spacing w:after="0" w:line="107" w:lineRule="exact"/>
        <w:rPr>
          <w:rFonts w:ascii="Arial" w:cs="Arial" w:eastAsia="Arial" w:hAnsi="Arial"/>
          <w:sz w:val="20"/>
          <w:szCs w:val="20"/>
          <w:color w:val="auto"/>
        </w:rPr>
      </w:pPr>
    </w:p>
    <w:p>
      <w:pPr>
        <w:ind w:left="760" w:hanging="374"/>
        <w:spacing w:after="0"/>
        <w:tabs>
          <w:tab w:leader="none" w:pos="760" w:val="left"/>
        </w:tabs>
        <w:numPr>
          <w:ilvl w:val="0"/>
          <w:numId w:val="29"/>
        </w:numPr>
        <w:rPr>
          <w:rFonts w:ascii="Arial" w:cs="Arial" w:eastAsia="Arial" w:hAnsi="Arial"/>
          <w:sz w:val="20"/>
          <w:szCs w:val="20"/>
          <w:color w:val="auto"/>
        </w:rPr>
      </w:pPr>
      <w:r>
        <w:rPr>
          <w:rFonts w:ascii="Arial" w:cs="Arial" w:eastAsia="Arial" w:hAnsi="Arial"/>
          <w:sz w:val="20"/>
          <w:szCs w:val="20"/>
          <w:color w:val="auto"/>
        </w:rPr>
        <w:t>Consolidated gross margin (excluding freight and delivery revenues) of 26.1%, an increase of 480 basis points</w:t>
      </w:r>
    </w:p>
    <w:p>
      <w:pPr>
        <w:spacing w:after="0" w:line="107" w:lineRule="exact"/>
        <w:rPr>
          <w:rFonts w:ascii="Arial" w:cs="Arial" w:eastAsia="Arial" w:hAnsi="Arial"/>
          <w:sz w:val="20"/>
          <w:szCs w:val="20"/>
          <w:color w:val="auto"/>
        </w:rPr>
      </w:pPr>
    </w:p>
    <w:p>
      <w:pPr>
        <w:ind w:left="760" w:hanging="374"/>
        <w:spacing w:after="0"/>
        <w:tabs>
          <w:tab w:leader="none" w:pos="760" w:val="left"/>
        </w:tabs>
        <w:numPr>
          <w:ilvl w:val="0"/>
          <w:numId w:val="29"/>
        </w:numPr>
        <w:rPr>
          <w:rFonts w:ascii="Arial" w:cs="Arial" w:eastAsia="Arial" w:hAnsi="Arial"/>
          <w:sz w:val="20"/>
          <w:szCs w:val="20"/>
          <w:color w:val="auto"/>
        </w:rPr>
      </w:pPr>
      <w:r>
        <w:rPr>
          <w:rFonts w:ascii="Arial" w:cs="Arial" w:eastAsia="Arial" w:hAnsi="Arial"/>
          <w:sz w:val="20"/>
          <w:szCs w:val="20"/>
          <w:color w:val="auto"/>
        </w:rPr>
        <w:t>Consolidated selling, general and administrative expenses (“SG&amp;A”) of $54.9 million, or 5.5% of net sales</w:t>
      </w:r>
    </w:p>
    <w:p>
      <w:pPr>
        <w:spacing w:after="0" w:line="107" w:lineRule="exact"/>
        <w:rPr>
          <w:rFonts w:ascii="Arial" w:cs="Arial" w:eastAsia="Arial" w:hAnsi="Arial"/>
          <w:sz w:val="20"/>
          <w:szCs w:val="20"/>
          <w:color w:val="auto"/>
        </w:rPr>
      </w:pPr>
    </w:p>
    <w:p>
      <w:pPr>
        <w:jc w:val="both"/>
        <w:ind w:left="760" w:hanging="374"/>
        <w:spacing w:after="0" w:line="291" w:lineRule="auto"/>
        <w:tabs>
          <w:tab w:leader="none" w:pos="7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Consolidated adjusted earnings from operations of $208.2 million (which excludes a $25.1 million loss on the sale of the California cement operations and an additional $3.6 million of related expenses) compared with $153.0 million (which excludes $37.0 million of one-time expenses related to the TXI acquisition); reported earnings from operations of $179.5 million compared with $116.0 million</w:t>
      </w:r>
    </w:p>
    <w:p>
      <w:pPr>
        <w:spacing w:after="0" w:line="43" w:lineRule="exact"/>
        <w:rPr>
          <w:rFonts w:ascii="Arial" w:cs="Arial" w:eastAsia="Arial" w:hAnsi="Arial"/>
          <w:sz w:val="18"/>
          <w:szCs w:val="18"/>
          <w:color w:val="auto"/>
        </w:rPr>
      </w:pPr>
    </w:p>
    <w:p>
      <w:pPr>
        <w:jc w:val="both"/>
        <w:ind w:left="760" w:hanging="374"/>
        <w:spacing w:after="0" w:line="269" w:lineRule="auto"/>
        <w:tabs>
          <w:tab w:leader="none" w:pos="760" w:val="left"/>
        </w:tabs>
        <w:numPr>
          <w:ilvl w:val="0"/>
          <w:numId w:val="29"/>
        </w:numPr>
        <w:rPr>
          <w:rFonts w:ascii="Arial" w:cs="Arial" w:eastAsia="Arial" w:hAnsi="Arial"/>
          <w:sz w:val="19"/>
          <w:szCs w:val="19"/>
          <w:color w:val="auto"/>
        </w:rPr>
      </w:pPr>
      <w:r>
        <w:rPr>
          <w:rFonts w:ascii="Arial" w:cs="Arial" w:eastAsia="Arial" w:hAnsi="Arial"/>
          <w:sz w:val="19"/>
          <w:szCs w:val="19"/>
          <w:color w:val="auto"/>
        </w:rPr>
        <w:t>Adjusted earnings per diluted share of $2.04 (which excludes the $0.30 per diluted share impact of the sale of the California cement operations and related expenses) compared with $1.45 (which excludes the $0.66 per diluted share impact of one-time net expenses related to the TXI acquisition); reported earnings per diluted share of $1.74 compared with $0.79</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32 of 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2" w:name="page33"/>
    <w:bookmarkEnd w:id="32"/>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September 30, 2015</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rPr>
          <w:sz w:val="20"/>
          <w:szCs w:val="20"/>
          <w:color w:val="auto"/>
        </w:rPr>
      </w:pPr>
      <w:r>
        <w:rPr>
          <w:rFonts w:ascii="Arial" w:cs="Arial" w:eastAsia="Arial" w:hAnsi="Arial"/>
          <w:sz w:val="20"/>
          <w:szCs w:val="20"/>
          <w:color w:val="auto"/>
        </w:rPr>
        <w:t>Third Quarter Ended September 30, 2015</w:t>
      </w:r>
    </w:p>
    <w:p>
      <w:pPr>
        <w:jc w:val="center"/>
        <w:spacing w:after="0"/>
        <w:rPr>
          <w:sz w:val="20"/>
          <w:szCs w:val="20"/>
          <w:color w:val="auto"/>
        </w:rPr>
      </w:pPr>
      <w:r>
        <w:rPr>
          <w:rFonts w:ascii="Arial" w:cs="Arial" w:eastAsia="Arial" w:hAnsi="Arial"/>
          <w:sz w:val="20"/>
          <w:szCs w:val="20"/>
          <w:color w:val="auto"/>
        </w:rPr>
        <w:t>(Continued)</w:t>
      </w:r>
    </w:p>
    <w:p>
      <w:pPr>
        <w:spacing w:after="0" w:line="21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following table presents net sales, gross profit (loss), selling, general and administrative expenses and earnings (loss) from operations data for the Corporation and its reportable segments for the three months ended September 30, 2015 and 2014. In each case, the data is stated as a percentage of net sales of the Corporation or the relevant segment, as the case may be.</w:t>
      </w:r>
    </w:p>
    <w:p>
      <w:pPr>
        <w:spacing w:after="0" w:line="78" w:lineRule="exact"/>
        <w:rPr>
          <w:sz w:val="20"/>
          <w:szCs w:val="20"/>
          <w:color w:val="auto"/>
        </w:rPr>
      </w:pPr>
    </w:p>
    <w:p>
      <w:pPr>
        <w:ind w:left="6680"/>
        <w:spacing w:after="0"/>
        <w:rPr>
          <w:sz w:val="20"/>
          <w:szCs w:val="20"/>
          <w:color w:val="auto"/>
        </w:rPr>
      </w:pPr>
      <w:r>
        <w:rPr>
          <w:rFonts w:ascii="Arial" w:cs="Arial" w:eastAsia="Arial" w:hAnsi="Arial"/>
          <w:sz w:val="20"/>
          <w:szCs w:val="20"/>
          <w:color w:val="auto"/>
        </w:rPr>
        <w:t>Three Months Ended September 30,</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488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660" w:type="dxa"/>
            <w:vAlign w:val="bottom"/>
            <w:tcBorders>
              <w:top w:val="single" w:sz="8" w:color="auto"/>
              <w:bottom w:val="single" w:sz="8" w:color="auto"/>
            </w:tcBorders>
            <w:gridSpan w:val="3"/>
          </w:tcPr>
          <w:p>
            <w:pPr>
              <w:jc w:val="right"/>
              <w:ind w:right="160"/>
              <w:spacing w:after="0"/>
              <w:rPr>
                <w:sz w:val="20"/>
                <w:szCs w:val="20"/>
                <w:color w:val="auto"/>
              </w:rPr>
            </w:pPr>
            <w:r>
              <w:rPr>
                <w:rFonts w:ascii="Arial" w:cs="Arial" w:eastAsia="Arial" w:hAnsi="Arial"/>
                <w:sz w:val="19"/>
                <w:szCs w:val="19"/>
                <w:color w:val="auto"/>
              </w:rPr>
              <w:t>2015</w:t>
            </w:r>
          </w:p>
        </w:tc>
        <w:tc>
          <w:tcPr>
            <w:tcW w:w="126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9"/>
                <w:szCs w:val="19"/>
                <w:color w:val="auto"/>
              </w:rPr>
              <w:t>2014</w:t>
            </w:r>
          </w:p>
        </w:tc>
        <w:tc>
          <w:tcPr>
            <w:tcW w:w="134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jc w:val="center"/>
              <w:ind w:right="123"/>
              <w:spacing w:after="0" w:line="201" w:lineRule="exact"/>
              <w:rPr>
                <w:sz w:val="20"/>
                <w:szCs w:val="20"/>
                <w:color w:val="auto"/>
              </w:rPr>
            </w:pPr>
            <w:r>
              <w:rPr>
                <w:rFonts w:ascii="Arial" w:cs="Arial" w:eastAsia="Arial" w:hAnsi="Arial"/>
                <w:sz w:val="19"/>
                <w:szCs w:val="19"/>
                <w:color w:val="auto"/>
                <w:w w:val="94"/>
              </w:rPr>
              <w:t>% of</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jc w:val="center"/>
              <w:spacing w:after="0" w:line="201" w:lineRule="exact"/>
              <w:rPr>
                <w:sz w:val="20"/>
                <w:szCs w:val="20"/>
                <w:color w:val="auto"/>
              </w:rPr>
            </w:pPr>
            <w:r>
              <w:rPr>
                <w:rFonts w:ascii="Arial" w:cs="Arial" w:eastAsia="Arial" w:hAnsi="Arial"/>
                <w:sz w:val="19"/>
                <w:szCs w:val="19"/>
                <w:color w:val="auto"/>
                <w:w w:val="94"/>
              </w:rPr>
              <w:t>% of</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60" w:type="dxa"/>
            <w:vAlign w:val="bottom"/>
            <w:gridSpan w:val="3"/>
          </w:tcPr>
          <w:p>
            <w:pPr>
              <w:jc w:val="right"/>
              <w:ind w:right="880"/>
              <w:spacing w:after="0"/>
              <w:rPr>
                <w:sz w:val="20"/>
                <w:szCs w:val="20"/>
                <w:color w:val="auto"/>
              </w:rPr>
            </w:pPr>
            <w:r>
              <w:rPr>
                <w:rFonts w:ascii="Arial" w:cs="Arial" w:eastAsia="Arial" w:hAnsi="Arial"/>
                <w:sz w:val="19"/>
                <w:szCs w:val="19"/>
                <w:color w:val="auto"/>
              </w:rPr>
              <w:t>Amount</w:t>
            </w:r>
          </w:p>
        </w:tc>
        <w:tc>
          <w:tcPr>
            <w:tcW w:w="1440" w:type="dxa"/>
            <w:vAlign w:val="bottom"/>
            <w:gridSpan w:val="2"/>
          </w:tcPr>
          <w:p>
            <w:pPr>
              <w:jc w:val="center"/>
              <w:ind w:right="400"/>
              <w:spacing w:after="0"/>
              <w:rPr>
                <w:sz w:val="20"/>
                <w:szCs w:val="20"/>
                <w:color w:val="auto"/>
              </w:rPr>
            </w:pPr>
            <w:r>
              <w:rPr>
                <w:rFonts w:ascii="Arial" w:cs="Arial" w:eastAsia="Arial" w:hAnsi="Arial"/>
                <w:sz w:val="19"/>
                <w:szCs w:val="19"/>
                <w:color w:val="auto"/>
                <w:w w:val="87"/>
              </w:rPr>
              <w:t>Net Sales</w:t>
            </w:r>
          </w:p>
        </w:tc>
        <w:tc>
          <w:tcPr>
            <w:tcW w:w="260" w:type="dxa"/>
            <w:vAlign w:val="bottom"/>
          </w:tcPr>
          <w:p>
            <w:pPr>
              <w:spacing w:after="0"/>
              <w:rPr>
                <w:sz w:val="20"/>
                <w:szCs w:val="20"/>
                <w:color w:val="auto"/>
              </w:rPr>
            </w:pPr>
          </w:p>
        </w:tc>
        <w:tc>
          <w:tcPr>
            <w:tcW w:w="1480" w:type="dxa"/>
            <w:vAlign w:val="bottom"/>
            <w:gridSpan w:val="2"/>
          </w:tcPr>
          <w:p>
            <w:pPr>
              <w:jc w:val="right"/>
              <w:ind w:right="700"/>
              <w:spacing w:after="0"/>
              <w:rPr>
                <w:sz w:val="20"/>
                <w:szCs w:val="20"/>
                <w:color w:val="auto"/>
              </w:rPr>
            </w:pPr>
            <w:r>
              <w:rPr>
                <w:rFonts w:ascii="Arial" w:cs="Arial" w:eastAsia="Arial" w:hAnsi="Arial"/>
                <w:sz w:val="19"/>
                <w:szCs w:val="19"/>
                <w:color w:val="auto"/>
              </w:rPr>
              <w:t>Amount</w:t>
            </w:r>
          </w:p>
        </w:tc>
        <w:tc>
          <w:tcPr>
            <w:tcW w:w="1420" w:type="dxa"/>
            <w:vAlign w:val="bottom"/>
            <w:gridSpan w:val="2"/>
          </w:tcPr>
          <w:p>
            <w:pPr>
              <w:jc w:val="center"/>
              <w:ind w:right="100"/>
              <w:spacing w:after="0"/>
              <w:rPr>
                <w:sz w:val="20"/>
                <w:szCs w:val="20"/>
                <w:color w:val="auto"/>
              </w:rPr>
            </w:pPr>
            <w:r>
              <w:rPr>
                <w:rFonts w:ascii="Arial" w:cs="Arial" w:eastAsia="Arial" w:hAnsi="Arial"/>
                <w:sz w:val="19"/>
                <w:szCs w:val="19"/>
                <w:color w:val="auto"/>
                <w:w w:val="87"/>
              </w:rPr>
              <w:t>Net Sales</w:t>
            </w:r>
          </w:p>
        </w:tc>
        <w:tc>
          <w:tcPr>
            <w:tcW w:w="0" w:type="dxa"/>
            <w:vAlign w:val="bottom"/>
          </w:tcPr>
          <w:p>
            <w:pPr>
              <w:spacing w:after="0"/>
              <w:rPr>
                <w:sz w:val="1"/>
                <w:szCs w:val="1"/>
                <w:color w:val="auto"/>
              </w:rPr>
            </w:pPr>
          </w:p>
        </w:tc>
      </w:tr>
      <w:tr>
        <w:trPr>
          <w:trHeight w:val="234"/>
        </w:trPr>
        <w:tc>
          <w:tcPr>
            <w:tcW w:w="4900" w:type="dxa"/>
            <w:vAlign w:val="bottom"/>
            <w:gridSpan w:val="2"/>
            <w:vMerge w:val="restart"/>
          </w:tcPr>
          <w:p>
            <w:pPr>
              <w:spacing w:after="0"/>
              <w:rPr>
                <w:sz w:val="20"/>
                <w:szCs w:val="20"/>
                <w:color w:val="auto"/>
              </w:rPr>
            </w:pPr>
            <w:r>
              <w:rPr>
                <w:rFonts w:ascii="Arial" w:cs="Arial" w:eastAsia="Arial" w:hAnsi="Arial"/>
                <w:sz w:val="19"/>
                <w:szCs w:val="19"/>
                <w:b w:val="1"/>
                <w:bCs w:val="1"/>
                <w:color w:val="auto"/>
              </w:rPr>
              <w:t>Net sales:</w:t>
            </w:r>
          </w:p>
        </w:tc>
        <w:tc>
          <w:tcPr>
            <w:tcW w:w="2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3180" w:type="dxa"/>
            <w:vAlign w:val="bottom"/>
            <w:tcBorders>
              <w:top w:val="single" w:sz="8" w:color="auto"/>
            </w:tcBorders>
            <w:gridSpan w:val="5"/>
          </w:tcPr>
          <w:p>
            <w:pPr>
              <w:jc w:val="right"/>
              <w:ind w:right="1000"/>
              <w:spacing w:after="0"/>
              <w:rPr>
                <w:sz w:val="20"/>
                <w:szCs w:val="20"/>
                <w:color w:val="auto"/>
              </w:rPr>
            </w:pPr>
            <w:r>
              <w:rPr>
                <w:rFonts w:ascii="Arial" w:cs="Arial" w:eastAsia="Arial" w:hAnsi="Arial"/>
                <w:sz w:val="19"/>
                <w:szCs w:val="19"/>
                <w:i w:val="1"/>
                <w:iCs w:val="1"/>
                <w:color w:val="auto"/>
              </w:rPr>
              <w:t>(Dollars in Thousands)</w:t>
            </w:r>
          </w:p>
        </w:tc>
        <w:tc>
          <w:tcPr>
            <w:tcW w:w="13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490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80" w:type="dxa"/>
            <w:vAlign w:val="bottom"/>
            <w:shd w:val="clear" w:color="auto" w:fill="CFF0FC"/>
          </w:tcPr>
          <w:p>
            <w:pPr>
              <w:spacing w:after="0"/>
              <w:rPr>
                <w:sz w:val="20"/>
                <w:szCs w:val="20"/>
                <w:color w:val="auto"/>
              </w:rPr>
            </w:pPr>
            <w:r>
              <w:rPr>
                <w:rFonts w:ascii="Arial" w:cs="Arial" w:eastAsia="Arial" w:hAnsi="Arial"/>
                <w:sz w:val="19"/>
                <w:szCs w:val="19"/>
                <w:color w:val="auto"/>
              </w:rPr>
              <w:t>Heritage:</w:t>
            </w:r>
          </w:p>
        </w:tc>
        <w:tc>
          <w:tcPr>
            <w:tcW w:w="2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880" w:type="dxa"/>
            <w:vAlign w:val="bottom"/>
          </w:tcPr>
          <w:p>
            <w:pPr>
              <w:ind w:left="480"/>
              <w:spacing w:after="0"/>
              <w:rPr>
                <w:sz w:val="20"/>
                <w:szCs w:val="20"/>
                <w:color w:val="auto"/>
              </w:rPr>
            </w:pPr>
            <w:r>
              <w:rPr>
                <w:rFonts w:ascii="Arial" w:cs="Arial" w:eastAsia="Arial" w:hAnsi="Arial"/>
                <w:sz w:val="19"/>
                <w:szCs w:val="19"/>
                <w:color w:val="auto"/>
              </w:rPr>
              <w:t>Mid-America Group</w:t>
            </w:r>
          </w:p>
        </w:tc>
        <w:tc>
          <w:tcPr>
            <w:tcW w:w="260" w:type="dxa"/>
            <w:vAlign w:val="bottom"/>
          </w:tcPr>
          <w:p>
            <w:pPr>
              <w:jc w:val="right"/>
              <w:ind w:right="61"/>
              <w:spacing w:after="0"/>
              <w:rPr>
                <w:sz w:val="20"/>
                <w:szCs w:val="20"/>
                <w:color w:val="auto"/>
              </w:rPr>
            </w:pPr>
            <w:r>
              <w:rPr>
                <w:rFonts w:ascii="Arial" w:cs="Arial" w:eastAsia="Arial" w:hAnsi="Arial"/>
                <w:sz w:val="20"/>
                <w:szCs w:val="20"/>
                <w:color w:val="auto"/>
                <w:w w:val="71"/>
              </w:rPr>
              <w:t>$</w:t>
            </w:r>
          </w:p>
        </w:tc>
        <w:tc>
          <w:tcPr>
            <w:tcW w:w="1200" w:type="dxa"/>
            <w:vAlign w:val="bottom"/>
          </w:tcPr>
          <w:p>
            <w:pPr>
              <w:jc w:val="right"/>
              <w:spacing w:after="0"/>
              <w:rPr>
                <w:sz w:val="20"/>
                <w:szCs w:val="20"/>
                <w:color w:val="auto"/>
              </w:rPr>
            </w:pPr>
            <w:r>
              <w:rPr>
                <w:rFonts w:ascii="Arial" w:cs="Arial" w:eastAsia="Arial" w:hAnsi="Arial"/>
                <w:sz w:val="20"/>
                <w:szCs w:val="20"/>
                <w:color w:val="auto"/>
              </w:rPr>
              <w:t>264,624</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jc w:val="right"/>
              <w:ind w:right="61"/>
              <w:spacing w:after="0"/>
              <w:rPr>
                <w:sz w:val="20"/>
                <w:szCs w:val="20"/>
                <w:color w:val="auto"/>
              </w:rPr>
            </w:pPr>
            <w:r>
              <w:rPr>
                <w:rFonts w:ascii="Arial" w:cs="Arial" w:eastAsia="Arial" w:hAnsi="Arial"/>
                <w:sz w:val="20"/>
                <w:szCs w:val="20"/>
                <w:color w:val="auto"/>
                <w:w w:val="71"/>
              </w:rPr>
              <w:t>$</w:t>
            </w:r>
          </w:p>
        </w:tc>
        <w:tc>
          <w:tcPr>
            <w:tcW w:w="1220" w:type="dxa"/>
            <w:vAlign w:val="bottom"/>
          </w:tcPr>
          <w:p>
            <w:pPr>
              <w:jc w:val="right"/>
              <w:spacing w:after="0"/>
              <w:rPr>
                <w:sz w:val="20"/>
                <w:szCs w:val="20"/>
                <w:color w:val="auto"/>
              </w:rPr>
            </w:pPr>
            <w:r>
              <w:rPr>
                <w:rFonts w:ascii="Arial" w:cs="Arial" w:eastAsia="Arial" w:hAnsi="Arial"/>
                <w:sz w:val="20"/>
                <w:szCs w:val="20"/>
                <w:color w:val="auto"/>
              </w:rPr>
              <w:t>244,309</w:t>
            </w: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880" w:type="dxa"/>
            <w:vAlign w:val="bottom"/>
            <w:shd w:val="clear" w:color="auto" w:fill="CFF0FC"/>
          </w:tcPr>
          <w:p>
            <w:pPr>
              <w:ind w:left="480"/>
              <w:spacing w:after="0"/>
              <w:rPr>
                <w:sz w:val="20"/>
                <w:szCs w:val="20"/>
                <w:color w:val="auto"/>
              </w:rPr>
            </w:pPr>
            <w:r>
              <w:rPr>
                <w:rFonts w:ascii="Arial" w:cs="Arial" w:eastAsia="Arial" w:hAnsi="Arial"/>
                <w:sz w:val="19"/>
                <w:szCs w:val="19"/>
                <w:color w:val="auto"/>
              </w:rPr>
              <w:t>Southeast Group</w:t>
            </w:r>
          </w:p>
        </w:tc>
        <w:tc>
          <w:tcPr>
            <w:tcW w:w="2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78,283</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68,042</w:t>
            </w:r>
          </w:p>
        </w:tc>
        <w:tc>
          <w:tcPr>
            <w:tcW w:w="26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880" w:type="dxa"/>
            <w:vAlign w:val="bottom"/>
            <w:tcBorders>
              <w:bottom w:val="single" w:sz="8" w:color="CFF0FC"/>
            </w:tcBorders>
          </w:tcPr>
          <w:p>
            <w:pPr>
              <w:ind w:left="480"/>
              <w:spacing w:after="0"/>
              <w:rPr>
                <w:sz w:val="20"/>
                <w:szCs w:val="20"/>
                <w:color w:val="auto"/>
              </w:rPr>
            </w:pPr>
            <w:r>
              <w:rPr>
                <w:rFonts w:ascii="Arial" w:cs="Arial" w:eastAsia="Arial" w:hAnsi="Arial"/>
                <w:sz w:val="19"/>
                <w:szCs w:val="19"/>
                <w:color w:val="auto"/>
              </w:rPr>
              <w:t>West Group</w:t>
            </w:r>
          </w:p>
        </w:tc>
        <w:tc>
          <w:tcPr>
            <w:tcW w:w="2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312,005</w:t>
            </w:r>
          </w:p>
        </w:tc>
        <w:tc>
          <w:tcPr>
            <w:tcW w:w="260" w:type="dxa"/>
            <w:vAlign w:val="bottom"/>
            <w:tcBorders>
              <w:bottom w:val="single" w:sz="8" w:color="CFF0FC"/>
            </w:tcBorders>
          </w:tcPr>
          <w:p>
            <w:pPr>
              <w:spacing w:after="0"/>
              <w:rPr>
                <w:sz w:val="21"/>
                <w:szCs w:val="21"/>
                <w:color w:val="auto"/>
              </w:rPr>
            </w:pPr>
          </w:p>
        </w:tc>
        <w:tc>
          <w:tcPr>
            <w:tcW w:w="200" w:type="dxa"/>
            <w:vAlign w:val="bottom"/>
            <w:tcBorders>
              <w:bottom w:val="single" w:sz="8" w:color="CFF0FC"/>
            </w:tcBorders>
          </w:tcPr>
          <w:p>
            <w:pPr>
              <w:spacing w:after="0"/>
              <w:rPr>
                <w:sz w:val="21"/>
                <w:szCs w:val="21"/>
                <w:color w:val="auto"/>
              </w:rPr>
            </w:pPr>
          </w:p>
        </w:tc>
        <w:tc>
          <w:tcPr>
            <w:tcW w:w="1260" w:type="dxa"/>
            <w:vAlign w:val="bottom"/>
            <w:tcBorders>
              <w:bottom w:val="single" w:sz="8" w:color="CFF0FC"/>
            </w:tcBorders>
          </w:tcPr>
          <w:p>
            <w:pPr>
              <w:spacing w:after="0"/>
              <w:rPr>
                <w:sz w:val="21"/>
                <w:szCs w:val="21"/>
                <w:color w:val="auto"/>
              </w:rPr>
            </w:pPr>
          </w:p>
        </w:tc>
        <w:tc>
          <w:tcPr>
            <w:tcW w:w="180" w:type="dxa"/>
            <w:vAlign w:val="bottom"/>
            <w:tcBorders>
              <w:bottom w:val="single" w:sz="8" w:color="CFF0FC"/>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273,346</w:t>
            </w:r>
          </w:p>
        </w:tc>
        <w:tc>
          <w:tcPr>
            <w:tcW w:w="260" w:type="dxa"/>
            <w:vAlign w:val="bottom"/>
            <w:tcBorders>
              <w:bottom w:val="single" w:sz="8" w:color="CFF0FC"/>
            </w:tcBorders>
          </w:tcPr>
          <w:p>
            <w:pPr>
              <w:spacing w:after="0"/>
              <w:rPr>
                <w:sz w:val="21"/>
                <w:szCs w:val="21"/>
                <w:color w:val="auto"/>
              </w:rPr>
            </w:pPr>
          </w:p>
        </w:tc>
        <w:tc>
          <w:tcPr>
            <w:tcW w:w="134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880" w:type="dxa"/>
            <w:vAlign w:val="bottom"/>
            <w:shd w:val="clear" w:color="auto" w:fill="CFF0FC"/>
          </w:tcPr>
          <w:p>
            <w:pPr>
              <w:ind w:left="240"/>
              <w:spacing w:after="0"/>
              <w:rPr>
                <w:sz w:val="20"/>
                <w:szCs w:val="20"/>
                <w:color w:val="auto"/>
              </w:rPr>
            </w:pPr>
            <w:r>
              <w:rPr>
                <w:rFonts w:ascii="Arial" w:cs="Arial" w:eastAsia="Arial" w:hAnsi="Arial"/>
                <w:sz w:val="19"/>
                <w:szCs w:val="19"/>
                <w:color w:val="auto"/>
              </w:rPr>
              <w:t>Total Heritage Aggregates Business</w:t>
            </w:r>
          </w:p>
        </w:tc>
        <w:tc>
          <w:tcPr>
            <w:tcW w:w="26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654,912</w:t>
            </w: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9"/>
                <w:szCs w:val="19"/>
                <w:color w:val="auto"/>
              </w:rPr>
              <w:t>100.0</w:t>
            </w:r>
          </w:p>
        </w:tc>
        <w:tc>
          <w:tcPr>
            <w:tcW w:w="1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585,697</w:t>
            </w:r>
          </w:p>
        </w:tc>
        <w:tc>
          <w:tcPr>
            <w:tcW w:w="26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9"/>
                <w:szCs w:val="19"/>
                <w:color w:val="auto"/>
              </w:rPr>
              <w:t>100.0</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880" w:type="dxa"/>
            <w:vAlign w:val="bottom"/>
            <w:tcBorders>
              <w:bottom w:val="single" w:sz="8" w:color="CFF0FC"/>
            </w:tcBorders>
          </w:tcPr>
          <w:p>
            <w:pPr>
              <w:ind w:left="240"/>
              <w:spacing w:after="0"/>
              <w:rPr>
                <w:sz w:val="20"/>
                <w:szCs w:val="20"/>
                <w:color w:val="auto"/>
              </w:rPr>
            </w:pPr>
            <w:r>
              <w:rPr>
                <w:rFonts w:ascii="Arial" w:cs="Arial" w:eastAsia="Arial" w:hAnsi="Arial"/>
                <w:sz w:val="19"/>
                <w:szCs w:val="19"/>
                <w:color w:val="auto"/>
              </w:rPr>
              <w:t>Magnesia Specialties</w:t>
            </w:r>
          </w:p>
        </w:tc>
        <w:tc>
          <w:tcPr>
            <w:tcW w:w="2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57,258</w:t>
            </w:r>
          </w:p>
        </w:tc>
        <w:tc>
          <w:tcPr>
            <w:tcW w:w="260" w:type="dxa"/>
            <w:vAlign w:val="bottom"/>
            <w:tcBorders>
              <w:bottom w:val="single" w:sz="8" w:color="CFF0FC"/>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100.0</w:t>
            </w:r>
          </w:p>
        </w:tc>
        <w:tc>
          <w:tcPr>
            <w:tcW w:w="180" w:type="dxa"/>
            <w:vAlign w:val="bottom"/>
            <w:tcBorders>
              <w:bottom w:val="single" w:sz="8" w:color="CFF0FC"/>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58,672</w:t>
            </w:r>
          </w:p>
        </w:tc>
        <w:tc>
          <w:tcPr>
            <w:tcW w:w="260" w:type="dxa"/>
            <w:vAlign w:val="bottom"/>
            <w:tcBorders>
              <w:bottom w:val="single" w:sz="8" w:color="CFF0FC"/>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100.0</w:t>
            </w:r>
          </w:p>
        </w:tc>
        <w:tc>
          <w:tcPr>
            <w:tcW w:w="8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880" w:type="dxa"/>
            <w:vAlign w:val="bottom"/>
            <w:shd w:val="clear" w:color="auto" w:fill="CFF0FC"/>
          </w:tcPr>
          <w:p>
            <w:pPr>
              <w:spacing w:after="0"/>
              <w:rPr>
                <w:sz w:val="20"/>
                <w:szCs w:val="20"/>
                <w:color w:val="auto"/>
              </w:rPr>
            </w:pPr>
            <w:r>
              <w:rPr>
                <w:rFonts w:ascii="Arial" w:cs="Arial" w:eastAsia="Arial" w:hAnsi="Arial"/>
                <w:sz w:val="19"/>
                <w:szCs w:val="19"/>
                <w:color w:val="auto"/>
              </w:rPr>
              <w:t>Total Heritage Consolidated</w:t>
            </w:r>
          </w:p>
        </w:tc>
        <w:tc>
          <w:tcPr>
            <w:tcW w:w="26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712,170</w:t>
            </w:r>
          </w:p>
        </w:tc>
        <w:tc>
          <w:tcPr>
            <w:tcW w:w="260" w:type="dxa"/>
            <w:vAlign w:val="bottom"/>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100.0</w:t>
            </w:r>
          </w:p>
        </w:tc>
        <w:tc>
          <w:tcPr>
            <w:tcW w:w="180" w:type="dxa"/>
            <w:vAlign w:val="bottom"/>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644,369</w:t>
            </w:r>
          </w:p>
        </w:tc>
        <w:tc>
          <w:tcPr>
            <w:tcW w:w="260" w:type="dxa"/>
            <w:vAlign w:val="bottom"/>
            <w:shd w:val="clear" w:color="auto" w:fill="CFF0FC"/>
          </w:tcPr>
          <w:p>
            <w:pPr>
              <w:spacing w:after="0"/>
              <w:rPr>
                <w:sz w:val="20"/>
                <w:szCs w:val="20"/>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100.0</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900" w:type="dxa"/>
            <w:vAlign w:val="bottom"/>
            <w:gridSpan w:val="2"/>
          </w:tcPr>
          <w:p>
            <w:pPr>
              <w:spacing w:after="0"/>
              <w:rPr>
                <w:sz w:val="20"/>
                <w:szCs w:val="20"/>
                <w:color w:val="auto"/>
              </w:rPr>
            </w:pPr>
            <w:r>
              <w:rPr>
                <w:rFonts w:ascii="Arial" w:cs="Arial" w:eastAsia="Arial" w:hAnsi="Arial"/>
                <w:sz w:val="19"/>
                <w:szCs w:val="19"/>
                <w:color w:val="auto"/>
              </w:rPr>
              <w:t>Acquisitions:</w:t>
            </w: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880" w:type="dxa"/>
            <w:vAlign w:val="bottom"/>
            <w:shd w:val="clear" w:color="auto" w:fill="CFF0FC"/>
          </w:tcPr>
          <w:p>
            <w:pPr>
              <w:ind w:left="240"/>
              <w:spacing w:after="0"/>
              <w:rPr>
                <w:sz w:val="20"/>
                <w:szCs w:val="20"/>
                <w:color w:val="auto"/>
              </w:rPr>
            </w:pPr>
            <w:r>
              <w:rPr>
                <w:rFonts w:ascii="Arial" w:cs="Arial" w:eastAsia="Arial" w:hAnsi="Arial"/>
                <w:sz w:val="19"/>
                <w:szCs w:val="19"/>
                <w:color w:val="auto"/>
              </w:rPr>
              <w:t>Aggregates Business – Mid-America Group</w:t>
            </w:r>
          </w:p>
        </w:tc>
        <w:tc>
          <w:tcPr>
            <w:tcW w:w="2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1,029</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9"/>
                <w:szCs w:val="19"/>
                <w:color w:val="auto"/>
              </w:rPr>
              <w:t>100.0</w:t>
            </w:r>
          </w:p>
        </w:tc>
        <w:tc>
          <w:tcPr>
            <w:tcW w:w="1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260"/>
              <w:spacing w:after="0"/>
              <w:rPr>
                <w:sz w:val="20"/>
                <w:szCs w:val="20"/>
                <w:color w:val="auto"/>
              </w:rPr>
            </w:pPr>
            <w:r>
              <w:rPr>
                <w:rFonts w:ascii="Arial" w:cs="Arial" w:eastAsia="Arial" w:hAnsi="Arial"/>
                <w:sz w:val="19"/>
                <w:szCs w:val="19"/>
                <w:color w:val="auto"/>
              </w:rPr>
              <w:t>—</w:t>
            </w:r>
          </w:p>
        </w:tc>
        <w:tc>
          <w:tcPr>
            <w:tcW w:w="1420" w:type="dxa"/>
            <w:vAlign w:val="bottom"/>
            <w:gridSpan w:val="2"/>
            <w:shd w:val="clear" w:color="auto" w:fill="CFF0FC"/>
          </w:tcPr>
          <w:p>
            <w:pPr>
              <w:jc w:val="right"/>
              <w:ind w:right="100"/>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880" w:type="dxa"/>
            <w:vAlign w:val="bottom"/>
          </w:tcPr>
          <w:p>
            <w:pPr>
              <w:ind w:left="240"/>
              <w:spacing w:after="0"/>
              <w:rPr>
                <w:sz w:val="20"/>
                <w:szCs w:val="20"/>
                <w:color w:val="auto"/>
              </w:rPr>
            </w:pPr>
            <w:r>
              <w:rPr>
                <w:rFonts w:ascii="Arial" w:cs="Arial" w:eastAsia="Arial" w:hAnsi="Arial"/>
                <w:sz w:val="19"/>
                <w:szCs w:val="19"/>
                <w:color w:val="auto"/>
              </w:rPr>
              <w:t>Aggregates Business – West Group</w:t>
            </w: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181,500</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9"/>
                <w:szCs w:val="19"/>
                <w:color w:val="auto"/>
              </w:rPr>
              <w:t>100.0</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164,052</w:t>
            </w: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100.0</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880" w:type="dxa"/>
            <w:vAlign w:val="bottom"/>
            <w:shd w:val="clear" w:color="auto" w:fill="CFF0FC"/>
          </w:tcPr>
          <w:p>
            <w:pPr>
              <w:ind w:left="240"/>
              <w:spacing w:after="0"/>
              <w:rPr>
                <w:sz w:val="20"/>
                <w:szCs w:val="20"/>
                <w:color w:val="auto"/>
              </w:rPr>
            </w:pPr>
            <w:r>
              <w:rPr>
                <w:rFonts w:ascii="Arial" w:cs="Arial" w:eastAsia="Arial" w:hAnsi="Arial"/>
                <w:sz w:val="19"/>
                <w:szCs w:val="19"/>
                <w:color w:val="auto"/>
              </w:rPr>
              <w:t>Cement</w:t>
            </w:r>
          </w:p>
        </w:tc>
        <w:tc>
          <w:tcPr>
            <w:tcW w:w="26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110,519</w:t>
            </w:r>
          </w:p>
        </w:tc>
        <w:tc>
          <w:tcPr>
            <w:tcW w:w="260" w:type="dxa"/>
            <w:vAlign w:val="bottom"/>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100.0</w:t>
            </w:r>
          </w:p>
        </w:tc>
        <w:tc>
          <w:tcPr>
            <w:tcW w:w="180" w:type="dxa"/>
            <w:vAlign w:val="bottom"/>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109,521</w:t>
            </w:r>
          </w:p>
        </w:tc>
        <w:tc>
          <w:tcPr>
            <w:tcW w:w="260" w:type="dxa"/>
            <w:vAlign w:val="bottom"/>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100.0</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900" w:type="dxa"/>
            <w:vAlign w:val="bottom"/>
            <w:gridSpan w:val="2"/>
          </w:tcPr>
          <w:p>
            <w:pPr>
              <w:spacing w:after="0"/>
              <w:rPr>
                <w:sz w:val="20"/>
                <w:szCs w:val="20"/>
                <w:color w:val="auto"/>
              </w:rPr>
            </w:pPr>
            <w:r>
              <w:rPr>
                <w:rFonts w:ascii="Arial" w:cs="Arial" w:eastAsia="Arial" w:hAnsi="Arial"/>
                <w:sz w:val="19"/>
                <w:szCs w:val="19"/>
                <w:color w:val="auto"/>
              </w:rPr>
              <w:t>Total Acquisitions</w:t>
            </w:r>
          </w:p>
        </w:tc>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293,048</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9"/>
                <w:szCs w:val="19"/>
                <w:color w:val="auto"/>
              </w:rPr>
              <w:t>100.0</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273,573</w:t>
            </w:r>
          </w:p>
        </w:tc>
        <w:tc>
          <w:tcPr>
            <w:tcW w:w="2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100.0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8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9"/>
                <w:szCs w:val="19"/>
                <w:color w:val="auto"/>
              </w:rPr>
              <w:t>Total</w:t>
            </w:r>
          </w:p>
        </w:tc>
        <w:tc>
          <w:tcPr>
            <w:tcW w:w="260" w:type="dxa"/>
            <w:vAlign w:val="bottom"/>
            <w:tcBorders>
              <w:top w:val="single" w:sz="8" w:color="auto"/>
              <w:bottom w:val="single" w:sz="8" w:color="auto"/>
            </w:tcBorders>
            <w:shd w:val="clear" w:color="auto" w:fill="CFF0FC"/>
          </w:tcPr>
          <w:p>
            <w:pPr>
              <w:jc w:val="right"/>
              <w:ind w:right="61"/>
              <w:spacing w:after="0"/>
              <w:rPr>
                <w:sz w:val="20"/>
                <w:szCs w:val="20"/>
                <w:color w:val="auto"/>
              </w:rPr>
            </w:pPr>
            <w:r>
              <w:rPr>
                <w:rFonts w:ascii="Arial" w:cs="Arial" w:eastAsia="Arial" w:hAnsi="Arial"/>
                <w:sz w:val="20"/>
                <w:szCs w:val="20"/>
                <w:color w:val="auto"/>
                <w:w w:val="71"/>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1,005,218</w:t>
            </w:r>
          </w:p>
        </w:tc>
        <w:tc>
          <w:tcPr>
            <w:tcW w:w="260" w:type="dxa"/>
            <w:vAlign w:val="bottom"/>
            <w:tcBorders>
              <w:top w:val="single" w:sz="8" w:color="CFF0FC"/>
              <w:bottom w:val="single" w:sz="8" w:color="CFF0FC"/>
            </w:tcBorders>
            <w:shd w:val="clear" w:color="auto" w:fill="CFF0FC"/>
          </w:tcPr>
          <w:p>
            <w:pPr>
              <w:spacing w:after="0"/>
              <w:rPr>
                <w:sz w:val="20"/>
                <w:szCs w:val="20"/>
                <w:color w:val="auto"/>
              </w:rPr>
            </w:pPr>
          </w:p>
        </w:tc>
        <w:tc>
          <w:tcPr>
            <w:tcW w:w="200" w:type="dxa"/>
            <w:vAlign w:val="bottom"/>
            <w:tcBorders>
              <w:top w:val="single" w:sz="8" w:color="auto"/>
              <w:bottom w:val="single" w:sz="8" w:color="auto"/>
            </w:tcBorders>
            <w:shd w:val="clear" w:color="auto" w:fill="CFF0FC"/>
          </w:tcPr>
          <w:p>
            <w:pPr>
              <w:spacing w:after="0"/>
              <w:rPr>
                <w:sz w:val="20"/>
                <w:szCs w:val="20"/>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100.0</w:t>
            </w:r>
          </w:p>
        </w:tc>
        <w:tc>
          <w:tcPr>
            <w:tcW w:w="180" w:type="dxa"/>
            <w:vAlign w:val="bottom"/>
            <w:tcBorders>
              <w:top w:val="single" w:sz="8" w:color="CFF0FC"/>
              <w:bottom w:val="single" w:sz="8" w:color="CFF0FC"/>
            </w:tcBorders>
            <w:shd w:val="clear" w:color="auto" w:fill="CFF0FC"/>
          </w:tcPr>
          <w:p>
            <w:pPr>
              <w:spacing w:after="0"/>
              <w:rPr>
                <w:sz w:val="20"/>
                <w:szCs w:val="20"/>
                <w:color w:val="auto"/>
              </w:rPr>
            </w:pPr>
          </w:p>
        </w:tc>
        <w:tc>
          <w:tcPr>
            <w:tcW w:w="260" w:type="dxa"/>
            <w:vAlign w:val="bottom"/>
            <w:tcBorders>
              <w:top w:val="single" w:sz="8" w:color="auto"/>
              <w:bottom w:val="single" w:sz="8" w:color="auto"/>
            </w:tcBorders>
            <w:shd w:val="clear" w:color="auto" w:fill="CFF0FC"/>
          </w:tcPr>
          <w:p>
            <w:pPr>
              <w:jc w:val="right"/>
              <w:ind w:right="61"/>
              <w:spacing w:after="0"/>
              <w:rPr>
                <w:sz w:val="20"/>
                <w:szCs w:val="20"/>
                <w:color w:val="auto"/>
              </w:rPr>
            </w:pPr>
            <w:r>
              <w:rPr>
                <w:rFonts w:ascii="Arial" w:cs="Arial" w:eastAsia="Arial" w:hAnsi="Arial"/>
                <w:sz w:val="20"/>
                <w:szCs w:val="20"/>
                <w:color w:val="auto"/>
                <w:w w:val="71"/>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917,942</w:t>
            </w:r>
          </w:p>
        </w:tc>
        <w:tc>
          <w:tcPr>
            <w:tcW w:w="260" w:type="dxa"/>
            <w:vAlign w:val="bottom"/>
            <w:tcBorders>
              <w:top w:val="single" w:sz="8" w:color="CFF0FC"/>
              <w:bottom w:val="single" w:sz="8" w:color="CFF0FC"/>
            </w:tcBorders>
            <w:shd w:val="clear" w:color="auto" w:fill="CFF0FC"/>
          </w:tcPr>
          <w:p>
            <w:pPr>
              <w:spacing w:after="0"/>
              <w:rPr>
                <w:sz w:val="20"/>
                <w:szCs w:val="20"/>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100.0</w:t>
            </w:r>
          </w:p>
        </w:tc>
        <w:tc>
          <w:tcPr>
            <w:tcW w:w="80" w:type="dxa"/>
            <w:vAlign w:val="bottom"/>
            <w:tcBorders>
              <w:top w:val="single" w:sz="8" w:color="CFF0FC"/>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880" w:type="dxa"/>
            <w:vAlign w:val="bottom"/>
            <w:shd w:val="clear" w:color="auto" w:fill="CFF0FC"/>
          </w:tcPr>
          <w:p>
            <w:pPr>
              <w:spacing w:after="0"/>
              <w:rPr>
                <w:sz w:val="20"/>
                <w:szCs w:val="20"/>
                <w:color w:val="auto"/>
              </w:rPr>
            </w:pPr>
            <w:r>
              <w:rPr>
                <w:rFonts w:ascii="Arial" w:cs="Arial" w:eastAsia="Arial" w:hAnsi="Arial"/>
                <w:sz w:val="19"/>
                <w:szCs w:val="19"/>
                <w:b w:val="1"/>
                <w:bCs w:val="1"/>
                <w:color w:val="auto"/>
              </w:rPr>
              <w:t>Gross profit (loss):</w:t>
            </w:r>
          </w:p>
        </w:tc>
        <w:tc>
          <w:tcPr>
            <w:tcW w:w="2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80" w:type="dxa"/>
            <w:vAlign w:val="bottom"/>
          </w:tcPr>
          <w:p>
            <w:pPr>
              <w:spacing w:after="0"/>
              <w:rPr>
                <w:sz w:val="20"/>
                <w:szCs w:val="20"/>
                <w:color w:val="auto"/>
              </w:rPr>
            </w:pPr>
            <w:r>
              <w:rPr>
                <w:rFonts w:ascii="Arial" w:cs="Arial" w:eastAsia="Arial" w:hAnsi="Arial"/>
                <w:sz w:val="19"/>
                <w:szCs w:val="19"/>
                <w:color w:val="auto"/>
              </w:rPr>
              <w:t>Heritage:</w:t>
            </w: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880" w:type="dxa"/>
            <w:vAlign w:val="bottom"/>
            <w:shd w:val="clear" w:color="auto" w:fill="CFF0FC"/>
          </w:tcPr>
          <w:p>
            <w:pPr>
              <w:ind w:left="480"/>
              <w:spacing w:after="0"/>
              <w:rPr>
                <w:sz w:val="20"/>
                <w:szCs w:val="20"/>
                <w:color w:val="auto"/>
              </w:rPr>
            </w:pPr>
            <w:r>
              <w:rPr>
                <w:rFonts w:ascii="Arial" w:cs="Arial" w:eastAsia="Arial" w:hAnsi="Arial"/>
                <w:sz w:val="19"/>
                <w:szCs w:val="19"/>
                <w:color w:val="auto"/>
              </w:rPr>
              <w:t>Mid-America Group</w:t>
            </w:r>
          </w:p>
        </w:tc>
        <w:tc>
          <w:tcPr>
            <w:tcW w:w="26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w w:val="71"/>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96,978</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36.6</w:t>
            </w:r>
          </w:p>
        </w:tc>
        <w:tc>
          <w:tcPr>
            <w:tcW w:w="18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w w:val="71"/>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82,929</w:t>
            </w:r>
          </w:p>
        </w:tc>
        <w:tc>
          <w:tcPr>
            <w:tcW w:w="26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33.9</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880" w:type="dxa"/>
            <w:vAlign w:val="bottom"/>
          </w:tcPr>
          <w:p>
            <w:pPr>
              <w:ind w:left="480"/>
              <w:spacing w:after="0"/>
              <w:rPr>
                <w:sz w:val="20"/>
                <w:szCs w:val="20"/>
                <w:color w:val="auto"/>
              </w:rPr>
            </w:pPr>
            <w:r>
              <w:rPr>
                <w:rFonts w:ascii="Arial" w:cs="Arial" w:eastAsia="Arial" w:hAnsi="Arial"/>
                <w:sz w:val="19"/>
                <w:szCs w:val="19"/>
                <w:color w:val="auto"/>
              </w:rPr>
              <w:t>Southeast Group</w:t>
            </w: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11,468</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14.6</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4,650</w:t>
            </w: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6.8</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880" w:type="dxa"/>
            <w:vAlign w:val="bottom"/>
            <w:shd w:val="clear" w:color="auto" w:fill="CFF0FC"/>
          </w:tcPr>
          <w:p>
            <w:pPr>
              <w:ind w:left="480"/>
              <w:spacing w:after="0"/>
              <w:rPr>
                <w:sz w:val="20"/>
                <w:szCs w:val="20"/>
                <w:color w:val="auto"/>
              </w:rPr>
            </w:pPr>
            <w:r>
              <w:rPr>
                <w:rFonts w:ascii="Arial" w:cs="Arial" w:eastAsia="Arial" w:hAnsi="Arial"/>
                <w:sz w:val="19"/>
                <w:szCs w:val="19"/>
                <w:color w:val="auto"/>
              </w:rPr>
              <w:t>West Group</w:t>
            </w:r>
          </w:p>
        </w:tc>
        <w:tc>
          <w:tcPr>
            <w:tcW w:w="26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78,822</w:t>
            </w:r>
          </w:p>
        </w:tc>
        <w:tc>
          <w:tcPr>
            <w:tcW w:w="260" w:type="dxa"/>
            <w:vAlign w:val="bottom"/>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25.3</w:t>
            </w:r>
          </w:p>
        </w:tc>
        <w:tc>
          <w:tcPr>
            <w:tcW w:w="180" w:type="dxa"/>
            <w:vAlign w:val="bottom"/>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54,596</w:t>
            </w:r>
          </w:p>
        </w:tc>
        <w:tc>
          <w:tcPr>
            <w:tcW w:w="260" w:type="dxa"/>
            <w:vAlign w:val="bottom"/>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20.0</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880" w:type="dxa"/>
            <w:vAlign w:val="bottom"/>
          </w:tcPr>
          <w:p>
            <w:pPr>
              <w:ind w:left="240"/>
              <w:spacing w:after="0"/>
              <w:rPr>
                <w:sz w:val="20"/>
                <w:szCs w:val="20"/>
                <w:color w:val="auto"/>
              </w:rPr>
            </w:pPr>
            <w:r>
              <w:rPr>
                <w:rFonts w:ascii="Arial" w:cs="Arial" w:eastAsia="Arial" w:hAnsi="Arial"/>
                <w:sz w:val="19"/>
                <w:szCs w:val="19"/>
                <w:color w:val="auto"/>
              </w:rPr>
              <w:t>Total Heritage Aggregates Business</w:t>
            </w:r>
          </w:p>
        </w:tc>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187,268</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28.6</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142,175</w:t>
            </w:r>
          </w:p>
        </w:tc>
        <w:tc>
          <w:tcPr>
            <w:tcW w:w="2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24.3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880" w:type="dxa"/>
            <w:vAlign w:val="bottom"/>
            <w:shd w:val="clear" w:color="auto" w:fill="CFF0FC"/>
          </w:tcPr>
          <w:p>
            <w:pPr>
              <w:ind w:left="240"/>
              <w:spacing w:after="0"/>
              <w:rPr>
                <w:sz w:val="20"/>
                <w:szCs w:val="20"/>
                <w:color w:val="auto"/>
              </w:rPr>
            </w:pPr>
            <w:r>
              <w:rPr>
                <w:rFonts w:ascii="Arial" w:cs="Arial" w:eastAsia="Arial" w:hAnsi="Arial"/>
                <w:sz w:val="19"/>
                <w:szCs w:val="19"/>
                <w:color w:val="auto"/>
              </w:rPr>
              <w:t>Magnesia Specialties</w:t>
            </w:r>
          </w:p>
        </w:tc>
        <w:tc>
          <w:tcPr>
            <w:tcW w:w="2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19,391</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33.9</w:t>
            </w:r>
          </w:p>
        </w:tc>
        <w:tc>
          <w:tcPr>
            <w:tcW w:w="1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20,043</w:t>
            </w:r>
          </w:p>
        </w:tc>
        <w:tc>
          <w:tcPr>
            <w:tcW w:w="26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34.2</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880" w:type="dxa"/>
            <w:vAlign w:val="bottom"/>
          </w:tcPr>
          <w:p>
            <w:pPr>
              <w:ind w:left="240"/>
              <w:spacing w:after="0"/>
              <w:rPr>
                <w:sz w:val="20"/>
                <w:szCs w:val="20"/>
                <w:color w:val="auto"/>
              </w:rPr>
            </w:pPr>
            <w:r>
              <w:rPr>
                <w:rFonts w:ascii="Arial" w:cs="Arial" w:eastAsia="Arial" w:hAnsi="Arial"/>
                <w:sz w:val="19"/>
                <w:szCs w:val="19"/>
                <w:color w:val="auto"/>
              </w:rPr>
              <w:t>Corporate</w:t>
            </w:r>
          </w:p>
        </w:tc>
        <w:tc>
          <w:tcPr>
            <w:tcW w:w="260" w:type="dxa"/>
            <w:vAlign w:val="bottom"/>
          </w:tcPr>
          <w:p>
            <w:pPr>
              <w:spacing w:after="0"/>
              <w:rPr>
                <w:sz w:val="21"/>
                <w:szCs w:val="21"/>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20"/>
                <w:szCs w:val="20"/>
                <w:color w:val="auto"/>
              </w:rPr>
              <w:t>(6,537)</w:t>
            </w:r>
          </w:p>
        </w:tc>
        <w:tc>
          <w:tcPr>
            <w:tcW w:w="20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9"/>
                <w:szCs w:val="19"/>
                <w:color w:val="auto"/>
              </w:rPr>
              <w:t>—</w:t>
            </w:r>
          </w:p>
        </w:tc>
        <w:tc>
          <w:tcPr>
            <w:tcW w:w="260" w:type="dxa"/>
            <w:vAlign w:val="bottom"/>
          </w:tcPr>
          <w:p>
            <w:pPr>
              <w:spacing w:after="0"/>
              <w:rPr>
                <w:sz w:val="21"/>
                <w:szCs w:val="21"/>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20"/>
                <w:szCs w:val="20"/>
                <w:color w:val="auto"/>
              </w:rPr>
              <w:t>(248)</w:t>
            </w:r>
          </w:p>
        </w:tc>
        <w:tc>
          <w:tcPr>
            <w:tcW w:w="1420" w:type="dxa"/>
            <w:vAlign w:val="bottom"/>
            <w:gridSpan w:val="2"/>
          </w:tcPr>
          <w:p>
            <w:pPr>
              <w:jc w:val="right"/>
              <w:ind w:right="100"/>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9"/>
                <w:szCs w:val="19"/>
                <w:color w:val="auto"/>
              </w:rPr>
              <w:t>Total Heritage Consolidated</w:t>
            </w:r>
          </w:p>
        </w:tc>
        <w:tc>
          <w:tcPr>
            <w:tcW w:w="260" w:type="dxa"/>
            <w:vAlign w:val="bottom"/>
            <w:tcBorders>
              <w:top w:val="single" w:sz="8" w:color="auto"/>
              <w:bottom w:val="single" w:sz="8" w:color="auto"/>
            </w:tcBorders>
            <w:shd w:val="clear" w:color="auto" w:fill="CFF0FC"/>
          </w:tcPr>
          <w:p>
            <w:pPr>
              <w:spacing w:after="0"/>
              <w:rPr>
                <w:sz w:val="20"/>
                <w:szCs w:val="20"/>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200,122</w:t>
            </w:r>
          </w:p>
        </w:tc>
        <w:tc>
          <w:tcPr>
            <w:tcW w:w="260" w:type="dxa"/>
            <w:vAlign w:val="bottom"/>
            <w:tcBorders>
              <w:top w:val="single" w:sz="8" w:color="CFF0FC"/>
            </w:tcBorders>
            <w:shd w:val="clear" w:color="auto" w:fill="CFF0FC"/>
          </w:tcPr>
          <w:p>
            <w:pPr>
              <w:spacing w:after="0"/>
              <w:rPr>
                <w:sz w:val="20"/>
                <w:szCs w:val="20"/>
                <w:color w:val="auto"/>
              </w:rPr>
            </w:pPr>
          </w:p>
        </w:tc>
        <w:tc>
          <w:tcPr>
            <w:tcW w:w="200" w:type="dxa"/>
            <w:vAlign w:val="bottom"/>
            <w:tcBorders>
              <w:top w:val="single" w:sz="8" w:color="auto"/>
              <w:bottom w:val="single" w:sz="8" w:color="auto"/>
            </w:tcBorders>
            <w:shd w:val="clear" w:color="auto" w:fill="CFF0FC"/>
          </w:tcPr>
          <w:p>
            <w:pPr>
              <w:spacing w:after="0"/>
              <w:rPr>
                <w:sz w:val="20"/>
                <w:szCs w:val="20"/>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28.1</w:t>
            </w:r>
          </w:p>
        </w:tc>
        <w:tc>
          <w:tcPr>
            <w:tcW w:w="180" w:type="dxa"/>
            <w:vAlign w:val="bottom"/>
            <w:tcBorders>
              <w:top w:val="single" w:sz="8" w:color="CFF0FC"/>
            </w:tcBorders>
            <w:shd w:val="clear" w:color="auto" w:fill="CFF0FC"/>
          </w:tcPr>
          <w:p>
            <w:pPr>
              <w:spacing w:after="0"/>
              <w:rPr>
                <w:sz w:val="20"/>
                <w:szCs w:val="20"/>
                <w:color w:val="auto"/>
              </w:rPr>
            </w:pPr>
          </w:p>
        </w:tc>
        <w:tc>
          <w:tcPr>
            <w:tcW w:w="260" w:type="dxa"/>
            <w:vAlign w:val="bottom"/>
            <w:tcBorders>
              <w:top w:val="single" w:sz="8" w:color="auto"/>
              <w:bottom w:val="single" w:sz="8" w:color="auto"/>
            </w:tcBorders>
            <w:shd w:val="clear" w:color="auto" w:fill="CFF0FC"/>
          </w:tcPr>
          <w:p>
            <w:pPr>
              <w:spacing w:after="0"/>
              <w:rPr>
                <w:sz w:val="20"/>
                <w:szCs w:val="20"/>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161,970</w:t>
            </w:r>
          </w:p>
        </w:tc>
        <w:tc>
          <w:tcPr>
            <w:tcW w:w="260" w:type="dxa"/>
            <w:vAlign w:val="bottom"/>
            <w:tcBorders>
              <w:top w:val="single" w:sz="8" w:color="CFF0FC"/>
            </w:tcBorders>
            <w:shd w:val="clear" w:color="auto" w:fill="CFF0FC"/>
          </w:tcPr>
          <w:p>
            <w:pPr>
              <w:spacing w:after="0"/>
              <w:rPr>
                <w:sz w:val="20"/>
                <w:szCs w:val="20"/>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25.1</w:t>
            </w:r>
          </w:p>
        </w:tc>
        <w:tc>
          <w:tcPr>
            <w:tcW w:w="80" w:type="dxa"/>
            <w:vAlign w:val="bottom"/>
            <w:tcBorders>
              <w:top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900" w:type="dxa"/>
            <w:vAlign w:val="bottom"/>
            <w:gridSpan w:val="2"/>
          </w:tcPr>
          <w:p>
            <w:pPr>
              <w:spacing w:after="0"/>
              <w:rPr>
                <w:sz w:val="20"/>
                <w:szCs w:val="20"/>
                <w:color w:val="auto"/>
              </w:rPr>
            </w:pPr>
            <w:r>
              <w:rPr>
                <w:rFonts w:ascii="Arial" w:cs="Arial" w:eastAsia="Arial" w:hAnsi="Arial"/>
                <w:sz w:val="19"/>
                <w:szCs w:val="19"/>
                <w:color w:val="auto"/>
              </w:rPr>
              <w:t>Acquisitions:</w:t>
            </w: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880" w:type="dxa"/>
            <w:vAlign w:val="bottom"/>
            <w:shd w:val="clear" w:color="auto" w:fill="CFF0FC"/>
          </w:tcPr>
          <w:p>
            <w:pPr>
              <w:ind w:left="240"/>
              <w:spacing w:after="0"/>
              <w:rPr>
                <w:sz w:val="20"/>
                <w:szCs w:val="20"/>
                <w:color w:val="auto"/>
              </w:rPr>
            </w:pPr>
            <w:r>
              <w:rPr>
                <w:rFonts w:ascii="Arial" w:cs="Arial" w:eastAsia="Arial" w:hAnsi="Arial"/>
                <w:sz w:val="19"/>
                <w:szCs w:val="19"/>
                <w:color w:val="auto"/>
              </w:rPr>
              <w:t>Aggregates Business – Mid-America Group</w:t>
            </w:r>
          </w:p>
        </w:tc>
        <w:tc>
          <w:tcPr>
            <w:tcW w:w="2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409</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39.7</w:t>
            </w:r>
          </w:p>
        </w:tc>
        <w:tc>
          <w:tcPr>
            <w:tcW w:w="1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260"/>
              <w:spacing w:after="0"/>
              <w:rPr>
                <w:sz w:val="20"/>
                <w:szCs w:val="20"/>
                <w:color w:val="auto"/>
              </w:rPr>
            </w:pPr>
            <w:r>
              <w:rPr>
                <w:rFonts w:ascii="Arial" w:cs="Arial" w:eastAsia="Arial" w:hAnsi="Arial"/>
                <w:sz w:val="19"/>
                <w:szCs w:val="19"/>
                <w:color w:val="auto"/>
              </w:rPr>
              <w:t>—</w:t>
            </w:r>
          </w:p>
        </w:tc>
        <w:tc>
          <w:tcPr>
            <w:tcW w:w="1420" w:type="dxa"/>
            <w:vAlign w:val="bottom"/>
            <w:gridSpan w:val="2"/>
            <w:shd w:val="clear" w:color="auto" w:fill="CFF0FC"/>
          </w:tcPr>
          <w:p>
            <w:pPr>
              <w:jc w:val="right"/>
              <w:ind w:right="100"/>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880" w:type="dxa"/>
            <w:vAlign w:val="bottom"/>
          </w:tcPr>
          <w:p>
            <w:pPr>
              <w:ind w:left="240"/>
              <w:spacing w:after="0"/>
              <w:rPr>
                <w:sz w:val="20"/>
                <w:szCs w:val="20"/>
                <w:color w:val="auto"/>
              </w:rPr>
            </w:pPr>
            <w:r>
              <w:rPr>
                <w:rFonts w:ascii="Arial" w:cs="Arial" w:eastAsia="Arial" w:hAnsi="Arial"/>
                <w:sz w:val="19"/>
                <w:szCs w:val="19"/>
                <w:color w:val="auto"/>
              </w:rPr>
              <w:t>Aggregates Business – West Group</w:t>
            </w: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24,103</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13.3</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9,983</w:t>
            </w: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6.1</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880" w:type="dxa"/>
            <w:vAlign w:val="bottom"/>
            <w:shd w:val="clear" w:color="auto" w:fill="CFF0FC"/>
          </w:tcPr>
          <w:p>
            <w:pPr>
              <w:ind w:left="240"/>
              <w:spacing w:after="0"/>
              <w:rPr>
                <w:sz w:val="20"/>
                <w:szCs w:val="20"/>
                <w:color w:val="auto"/>
              </w:rPr>
            </w:pPr>
            <w:r>
              <w:rPr>
                <w:rFonts w:ascii="Arial" w:cs="Arial" w:eastAsia="Arial" w:hAnsi="Arial"/>
                <w:sz w:val="19"/>
                <w:szCs w:val="19"/>
                <w:color w:val="auto"/>
              </w:rPr>
              <w:t>Cement</w:t>
            </w:r>
          </w:p>
        </w:tc>
        <w:tc>
          <w:tcPr>
            <w:tcW w:w="2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38,244</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34.6</w:t>
            </w:r>
          </w:p>
        </w:tc>
        <w:tc>
          <w:tcPr>
            <w:tcW w:w="1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24,194</w:t>
            </w:r>
          </w:p>
        </w:tc>
        <w:tc>
          <w:tcPr>
            <w:tcW w:w="26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22.1</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880" w:type="dxa"/>
            <w:vAlign w:val="bottom"/>
          </w:tcPr>
          <w:p>
            <w:pPr>
              <w:ind w:left="240"/>
              <w:spacing w:after="0"/>
              <w:rPr>
                <w:sz w:val="20"/>
                <w:szCs w:val="20"/>
                <w:color w:val="auto"/>
              </w:rPr>
            </w:pPr>
            <w:r>
              <w:rPr>
                <w:rFonts w:ascii="Arial" w:cs="Arial" w:eastAsia="Arial" w:hAnsi="Arial"/>
                <w:sz w:val="19"/>
                <w:szCs w:val="19"/>
                <w:color w:val="auto"/>
              </w:rPr>
              <w:t>Corporate</w:t>
            </w:r>
          </w:p>
        </w:tc>
        <w:tc>
          <w:tcPr>
            <w:tcW w:w="260" w:type="dxa"/>
            <w:vAlign w:val="bottom"/>
          </w:tcPr>
          <w:p>
            <w:pPr>
              <w:spacing w:after="0"/>
              <w:rPr>
                <w:sz w:val="21"/>
                <w:szCs w:val="21"/>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20"/>
                <w:szCs w:val="20"/>
                <w:color w:val="auto"/>
              </w:rPr>
              <w:t>(373)</w:t>
            </w:r>
          </w:p>
        </w:tc>
        <w:tc>
          <w:tcPr>
            <w:tcW w:w="20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9"/>
                <w:szCs w:val="19"/>
                <w:color w:val="auto"/>
              </w:rPr>
              <w:t>—</w:t>
            </w:r>
          </w:p>
        </w:tc>
        <w:tc>
          <w:tcPr>
            <w:tcW w:w="260" w:type="dxa"/>
            <w:vAlign w:val="bottom"/>
          </w:tcPr>
          <w:p>
            <w:pPr>
              <w:spacing w:after="0"/>
              <w:rPr>
                <w:sz w:val="21"/>
                <w:szCs w:val="21"/>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20"/>
                <w:szCs w:val="20"/>
                <w:color w:val="auto"/>
              </w:rPr>
              <w:t>(554)</w:t>
            </w:r>
          </w:p>
        </w:tc>
        <w:tc>
          <w:tcPr>
            <w:tcW w:w="1420" w:type="dxa"/>
            <w:vAlign w:val="bottom"/>
            <w:gridSpan w:val="2"/>
          </w:tcPr>
          <w:p>
            <w:pPr>
              <w:jc w:val="right"/>
              <w:ind w:right="100"/>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9"/>
                <w:szCs w:val="19"/>
                <w:color w:val="auto"/>
              </w:rPr>
              <w:t>Total Acquisitions</w:t>
            </w:r>
          </w:p>
        </w:tc>
        <w:tc>
          <w:tcPr>
            <w:tcW w:w="260" w:type="dxa"/>
            <w:vAlign w:val="bottom"/>
            <w:tcBorders>
              <w:top w:val="single" w:sz="8" w:color="auto"/>
              <w:bottom w:val="single" w:sz="8" w:color="auto"/>
            </w:tcBorders>
            <w:shd w:val="clear" w:color="auto" w:fill="CFF0FC"/>
          </w:tcPr>
          <w:p>
            <w:pPr>
              <w:spacing w:after="0"/>
              <w:rPr>
                <w:sz w:val="20"/>
                <w:szCs w:val="20"/>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62,383</w:t>
            </w:r>
          </w:p>
        </w:tc>
        <w:tc>
          <w:tcPr>
            <w:tcW w:w="260" w:type="dxa"/>
            <w:vAlign w:val="bottom"/>
            <w:tcBorders>
              <w:top w:val="single" w:sz="8" w:color="CFF0FC"/>
            </w:tcBorders>
            <w:shd w:val="clear" w:color="auto" w:fill="CFF0FC"/>
          </w:tcPr>
          <w:p>
            <w:pPr>
              <w:spacing w:after="0"/>
              <w:rPr>
                <w:sz w:val="20"/>
                <w:szCs w:val="20"/>
                <w:color w:val="auto"/>
              </w:rPr>
            </w:pPr>
          </w:p>
        </w:tc>
        <w:tc>
          <w:tcPr>
            <w:tcW w:w="200" w:type="dxa"/>
            <w:vAlign w:val="bottom"/>
            <w:tcBorders>
              <w:top w:val="single" w:sz="8" w:color="auto"/>
              <w:bottom w:val="single" w:sz="8" w:color="auto"/>
            </w:tcBorders>
            <w:shd w:val="clear" w:color="auto" w:fill="CFF0FC"/>
          </w:tcPr>
          <w:p>
            <w:pPr>
              <w:spacing w:after="0"/>
              <w:rPr>
                <w:sz w:val="20"/>
                <w:szCs w:val="20"/>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21.3</w:t>
            </w:r>
          </w:p>
        </w:tc>
        <w:tc>
          <w:tcPr>
            <w:tcW w:w="180" w:type="dxa"/>
            <w:vAlign w:val="bottom"/>
            <w:tcBorders>
              <w:top w:val="single" w:sz="8" w:color="CFF0FC"/>
            </w:tcBorders>
            <w:shd w:val="clear" w:color="auto" w:fill="CFF0FC"/>
          </w:tcPr>
          <w:p>
            <w:pPr>
              <w:spacing w:after="0"/>
              <w:rPr>
                <w:sz w:val="20"/>
                <w:szCs w:val="20"/>
                <w:color w:val="auto"/>
              </w:rPr>
            </w:pPr>
          </w:p>
        </w:tc>
        <w:tc>
          <w:tcPr>
            <w:tcW w:w="260" w:type="dxa"/>
            <w:vAlign w:val="bottom"/>
            <w:tcBorders>
              <w:top w:val="single" w:sz="8" w:color="auto"/>
              <w:bottom w:val="single" w:sz="8" w:color="auto"/>
            </w:tcBorders>
            <w:shd w:val="clear" w:color="auto" w:fill="CFF0FC"/>
          </w:tcPr>
          <w:p>
            <w:pPr>
              <w:spacing w:after="0"/>
              <w:rPr>
                <w:sz w:val="20"/>
                <w:szCs w:val="20"/>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33,623</w:t>
            </w:r>
          </w:p>
        </w:tc>
        <w:tc>
          <w:tcPr>
            <w:tcW w:w="260" w:type="dxa"/>
            <w:vAlign w:val="bottom"/>
            <w:tcBorders>
              <w:top w:val="single" w:sz="8" w:color="CFF0FC"/>
            </w:tcBorders>
            <w:shd w:val="clear" w:color="auto" w:fill="CFF0FC"/>
          </w:tcPr>
          <w:p>
            <w:pPr>
              <w:spacing w:after="0"/>
              <w:rPr>
                <w:sz w:val="20"/>
                <w:szCs w:val="20"/>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12.3</w:t>
            </w:r>
          </w:p>
        </w:tc>
        <w:tc>
          <w:tcPr>
            <w:tcW w:w="80" w:type="dxa"/>
            <w:vAlign w:val="bottom"/>
            <w:tcBorders>
              <w:top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900" w:type="dxa"/>
            <w:vAlign w:val="bottom"/>
            <w:gridSpan w:val="2"/>
          </w:tcPr>
          <w:p>
            <w:pPr>
              <w:spacing w:after="0"/>
              <w:rPr>
                <w:sz w:val="20"/>
                <w:szCs w:val="20"/>
                <w:color w:val="auto"/>
              </w:rPr>
            </w:pPr>
            <w:r>
              <w:rPr>
                <w:rFonts w:ascii="Arial" w:cs="Arial" w:eastAsia="Arial" w:hAnsi="Arial"/>
                <w:sz w:val="19"/>
                <w:szCs w:val="19"/>
                <w:color w:val="auto"/>
              </w:rPr>
              <w:t>Total</w:t>
            </w:r>
          </w:p>
        </w:tc>
        <w:tc>
          <w:tcPr>
            <w:tcW w:w="26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262,505</w:t>
            </w:r>
          </w:p>
        </w:tc>
        <w:tc>
          <w:tcPr>
            <w:tcW w:w="2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26.1</w:t>
            </w:r>
          </w:p>
        </w:tc>
        <w:tc>
          <w:tcPr>
            <w:tcW w:w="180" w:type="dxa"/>
            <w:vAlign w:val="bottom"/>
          </w:tcPr>
          <w:p>
            <w:pPr>
              <w:spacing w:after="0"/>
              <w:rPr>
                <w:sz w:val="20"/>
                <w:szCs w:val="20"/>
                <w:color w:val="auto"/>
              </w:rPr>
            </w:pPr>
          </w:p>
        </w:tc>
        <w:tc>
          <w:tcPr>
            <w:tcW w:w="26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195,593</w:t>
            </w:r>
          </w:p>
        </w:tc>
        <w:tc>
          <w:tcPr>
            <w:tcW w:w="260" w:type="dxa"/>
            <w:vAlign w:val="bottom"/>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21.3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33 of 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3" w:name="page34"/>
    <w:bookmarkEnd w:id="33"/>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September 30, 2015</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rPr>
          <w:sz w:val="20"/>
          <w:szCs w:val="20"/>
          <w:color w:val="auto"/>
        </w:rPr>
      </w:pPr>
      <w:r>
        <w:rPr>
          <w:rFonts w:ascii="Arial" w:cs="Arial" w:eastAsia="Arial" w:hAnsi="Arial"/>
          <w:sz w:val="20"/>
          <w:szCs w:val="20"/>
          <w:color w:val="auto"/>
        </w:rPr>
        <w:t>Third Quarter Ended September 30, 2015</w:t>
      </w:r>
    </w:p>
    <w:p>
      <w:pPr>
        <w:jc w:val="center"/>
        <w:spacing w:after="0"/>
        <w:rPr>
          <w:sz w:val="20"/>
          <w:szCs w:val="20"/>
          <w:color w:val="auto"/>
        </w:rPr>
      </w:pPr>
      <w:r>
        <w:rPr>
          <w:rFonts w:ascii="Arial" w:cs="Arial" w:eastAsia="Arial" w:hAnsi="Arial"/>
          <w:sz w:val="20"/>
          <w:szCs w:val="20"/>
          <w:color w:val="auto"/>
        </w:rPr>
        <w:t>(Continued)</w:t>
      </w: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20" w:type="dxa"/>
            <w:vAlign w:val="bottom"/>
          </w:tcPr>
          <w:p>
            <w:pPr>
              <w:spacing w:after="0"/>
              <w:rPr>
                <w:sz w:val="21"/>
                <w:szCs w:val="21"/>
                <w:color w:val="auto"/>
              </w:rPr>
            </w:pPr>
          </w:p>
        </w:tc>
        <w:tc>
          <w:tcPr>
            <w:tcW w:w="4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3320" w:type="dxa"/>
            <w:vAlign w:val="bottom"/>
            <w:tcBorders>
              <w:bottom w:val="single" w:sz="8" w:color="auto"/>
            </w:tcBorders>
            <w:gridSpan w:val="6"/>
          </w:tcPr>
          <w:p>
            <w:pPr>
              <w:jc w:val="right"/>
              <w:ind w:right="460"/>
              <w:spacing w:after="0"/>
              <w:rPr>
                <w:sz w:val="20"/>
                <w:szCs w:val="20"/>
                <w:color w:val="auto"/>
              </w:rPr>
            </w:pPr>
            <w:r>
              <w:rPr>
                <w:rFonts w:ascii="Arial" w:cs="Arial" w:eastAsia="Arial" w:hAnsi="Arial"/>
                <w:sz w:val="20"/>
                <w:szCs w:val="20"/>
                <w:color w:val="auto"/>
                <w:w w:val="87"/>
              </w:rPr>
              <w:t>Three Months Ended September 30,</w:t>
            </w:r>
          </w:p>
        </w:tc>
        <w:tc>
          <w:tcPr>
            <w:tcW w:w="134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9"/>
                <w:szCs w:val="19"/>
                <w:color w:val="auto"/>
              </w:rPr>
              <w:t>2015</w:t>
            </w:r>
          </w:p>
        </w:tc>
        <w:tc>
          <w:tcPr>
            <w:tcW w:w="10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9"/>
                <w:szCs w:val="19"/>
                <w:color w:val="auto"/>
              </w:rPr>
              <w:t>2014</w:t>
            </w:r>
          </w:p>
        </w:tc>
        <w:tc>
          <w:tcPr>
            <w:tcW w:w="134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40" w:type="dxa"/>
            <w:vAlign w:val="bottom"/>
          </w:tcPr>
          <w:p>
            <w:pPr>
              <w:jc w:val="center"/>
              <w:ind w:left="224"/>
              <w:spacing w:after="0" w:line="201" w:lineRule="exact"/>
              <w:rPr>
                <w:sz w:val="20"/>
                <w:szCs w:val="20"/>
                <w:color w:val="auto"/>
              </w:rPr>
            </w:pPr>
            <w:r>
              <w:rPr>
                <w:rFonts w:ascii="Arial" w:cs="Arial" w:eastAsia="Arial" w:hAnsi="Arial"/>
                <w:sz w:val="19"/>
                <w:szCs w:val="19"/>
                <w:color w:val="auto"/>
                <w:w w:val="94"/>
              </w:rPr>
              <w:t>% of</w:t>
            </w: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jc w:val="center"/>
              <w:spacing w:after="0" w:line="201" w:lineRule="exact"/>
              <w:rPr>
                <w:sz w:val="20"/>
                <w:szCs w:val="20"/>
                <w:color w:val="auto"/>
              </w:rPr>
            </w:pPr>
            <w:r>
              <w:rPr>
                <w:rFonts w:ascii="Arial" w:cs="Arial" w:eastAsia="Arial" w:hAnsi="Arial"/>
                <w:sz w:val="19"/>
                <w:szCs w:val="19"/>
                <w:color w:val="auto"/>
                <w:w w:val="94"/>
              </w:rPr>
              <w:t>% of</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20" w:type="dxa"/>
            <w:vAlign w:val="bottom"/>
            <w:gridSpan w:val="3"/>
          </w:tcPr>
          <w:p>
            <w:pPr>
              <w:jc w:val="right"/>
              <w:ind w:right="740"/>
              <w:spacing w:after="0"/>
              <w:rPr>
                <w:sz w:val="20"/>
                <w:szCs w:val="20"/>
                <w:color w:val="auto"/>
              </w:rPr>
            </w:pPr>
            <w:r>
              <w:rPr>
                <w:rFonts w:ascii="Arial" w:cs="Arial" w:eastAsia="Arial" w:hAnsi="Arial"/>
                <w:sz w:val="19"/>
                <w:szCs w:val="19"/>
                <w:color w:val="auto"/>
              </w:rPr>
              <w:t>Amount</w:t>
            </w:r>
          </w:p>
        </w:tc>
        <w:tc>
          <w:tcPr>
            <w:tcW w:w="1040" w:type="dxa"/>
            <w:vAlign w:val="bottom"/>
          </w:tcPr>
          <w:p>
            <w:pPr>
              <w:jc w:val="center"/>
              <w:ind w:left="224"/>
              <w:spacing w:after="0"/>
              <w:rPr>
                <w:sz w:val="20"/>
                <w:szCs w:val="20"/>
                <w:color w:val="auto"/>
              </w:rPr>
            </w:pPr>
            <w:r>
              <w:rPr>
                <w:rFonts w:ascii="Arial" w:cs="Arial" w:eastAsia="Arial" w:hAnsi="Arial"/>
                <w:sz w:val="19"/>
                <w:szCs w:val="19"/>
                <w:color w:val="auto"/>
                <w:w w:val="87"/>
              </w:rPr>
              <w:t>Net Sales</w:t>
            </w: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60" w:type="dxa"/>
            <w:vAlign w:val="bottom"/>
            <w:gridSpan w:val="2"/>
          </w:tcPr>
          <w:p>
            <w:pPr>
              <w:jc w:val="right"/>
              <w:ind w:right="680"/>
              <w:spacing w:after="0"/>
              <w:rPr>
                <w:sz w:val="20"/>
                <w:szCs w:val="20"/>
                <w:color w:val="auto"/>
              </w:rPr>
            </w:pPr>
            <w:r>
              <w:rPr>
                <w:rFonts w:ascii="Arial" w:cs="Arial" w:eastAsia="Arial" w:hAnsi="Arial"/>
                <w:sz w:val="19"/>
                <w:szCs w:val="19"/>
                <w:color w:val="auto"/>
              </w:rPr>
              <w:t>Amount</w:t>
            </w:r>
          </w:p>
        </w:tc>
        <w:tc>
          <w:tcPr>
            <w:tcW w:w="1400" w:type="dxa"/>
            <w:vAlign w:val="bottom"/>
            <w:gridSpan w:val="2"/>
          </w:tcPr>
          <w:p>
            <w:pPr>
              <w:jc w:val="center"/>
              <w:ind w:right="80"/>
              <w:spacing w:after="0"/>
              <w:rPr>
                <w:sz w:val="20"/>
                <w:szCs w:val="20"/>
                <w:color w:val="auto"/>
              </w:rPr>
            </w:pPr>
            <w:r>
              <w:rPr>
                <w:rFonts w:ascii="Arial" w:cs="Arial" w:eastAsia="Arial" w:hAnsi="Arial"/>
                <w:sz w:val="19"/>
                <w:szCs w:val="19"/>
                <w:color w:val="auto"/>
                <w:w w:val="87"/>
              </w:rPr>
              <w:t>Net Sales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3320" w:type="dxa"/>
            <w:vAlign w:val="bottom"/>
            <w:tcBorders>
              <w:top w:val="single" w:sz="8" w:color="auto"/>
            </w:tcBorders>
            <w:gridSpan w:val="6"/>
          </w:tcPr>
          <w:p>
            <w:pPr>
              <w:jc w:val="right"/>
              <w:ind w:right="1020"/>
              <w:spacing w:after="0"/>
              <w:rPr>
                <w:sz w:val="20"/>
                <w:szCs w:val="20"/>
                <w:color w:val="auto"/>
              </w:rPr>
            </w:pPr>
            <w:r>
              <w:rPr>
                <w:rFonts w:ascii="Arial" w:cs="Arial" w:eastAsia="Arial" w:hAnsi="Arial"/>
                <w:sz w:val="19"/>
                <w:szCs w:val="19"/>
                <w:i w:val="1"/>
                <w:iCs w:val="1"/>
                <w:color w:val="auto"/>
              </w:rPr>
              <w:t>(Dollars in Thousands)</w:t>
            </w:r>
          </w:p>
        </w:tc>
        <w:tc>
          <w:tcPr>
            <w:tcW w:w="13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shd w:val="clear" w:color="auto" w:fill="CFF0FC"/>
          </w:tcPr>
          <w:p>
            <w:pPr>
              <w:spacing w:after="0"/>
              <w:rPr>
                <w:sz w:val="20"/>
                <w:szCs w:val="20"/>
                <w:color w:val="auto"/>
              </w:rPr>
            </w:pPr>
            <w:r>
              <w:rPr>
                <w:rFonts w:ascii="Arial" w:cs="Arial" w:eastAsia="Arial" w:hAnsi="Arial"/>
                <w:sz w:val="19"/>
                <w:szCs w:val="19"/>
                <w:b w:val="1"/>
                <w:bCs w:val="1"/>
                <w:color w:val="auto"/>
              </w:rPr>
              <w:t>Selling, general &amp; administrative expenses:</w:t>
            </w:r>
          </w:p>
        </w:tc>
        <w:tc>
          <w:tcPr>
            <w:tcW w:w="6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Arial" w:cs="Arial" w:eastAsia="Arial" w:hAnsi="Arial"/>
                <w:sz w:val="19"/>
                <w:szCs w:val="19"/>
                <w:color w:val="auto"/>
              </w:rPr>
              <w:t>Heritage:</w:t>
            </w: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20" w:type="dxa"/>
            <w:vAlign w:val="bottom"/>
            <w:shd w:val="clear" w:color="auto" w:fill="CFF0FC"/>
          </w:tcPr>
          <w:p>
            <w:pPr>
              <w:ind w:left="480"/>
              <w:spacing w:after="0"/>
              <w:rPr>
                <w:sz w:val="20"/>
                <w:szCs w:val="20"/>
                <w:color w:val="auto"/>
              </w:rPr>
            </w:pPr>
            <w:r>
              <w:rPr>
                <w:rFonts w:ascii="Arial" w:cs="Arial" w:eastAsia="Arial" w:hAnsi="Arial"/>
                <w:sz w:val="19"/>
                <w:szCs w:val="19"/>
                <w:color w:val="auto"/>
              </w:rPr>
              <w:t>Mid-America Group</w:t>
            </w:r>
          </w:p>
        </w:tc>
        <w:tc>
          <w:tcPr>
            <w:tcW w:w="940" w:type="dxa"/>
            <w:vAlign w:val="bottom"/>
            <w:gridSpan w:val="2"/>
            <w:shd w:val="clear" w:color="auto" w:fill="CFF0FC"/>
          </w:tcPr>
          <w:p>
            <w:pPr>
              <w:jc w:val="right"/>
              <w:ind w:right="103"/>
              <w:spacing w:after="0"/>
              <w:rPr>
                <w:sz w:val="20"/>
                <w:szCs w:val="20"/>
                <w:color w:val="auto"/>
              </w:rPr>
            </w:pPr>
            <w:r>
              <w:rPr>
                <w:rFonts w:ascii="Arial" w:cs="Arial" w:eastAsia="Arial" w:hAnsi="Arial"/>
                <w:sz w:val="20"/>
                <w:szCs w:val="20"/>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12,937</w:t>
            </w:r>
          </w:p>
        </w:tc>
        <w:tc>
          <w:tcPr>
            <w:tcW w:w="26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440" w:type="dxa"/>
            <w:vAlign w:val="bottom"/>
            <w:gridSpan w:val="2"/>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12,943</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20" w:type="dxa"/>
            <w:vAlign w:val="bottom"/>
          </w:tcPr>
          <w:p>
            <w:pPr>
              <w:ind w:left="480"/>
              <w:spacing w:after="0"/>
              <w:rPr>
                <w:sz w:val="20"/>
                <w:szCs w:val="20"/>
                <w:color w:val="auto"/>
              </w:rPr>
            </w:pPr>
            <w:r>
              <w:rPr>
                <w:rFonts w:ascii="Arial" w:cs="Arial" w:eastAsia="Arial" w:hAnsi="Arial"/>
                <w:sz w:val="19"/>
                <w:szCs w:val="19"/>
                <w:color w:val="auto"/>
              </w:rPr>
              <w:t>Southeast Group</w:t>
            </w:r>
          </w:p>
        </w:tc>
        <w:tc>
          <w:tcPr>
            <w:tcW w:w="6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4,515</w:t>
            </w: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4,436</w:t>
            </w:r>
          </w:p>
        </w:tc>
        <w:tc>
          <w:tcPr>
            <w:tcW w:w="2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20" w:type="dxa"/>
            <w:vAlign w:val="bottom"/>
            <w:shd w:val="clear" w:color="auto" w:fill="CFF0FC"/>
          </w:tcPr>
          <w:p>
            <w:pPr>
              <w:ind w:left="480"/>
              <w:spacing w:after="0"/>
              <w:rPr>
                <w:sz w:val="20"/>
                <w:szCs w:val="20"/>
                <w:color w:val="auto"/>
              </w:rPr>
            </w:pPr>
            <w:r>
              <w:rPr>
                <w:rFonts w:ascii="Arial" w:cs="Arial" w:eastAsia="Arial" w:hAnsi="Arial"/>
                <w:sz w:val="19"/>
                <w:szCs w:val="19"/>
                <w:color w:val="auto"/>
              </w:rPr>
              <w:t>West Group</w:t>
            </w:r>
          </w:p>
        </w:tc>
        <w:tc>
          <w:tcPr>
            <w:tcW w:w="680" w:type="dxa"/>
            <w:vAlign w:val="bottom"/>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11,832</w:t>
            </w:r>
          </w:p>
        </w:tc>
        <w:tc>
          <w:tcPr>
            <w:tcW w:w="26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10,814</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20" w:type="dxa"/>
            <w:vAlign w:val="bottom"/>
          </w:tcPr>
          <w:p>
            <w:pPr>
              <w:ind w:left="240"/>
              <w:spacing w:after="0"/>
              <w:rPr>
                <w:sz w:val="20"/>
                <w:szCs w:val="20"/>
                <w:color w:val="auto"/>
              </w:rPr>
            </w:pPr>
            <w:r>
              <w:rPr>
                <w:rFonts w:ascii="Arial" w:cs="Arial" w:eastAsia="Arial" w:hAnsi="Arial"/>
                <w:sz w:val="19"/>
                <w:szCs w:val="19"/>
                <w:color w:val="auto"/>
              </w:rPr>
              <w:t>Total Heritage Aggregates Business</w:t>
            </w: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29,284</w:t>
            </w: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20"/>
                <w:szCs w:val="20"/>
                <w:color w:val="auto"/>
              </w:rPr>
              <w:t>4.5</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28,193</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4.8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20" w:type="dxa"/>
            <w:vAlign w:val="bottom"/>
            <w:shd w:val="clear" w:color="auto" w:fill="CFF0FC"/>
          </w:tcPr>
          <w:p>
            <w:pPr>
              <w:ind w:left="240"/>
              <w:spacing w:after="0"/>
              <w:rPr>
                <w:sz w:val="20"/>
                <w:szCs w:val="20"/>
                <w:color w:val="auto"/>
              </w:rPr>
            </w:pPr>
            <w:r>
              <w:rPr>
                <w:rFonts w:ascii="Arial" w:cs="Arial" w:eastAsia="Arial" w:hAnsi="Arial"/>
                <w:sz w:val="19"/>
                <w:szCs w:val="19"/>
                <w:color w:val="auto"/>
              </w:rPr>
              <w:t>Magnesia Specialties</w:t>
            </w:r>
          </w:p>
        </w:tc>
        <w:tc>
          <w:tcPr>
            <w:tcW w:w="6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2,351</w:t>
            </w:r>
          </w:p>
        </w:tc>
        <w:tc>
          <w:tcPr>
            <w:tcW w:w="26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4.1</w:t>
            </w:r>
          </w:p>
        </w:tc>
        <w:tc>
          <w:tcPr>
            <w:tcW w:w="1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2,379</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4.1</w:t>
            </w:r>
          </w:p>
        </w:tc>
        <w:tc>
          <w:tcPr>
            <w:tcW w:w="6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20" w:type="dxa"/>
            <w:vAlign w:val="bottom"/>
          </w:tcPr>
          <w:p>
            <w:pPr>
              <w:ind w:left="240"/>
              <w:spacing w:after="0"/>
              <w:rPr>
                <w:sz w:val="20"/>
                <w:szCs w:val="20"/>
                <w:color w:val="auto"/>
              </w:rPr>
            </w:pPr>
            <w:r>
              <w:rPr>
                <w:rFonts w:ascii="Arial" w:cs="Arial" w:eastAsia="Arial" w:hAnsi="Arial"/>
                <w:sz w:val="19"/>
                <w:szCs w:val="19"/>
                <w:color w:val="auto"/>
              </w:rPr>
              <w:t>Corporate</w:t>
            </w:r>
          </w:p>
        </w:tc>
        <w:tc>
          <w:tcPr>
            <w:tcW w:w="6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9,987</w:t>
            </w: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9"/>
                <w:szCs w:val="19"/>
                <w:color w:val="auto"/>
              </w:rPr>
              <w:t>—</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2,041</w:t>
            </w:r>
          </w:p>
        </w:tc>
        <w:tc>
          <w:tcPr>
            <w:tcW w:w="240" w:type="dxa"/>
            <w:vAlign w:val="bottom"/>
          </w:tcPr>
          <w:p>
            <w:pPr>
              <w:spacing w:after="0"/>
              <w:rPr>
                <w:sz w:val="21"/>
                <w:szCs w:val="21"/>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9"/>
                <w:szCs w:val="19"/>
                <w:color w:val="auto"/>
              </w:rPr>
              <w:t>Total Heritage Consolidated</w:t>
            </w:r>
          </w:p>
        </w:tc>
        <w:tc>
          <w:tcPr>
            <w:tcW w:w="680" w:type="dxa"/>
            <w:vAlign w:val="bottom"/>
            <w:tcBorders>
              <w:top w:val="single" w:sz="8" w:color="CFF0FC"/>
            </w:tcBorders>
            <w:shd w:val="clear" w:color="auto" w:fill="CFF0FC"/>
          </w:tcPr>
          <w:p>
            <w:pPr>
              <w:spacing w:after="0"/>
              <w:rPr>
                <w:sz w:val="20"/>
                <w:szCs w:val="20"/>
                <w:color w:val="auto"/>
              </w:rPr>
            </w:pPr>
          </w:p>
        </w:tc>
        <w:tc>
          <w:tcPr>
            <w:tcW w:w="260" w:type="dxa"/>
            <w:vAlign w:val="bottom"/>
            <w:tcBorders>
              <w:top w:val="single" w:sz="8" w:color="auto"/>
              <w:bottom w:val="single" w:sz="8" w:color="auto"/>
            </w:tcBorders>
            <w:shd w:val="clear" w:color="auto" w:fill="CFF0FC"/>
          </w:tcPr>
          <w:p>
            <w:pPr>
              <w:spacing w:after="0"/>
              <w:rPr>
                <w:sz w:val="20"/>
                <w:szCs w:val="20"/>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41,622</w:t>
            </w:r>
          </w:p>
        </w:tc>
        <w:tc>
          <w:tcPr>
            <w:tcW w:w="260" w:type="dxa"/>
            <w:vAlign w:val="bottom"/>
            <w:tcBorders>
              <w:top w:val="single" w:sz="8" w:color="CFF0FC"/>
            </w:tcBorders>
            <w:shd w:val="clear" w:color="auto" w:fill="CFF0FC"/>
          </w:tcPr>
          <w:p>
            <w:pPr>
              <w:spacing w:after="0"/>
              <w:rPr>
                <w:sz w:val="20"/>
                <w:szCs w:val="20"/>
                <w:color w:val="auto"/>
              </w:rPr>
            </w:pPr>
          </w:p>
        </w:tc>
        <w:tc>
          <w:tcPr>
            <w:tcW w:w="40" w:type="dxa"/>
            <w:vAlign w:val="bottom"/>
            <w:tcBorders>
              <w:top w:val="single" w:sz="8" w:color="auto"/>
              <w:bottom w:val="single" w:sz="8" w:color="auto"/>
            </w:tcBorders>
            <w:shd w:val="clear" w:color="auto" w:fill="CFF0FC"/>
          </w:tcPr>
          <w:p>
            <w:pPr>
              <w:spacing w:after="0"/>
              <w:rPr>
                <w:sz w:val="20"/>
                <w:szCs w:val="20"/>
                <w:color w:val="auto"/>
              </w:rPr>
            </w:pPr>
          </w:p>
        </w:tc>
        <w:tc>
          <w:tcPr>
            <w:tcW w:w="1040" w:type="dxa"/>
            <w:vAlign w:val="bottom"/>
            <w:tcBorders>
              <w:top w:val="single" w:sz="8" w:color="auto"/>
              <w:bottom w:val="single" w:sz="8" w:color="auto"/>
            </w:tcBorders>
            <w:shd w:val="clear" w:color="auto" w:fill="CFF0FC"/>
          </w:tcPr>
          <w:p>
            <w:pPr>
              <w:spacing w:after="0"/>
              <w:rPr>
                <w:sz w:val="20"/>
                <w:szCs w:val="20"/>
                <w:color w:val="auto"/>
              </w:rPr>
            </w:pPr>
          </w:p>
        </w:tc>
        <w:tc>
          <w:tcPr>
            <w:tcW w:w="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5.8</w:t>
            </w:r>
          </w:p>
        </w:tc>
        <w:tc>
          <w:tcPr>
            <w:tcW w:w="180" w:type="dxa"/>
            <w:vAlign w:val="bottom"/>
            <w:tcBorders>
              <w:top w:val="single" w:sz="8" w:color="CFF0FC"/>
            </w:tcBorders>
            <w:shd w:val="clear" w:color="auto" w:fill="CFF0FC"/>
          </w:tcPr>
          <w:p>
            <w:pPr>
              <w:spacing w:after="0"/>
              <w:rPr>
                <w:sz w:val="20"/>
                <w:szCs w:val="20"/>
                <w:color w:val="auto"/>
              </w:rPr>
            </w:pPr>
          </w:p>
        </w:tc>
        <w:tc>
          <w:tcPr>
            <w:tcW w:w="260" w:type="dxa"/>
            <w:vAlign w:val="bottom"/>
            <w:tcBorders>
              <w:top w:val="single" w:sz="8" w:color="auto"/>
              <w:bottom w:val="single" w:sz="8" w:color="auto"/>
            </w:tcBorders>
            <w:shd w:val="clear" w:color="auto" w:fill="CFF0FC"/>
          </w:tcPr>
          <w:p>
            <w:pPr>
              <w:spacing w:after="0"/>
              <w:rPr>
                <w:sz w:val="20"/>
                <w:szCs w:val="20"/>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32,613</w:t>
            </w:r>
          </w:p>
        </w:tc>
        <w:tc>
          <w:tcPr>
            <w:tcW w:w="240" w:type="dxa"/>
            <w:vAlign w:val="bottom"/>
            <w:tcBorders>
              <w:top w:val="single" w:sz="8" w:color="CFF0FC"/>
            </w:tcBorders>
            <w:shd w:val="clear" w:color="auto" w:fill="CFF0FC"/>
          </w:tcPr>
          <w:p>
            <w:pPr>
              <w:spacing w:after="0"/>
              <w:rPr>
                <w:sz w:val="20"/>
                <w:szCs w:val="20"/>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5.1</w:t>
            </w:r>
          </w:p>
        </w:tc>
        <w:tc>
          <w:tcPr>
            <w:tcW w:w="60" w:type="dxa"/>
            <w:vAlign w:val="bottom"/>
            <w:tcBorders>
              <w:top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240" w:type="dxa"/>
            <w:vAlign w:val="bottom"/>
            <w:gridSpan w:val="2"/>
          </w:tcPr>
          <w:p>
            <w:pPr>
              <w:spacing w:after="0"/>
              <w:rPr>
                <w:sz w:val="20"/>
                <w:szCs w:val="20"/>
                <w:color w:val="auto"/>
              </w:rPr>
            </w:pPr>
            <w:r>
              <w:rPr>
                <w:rFonts w:ascii="Arial" w:cs="Arial" w:eastAsia="Arial" w:hAnsi="Arial"/>
                <w:sz w:val="19"/>
                <w:szCs w:val="19"/>
                <w:color w:val="auto"/>
              </w:rPr>
              <w:t>Acquisitions:</w:t>
            </w: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20" w:type="dxa"/>
            <w:vAlign w:val="bottom"/>
            <w:shd w:val="clear" w:color="auto" w:fill="CFF0FC"/>
          </w:tcPr>
          <w:p>
            <w:pPr>
              <w:ind w:left="240"/>
              <w:spacing w:after="0"/>
              <w:rPr>
                <w:sz w:val="20"/>
                <w:szCs w:val="20"/>
                <w:color w:val="auto"/>
              </w:rPr>
            </w:pPr>
            <w:r>
              <w:rPr>
                <w:rFonts w:ascii="Arial" w:cs="Arial" w:eastAsia="Arial" w:hAnsi="Arial"/>
                <w:sz w:val="19"/>
                <w:szCs w:val="19"/>
                <w:color w:val="auto"/>
              </w:rPr>
              <w:t>Aggregates Business – West Group</w:t>
            </w:r>
          </w:p>
        </w:tc>
        <w:tc>
          <w:tcPr>
            <w:tcW w:w="6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4,761</w:t>
            </w:r>
          </w:p>
        </w:tc>
        <w:tc>
          <w:tcPr>
            <w:tcW w:w="26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2.6</w:t>
            </w:r>
          </w:p>
        </w:tc>
        <w:tc>
          <w:tcPr>
            <w:tcW w:w="1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3,403</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2.1</w:t>
            </w:r>
          </w:p>
        </w:tc>
        <w:tc>
          <w:tcPr>
            <w:tcW w:w="6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20" w:type="dxa"/>
            <w:vAlign w:val="bottom"/>
          </w:tcPr>
          <w:p>
            <w:pPr>
              <w:ind w:left="240"/>
              <w:spacing w:after="0"/>
              <w:rPr>
                <w:sz w:val="20"/>
                <w:szCs w:val="20"/>
                <w:color w:val="auto"/>
              </w:rPr>
            </w:pPr>
            <w:r>
              <w:rPr>
                <w:rFonts w:ascii="Arial" w:cs="Arial" w:eastAsia="Arial" w:hAnsi="Arial"/>
                <w:sz w:val="19"/>
                <w:szCs w:val="19"/>
                <w:color w:val="auto"/>
              </w:rPr>
              <w:t>Cement</w:t>
            </w:r>
          </w:p>
        </w:tc>
        <w:tc>
          <w:tcPr>
            <w:tcW w:w="6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6,809</w:t>
            </w: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20"/>
                <w:szCs w:val="20"/>
                <w:color w:val="auto"/>
              </w:rPr>
              <w:t>6.2</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6,292</w:t>
            </w: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5.7</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20" w:type="dxa"/>
            <w:vAlign w:val="bottom"/>
            <w:shd w:val="clear" w:color="auto" w:fill="CFF0FC"/>
          </w:tcPr>
          <w:p>
            <w:pPr>
              <w:ind w:left="240"/>
              <w:spacing w:after="0"/>
              <w:rPr>
                <w:sz w:val="20"/>
                <w:szCs w:val="20"/>
                <w:color w:val="auto"/>
              </w:rPr>
            </w:pPr>
            <w:r>
              <w:rPr>
                <w:rFonts w:ascii="Arial" w:cs="Arial" w:eastAsia="Arial" w:hAnsi="Arial"/>
                <w:sz w:val="19"/>
                <w:szCs w:val="19"/>
                <w:color w:val="auto"/>
              </w:rPr>
              <w:t>Corporate</w:t>
            </w:r>
          </w:p>
        </w:tc>
        <w:tc>
          <w:tcPr>
            <w:tcW w:w="6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1,695</w:t>
            </w:r>
          </w:p>
        </w:tc>
        <w:tc>
          <w:tcPr>
            <w:tcW w:w="26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9"/>
                <w:szCs w:val="19"/>
                <w:color w:val="auto"/>
              </w:rPr>
              <w:t>—</w:t>
            </w:r>
          </w:p>
        </w:tc>
        <w:tc>
          <w:tcPr>
            <w:tcW w:w="1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6,119</w:t>
            </w:r>
          </w:p>
        </w:tc>
        <w:tc>
          <w:tcPr>
            <w:tcW w:w="24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80"/>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37"/>
        </w:trPr>
        <w:tc>
          <w:tcPr>
            <w:tcW w:w="4240" w:type="dxa"/>
            <w:vAlign w:val="bottom"/>
            <w:gridSpan w:val="2"/>
          </w:tcPr>
          <w:p>
            <w:pPr>
              <w:spacing w:after="0"/>
              <w:rPr>
                <w:sz w:val="20"/>
                <w:szCs w:val="20"/>
                <w:color w:val="auto"/>
              </w:rPr>
            </w:pPr>
            <w:r>
              <w:rPr>
                <w:rFonts w:ascii="Arial" w:cs="Arial" w:eastAsia="Arial" w:hAnsi="Arial"/>
                <w:sz w:val="19"/>
                <w:szCs w:val="19"/>
                <w:color w:val="auto"/>
              </w:rPr>
              <w:t>Total Acquisitions</w:t>
            </w:r>
          </w:p>
        </w:tc>
        <w:tc>
          <w:tcPr>
            <w:tcW w:w="6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13,265</w:t>
            </w:r>
          </w:p>
        </w:tc>
        <w:tc>
          <w:tcPr>
            <w:tcW w:w="26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4.5</w:t>
            </w:r>
          </w:p>
        </w:tc>
        <w:tc>
          <w:tcPr>
            <w:tcW w:w="1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15,814</w:t>
            </w:r>
          </w:p>
        </w:tc>
        <w:tc>
          <w:tcPr>
            <w:tcW w:w="240" w:type="dxa"/>
            <w:vAlign w:val="bottom"/>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5.8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9"/>
                <w:szCs w:val="19"/>
                <w:color w:val="auto"/>
              </w:rPr>
              <w:t>Total</w:t>
            </w:r>
          </w:p>
        </w:tc>
        <w:tc>
          <w:tcPr>
            <w:tcW w:w="680" w:type="dxa"/>
            <w:vAlign w:val="bottom"/>
            <w:tcBorders>
              <w:top w:val="single" w:sz="8" w:color="CFF0FC"/>
              <w:bottom w:val="single" w:sz="8" w:color="CFF0FC"/>
            </w:tcBorders>
            <w:shd w:val="clear" w:color="auto" w:fill="CFF0FC"/>
          </w:tcPr>
          <w:p>
            <w:pPr>
              <w:spacing w:after="0"/>
              <w:rPr>
                <w:sz w:val="20"/>
                <w:szCs w:val="20"/>
                <w:color w:val="auto"/>
              </w:rPr>
            </w:pPr>
          </w:p>
        </w:tc>
        <w:tc>
          <w:tcPr>
            <w:tcW w:w="260" w:type="dxa"/>
            <w:vAlign w:val="bottom"/>
            <w:tcBorders>
              <w:top w:val="single" w:sz="8" w:color="auto"/>
              <w:bottom w:val="single" w:sz="8" w:color="auto"/>
            </w:tcBorders>
            <w:shd w:val="clear" w:color="auto" w:fill="CFF0FC"/>
          </w:tcPr>
          <w:p>
            <w:pPr>
              <w:jc w:val="right"/>
              <w:ind w:right="103"/>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54,887</w:t>
            </w:r>
          </w:p>
        </w:tc>
        <w:tc>
          <w:tcPr>
            <w:tcW w:w="260" w:type="dxa"/>
            <w:vAlign w:val="bottom"/>
            <w:tcBorders>
              <w:top w:val="single" w:sz="8" w:color="CFF0FC"/>
              <w:bottom w:val="single" w:sz="8" w:color="CFF0FC"/>
            </w:tcBorders>
            <w:shd w:val="clear" w:color="auto" w:fill="CFF0FC"/>
          </w:tcPr>
          <w:p>
            <w:pPr>
              <w:spacing w:after="0"/>
              <w:rPr>
                <w:sz w:val="20"/>
                <w:szCs w:val="20"/>
                <w:color w:val="auto"/>
              </w:rPr>
            </w:pPr>
          </w:p>
        </w:tc>
        <w:tc>
          <w:tcPr>
            <w:tcW w:w="40" w:type="dxa"/>
            <w:vAlign w:val="bottom"/>
            <w:tcBorders>
              <w:top w:val="single" w:sz="8" w:color="auto"/>
              <w:bottom w:val="single" w:sz="8" w:color="auto"/>
            </w:tcBorders>
            <w:shd w:val="clear" w:color="auto" w:fill="CFF0FC"/>
          </w:tcPr>
          <w:p>
            <w:pPr>
              <w:spacing w:after="0"/>
              <w:rPr>
                <w:sz w:val="20"/>
                <w:szCs w:val="20"/>
                <w:color w:val="auto"/>
              </w:rPr>
            </w:pPr>
          </w:p>
        </w:tc>
        <w:tc>
          <w:tcPr>
            <w:tcW w:w="1040" w:type="dxa"/>
            <w:vAlign w:val="bottom"/>
            <w:tcBorders>
              <w:top w:val="single" w:sz="8" w:color="auto"/>
              <w:bottom w:val="single" w:sz="8" w:color="auto"/>
            </w:tcBorders>
            <w:shd w:val="clear" w:color="auto" w:fill="CFF0FC"/>
          </w:tcPr>
          <w:p>
            <w:pPr>
              <w:spacing w:after="0"/>
              <w:rPr>
                <w:sz w:val="20"/>
                <w:szCs w:val="20"/>
                <w:color w:val="auto"/>
              </w:rPr>
            </w:pPr>
          </w:p>
        </w:tc>
        <w:tc>
          <w:tcPr>
            <w:tcW w:w="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5.5</w:t>
            </w:r>
          </w:p>
        </w:tc>
        <w:tc>
          <w:tcPr>
            <w:tcW w:w="180" w:type="dxa"/>
            <w:vAlign w:val="bottom"/>
            <w:tcBorders>
              <w:top w:val="single" w:sz="8" w:color="CFF0FC"/>
              <w:bottom w:val="single" w:sz="8" w:color="CFF0FC"/>
            </w:tcBorders>
            <w:shd w:val="clear" w:color="auto" w:fill="CFF0FC"/>
          </w:tcPr>
          <w:p>
            <w:pPr>
              <w:spacing w:after="0"/>
              <w:rPr>
                <w:sz w:val="20"/>
                <w:szCs w:val="20"/>
                <w:color w:val="auto"/>
              </w:rPr>
            </w:pPr>
          </w:p>
        </w:tc>
        <w:tc>
          <w:tcPr>
            <w:tcW w:w="260" w:type="dxa"/>
            <w:vAlign w:val="bottom"/>
            <w:tcBorders>
              <w:top w:val="single" w:sz="8" w:color="auto"/>
              <w:bottom w:val="single" w:sz="8" w:color="auto"/>
            </w:tcBorders>
            <w:shd w:val="clear" w:color="auto" w:fill="CFF0FC"/>
          </w:tcPr>
          <w:p>
            <w:pPr>
              <w:jc w:val="right"/>
              <w:ind w:right="61"/>
              <w:spacing w:after="0"/>
              <w:rPr>
                <w:sz w:val="20"/>
                <w:szCs w:val="20"/>
                <w:color w:val="auto"/>
              </w:rPr>
            </w:pPr>
            <w:r>
              <w:rPr>
                <w:rFonts w:ascii="Arial" w:cs="Arial" w:eastAsia="Arial" w:hAnsi="Arial"/>
                <w:sz w:val="20"/>
                <w:szCs w:val="20"/>
                <w:color w:val="auto"/>
                <w:w w:val="71"/>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48,427</w:t>
            </w:r>
          </w:p>
        </w:tc>
        <w:tc>
          <w:tcPr>
            <w:tcW w:w="240" w:type="dxa"/>
            <w:vAlign w:val="bottom"/>
            <w:tcBorders>
              <w:top w:val="single" w:sz="8" w:color="CFF0FC"/>
              <w:bottom w:val="single" w:sz="8" w:color="CFF0FC"/>
            </w:tcBorders>
            <w:shd w:val="clear" w:color="auto" w:fill="CFF0FC"/>
          </w:tcPr>
          <w:p>
            <w:pPr>
              <w:spacing w:after="0"/>
              <w:rPr>
                <w:sz w:val="20"/>
                <w:szCs w:val="20"/>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5.3</w:t>
            </w:r>
          </w:p>
        </w:tc>
        <w:tc>
          <w:tcPr>
            <w:tcW w:w="60" w:type="dxa"/>
            <w:vAlign w:val="bottom"/>
            <w:tcBorders>
              <w:top w:val="single" w:sz="8" w:color="CFF0FC"/>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220" w:type="dxa"/>
            <w:vAlign w:val="bottom"/>
            <w:shd w:val="clear" w:color="auto" w:fill="CFF0FC"/>
          </w:tcPr>
          <w:p>
            <w:pPr>
              <w:spacing w:after="0"/>
              <w:rPr>
                <w:sz w:val="20"/>
                <w:szCs w:val="20"/>
                <w:color w:val="auto"/>
              </w:rPr>
            </w:pPr>
            <w:r>
              <w:rPr>
                <w:rFonts w:ascii="Arial" w:cs="Arial" w:eastAsia="Arial" w:hAnsi="Arial"/>
                <w:sz w:val="19"/>
                <w:szCs w:val="19"/>
                <w:b w:val="1"/>
                <w:bCs w:val="1"/>
                <w:color w:val="auto"/>
              </w:rPr>
              <w:t>Earnings (Loss) from operations:</w:t>
            </w:r>
          </w:p>
        </w:tc>
        <w:tc>
          <w:tcPr>
            <w:tcW w:w="6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Arial" w:cs="Arial" w:eastAsia="Arial" w:hAnsi="Arial"/>
                <w:sz w:val="19"/>
                <w:szCs w:val="19"/>
                <w:color w:val="auto"/>
              </w:rPr>
              <w:t>Heritage:</w:t>
            </w: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20" w:type="dxa"/>
            <w:vAlign w:val="bottom"/>
            <w:shd w:val="clear" w:color="auto" w:fill="CFF0FC"/>
          </w:tcPr>
          <w:p>
            <w:pPr>
              <w:ind w:left="480"/>
              <w:spacing w:after="0"/>
              <w:rPr>
                <w:sz w:val="20"/>
                <w:szCs w:val="20"/>
                <w:color w:val="auto"/>
              </w:rPr>
            </w:pPr>
            <w:r>
              <w:rPr>
                <w:rFonts w:ascii="Arial" w:cs="Arial" w:eastAsia="Arial" w:hAnsi="Arial"/>
                <w:sz w:val="19"/>
                <w:szCs w:val="19"/>
                <w:color w:val="auto"/>
              </w:rPr>
              <w:t>Mid-America Group</w:t>
            </w:r>
          </w:p>
        </w:tc>
        <w:tc>
          <w:tcPr>
            <w:tcW w:w="940" w:type="dxa"/>
            <w:vAlign w:val="bottom"/>
            <w:gridSpan w:val="2"/>
            <w:shd w:val="clear" w:color="auto" w:fill="CFF0FC"/>
          </w:tcPr>
          <w:p>
            <w:pPr>
              <w:jc w:val="right"/>
              <w:ind w:right="103"/>
              <w:spacing w:after="0"/>
              <w:rPr>
                <w:sz w:val="20"/>
                <w:szCs w:val="20"/>
                <w:color w:val="auto"/>
              </w:rPr>
            </w:pPr>
            <w:r>
              <w:rPr>
                <w:rFonts w:ascii="Arial" w:cs="Arial" w:eastAsia="Arial" w:hAnsi="Arial"/>
                <w:sz w:val="20"/>
                <w:szCs w:val="20"/>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85,284</w:t>
            </w:r>
          </w:p>
        </w:tc>
        <w:tc>
          <w:tcPr>
            <w:tcW w:w="26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440" w:type="dxa"/>
            <w:vAlign w:val="bottom"/>
            <w:gridSpan w:val="2"/>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71,185</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20" w:type="dxa"/>
            <w:vAlign w:val="bottom"/>
          </w:tcPr>
          <w:p>
            <w:pPr>
              <w:ind w:left="480"/>
              <w:spacing w:after="0"/>
              <w:rPr>
                <w:sz w:val="20"/>
                <w:szCs w:val="20"/>
                <w:color w:val="auto"/>
              </w:rPr>
            </w:pPr>
            <w:r>
              <w:rPr>
                <w:rFonts w:ascii="Arial" w:cs="Arial" w:eastAsia="Arial" w:hAnsi="Arial"/>
                <w:sz w:val="19"/>
                <w:szCs w:val="19"/>
                <w:color w:val="auto"/>
              </w:rPr>
              <w:t>Southeast Group</w:t>
            </w:r>
          </w:p>
        </w:tc>
        <w:tc>
          <w:tcPr>
            <w:tcW w:w="6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7,576</w:t>
            </w: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329</w:t>
            </w:r>
          </w:p>
        </w:tc>
        <w:tc>
          <w:tcPr>
            <w:tcW w:w="2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20" w:type="dxa"/>
            <w:vAlign w:val="bottom"/>
            <w:shd w:val="clear" w:color="auto" w:fill="CFF0FC"/>
          </w:tcPr>
          <w:p>
            <w:pPr>
              <w:ind w:left="480"/>
              <w:spacing w:after="0"/>
              <w:rPr>
                <w:sz w:val="20"/>
                <w:szCs w:val="20"/>
                <w:color w:val="auto"/>
              </w:rPr>
            </w:pPr>
            <w:r>
              <w:rPr>
                <w:rFonts w:ascii="Arial" w:cs="Arial" w:eastAsia="Arial" w:hAnsi="Arial"/>
                <w:sz w:val="20"/>
                <w:szCs w:val="20"/>
                <w:color w:val="auto"/>
              </w:rPr>
              <w:t>West Group</w:t>
            </w:r>
            <w:r>
              <w:rPr>
                <w:rFonts w:ascii="Arial" w:cs="Arial" w:eastAsia="Arial" w:hAnsi="Arial"/>
                <w:sz w:val="16"/>
                <w:szCs w:val="16"/>
                <w:color w:val="auto"/>
              </w:rPr>
              <w:t>(1)</w:t>
            </w:r>
          </w:p>
        </w:tc>
        <w:tc>
          <w:tcPr>
            <w:tcW w:w="680" w:type="dxa"/>
            <w:vAlign w:val="bottom"/>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68,053</w:t>
            </w:r>
          </w:p>
        </w:tc>
        <w:tc>
          <w:tcPr>
            <w:tcW w:w="26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85,206</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20" w:type="dxa"/>
            <w:vAlign w:val="bottom"/>
          </w:tcPr>
          <w:p>
            <w:pPr>
              <w:ind w:left="240"/>
              <w:spacing w:after="0"/>
              <w:rPr>
                <w:sz w:val="20"/>
                <w:szCs w:val="20"/>
                <w:color w:val="auto"/>
              </w:rPr>
            </w:pPr>
            <w:r>
              <w:rPr>
                <w:rFonts w:ascii="Arial" w:cs="Arial" w:eastAsia="Arial" w:hAnsi="Arial"/>
                <w:sz w:val="19"/>
                <w:szCs w:val="19"/>
                <w:color w:val="auto"/>
              </w:rPr>
              <w:t>Total Heritage Aggregates Business</w:t>
            </w: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160,913</w:t>
            </w: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20"/>
                <w:szCs w:val="20"/>
                <w:color w:val="auto"/>
                <w:w w:val="87"/>
              </w:rPr>
              <w:t>24.6</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156,720</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26.8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20" w:type="dxa"/>
            <w:vAlign w:val="bottom"/>
            <w:shd w:val="clear" w:color="auto" w:fill="CFF0FC"/>
          </w:tcPr>
          <w:p>
            <w:pPr>
              <w:ind w:left="240"/>
              <w:spacing w:after="0"/>
              <w:rPr>
                <w:sz w:val="20"/>
                <w:szCs w:val="20"/>
                <w:color w:val="auto"/>
              </w:rPr>
            </w:pPr>
            <w:r>
              <w:rPr>
                <w:rFonts w:ascii="Arial" w:cs="Arial" w:eastAsia="Arial" w:hAnsi="Arial"/>
                <w:sz w:val="19"/>
                <w:szCs w:val="19"/>
                <w:color w:val="auto"/>
              </w:rPr>
              <w:t>Magnesia Specialties</w:t>
            </w:r>
          </w:p>
        </w:tc>
        <w:tc>
          <w:tcPr>
            <w:tcW w:w="6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16,996</w:t>
            </w:r>
          </w:p>
        </w:tc>
        <w:tc>
          <w:tcPr>
            <w:tcW w:w="26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7"/>
              </w:rPr>
              <w:t>29.7</w:t>
            </w:r>
          </w:p>
        </w:tc>
        <w:tc>
          <w:tcPr>
            <w:tcW w:w="1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17,697</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30.2</w:t>
            </w:r>
          </w:p>
        </w:tc>
        <w:tc>
          <w:tcPr>
            <w:tcW w:w="6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20" w:type="dxa"/>
            <w:vAlign w:val="bottom"/>
          </w:tcPr>
          <w:p>
            <w:pPr>
              <w:ind w:left="240"/>
              <w:spacing w:after="0"/>
              <w:rPr>
                <w:sz w:val="20"/>
                <w:szCs w:val="20"/>
                <w:color w:val="auto"/>
              </w:rPr>
            </w:pPr>
            <w:r>
              <w:rPr>
                <w:rFonts w:ascii="Arial" w:cs="Arial" w:eastAsia="Arial" w:hAnsi="Arial"/>
                <w:sz w:val="19"/>
                <w:szCs w:val="19"/>
                <w:color w:val="auto"/>
              </w:rPr>
              <w:t>Corporate</w:t>
            </w:r>
          </w:p>
        </w:tc>
        <w:tc>
          <w:tcPr>
            <w:tcW w:w="6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20"/>
                <w:szCs w:val="20"/>
                <w:color w:val="auto"/>
              </w:rPr>
              <w:t>(18,797)</w:t>
            </w:r>
          </w:p>
        </w:tc>
        <w:tc>
          <w:tcPr>
            <w:tcW w:w="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9"/>
                <w:szCs w:val="19"/>
                <w:color w:val="auto"/>
              </w:rPr>
              <w:t>—</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20"/>
                <w:szCs w:val="20"/>
                <w:color w:val="auto"/>
              </w:rPr>
              <w:t>(63,536)</w:t>
            </w:r>
          </w:p>
        </w:tc>
        <w:tc>
          <w:tcPr>
            <w:tcW w:w="1400" w:type="dxa"/>
            <w:vAlign w:val="bottom"/>
            <w:gridSpan w:val="2"/>
          </w:tcPr>
          <w:p>
            <w:pPr>
              <w:jc w:val="right"/>
              <w:ind w:right="80"/>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9"/>
                <w:szCs w:val="19"/>
                <w:color w:val="auto"/>
              </w:rPr>
              <w:t>Total Heritage Consolidated</w:t>
            </w:r>
          </w:p>
        </w:tc>
        <w:tc>
          <w:tcPr>
            <w:tcW w:w="680" w:type="dxa"/>
            <w:vAlign w:val="bottom"/>
            <w:tcBorders>
              <w:top w:val="single" w:sz="8" w:color="CFF0FC"/>
            </w:tcBorders>
            <w:shd w:val="clear" w:color="auto" w:fill="CFF0FC"/>
          </w:tcPr>
          <w:p>
            <w:pPr>
              <w:spacing w:after="0"/>
              <w:rPr>
                <w:sz w:val="20"/>
                <w:szCs w:val="20"/>
                <w:color w:val="auto"/>
              </w:rPr>
            </w:pPr>
          </w:p>
        </w:tc>
        <w:tc>
          <w:tcPr>
            <w:tcW w:w="260" w:type="dxa"/>
            <w:vAlign w:val="bottom"/>
            <w:tcBorders>
              <w:top w:val="single" w:sz="8" w:color="auto"/>
              <w:bottom w:val="single" w:sz="8" w:color="auto"/>
            </w:tcBorders>
            <w:shd w:val="clear" w:color="auto" w:fill="CFF0FC"/>
          </w:tcPr>
          <w:p>
            <w:pPr>
              <w:spacing w:after="0"/>
              <w:rPr>
                <w:sz w:val="20"/>
                <w:szCs w:val="20"/>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159,112</w:t>
            </w:r>
          </w:p>
        </w:tc>
        <w:tc>
          <w:tcPr>
            <w:tcW w:w="260" w:type="dxa"/>
            <w:vAlign w:val="bottom"/>
            <w:tcBorders>
              <w:top w:val="single" w:sz="8" w:color="CFF0FC"/>
            </w:tcBorders>
            <w:shd w:val="clear" w:color="auto" w:fill="CFF0FC"/>
          </w:tcPr>
          <w:p>
            <w:pPr>
              <w:spacing w:after="0"/>
              <w:rPr>
                <w:sz w:val="20"/>
                <w:szCs w:val="20"/>
                <w:color w:val="auto"/>
              </w:rPr>
            </w:pPr>
          </w:p>
        </w:tc>
        <w:tc>
          <w:tcPr>
            <w:tcW w:w="40" w:type="dxa"/>
            <w:vAlign w:val="bottom"/>
            <w:tcBorders>
              <w:top w:val="single" w:sz="8" w:color="auto"/>
              <w:bottom w:val="single" w:sz="8" w:color="auto"/>
            </w:tcBorders>
            <w:shd w:val="clear" w:color="auto" w:fill="CFF0FC"/>
          </w:tcPr>
          <w:p>
            <w:pPr>
              <w:spacing w:after="0"/>
              <w:rPr>
                <w:sz w:val="20"/>
                <w:szCs w:val="20"/>
                <w:color w:val="auto"/>
              </w:rPr>
            </w:pPr>
          </w:p>
        </w:tc>
        <w:tc>
          <w:tcPr>
            <w:tcW w:w="1040" w:type="dxa"/>
            <w:vAlign w:val="bottom"/>
            <w:tcBorders>
              <w:top w:val="single" w:sz="8" w:color="auto"/>
              <w:bottom w:val="single" w:sz="8" w:color="auto"/>
            </w:tcBorders>
            <w:shd w:val="clear" w:color="auto" w:fill="CFF0FC"/>
          </w:tcPr>
          <w:p>
            <w:pPr>
              <w:spacing w:after="0"/>
              <w:rPr>
                <w:sz w:val="20"/>
                <w:szCs w:val="20"/>
                <w:color w:val="auto"/>
              </w:rPr>
            </w:pPr>
          </w:p>
        </w:tc>
        <w:tc>
          <w:tcPr>
            <w:tcW w:w="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87"/>
              </w:rPr>
              <w:t>22.3</w:t>
            </w:r>
          </w:p>
        </w:tc>
        <w:tc>
          <w:tcPr>
            <w:tcW w:w="180" w:type="dxa"/>
            <w:vAlign w:val="bottom"/>
            <w:tcBorders>
              <w:top w:val="single" w:sz="8" w:color="CFF0FC"/>
            </w:tcBorders>
            <w:shd w:val="clear" w:color="auto" w:fill="CFF0FC"/>
          </w:tcPr>
          <w:p>
            <w:pPr>
              <w:spacing w:after="0"/>
              <w:rPr>
                <w:sz w:val="20"/>
                <w:szCs w:val="20"/>
                <w:color w:val="auto"/>
              </w:rPr>
            </w:pPr>
          </w:p>
        </w:tc>
        <w:tc>
          <w:tcPr>
            <w:tcW w:w="260" w:type="dxa"/>
            <w:vAlign w:val="bottom"/>
            <w:tcBorders>
              <w:top w:val="single" w:sz="8" w:color="auto"/>
              <w:bottom w:val="single" w:sz="8" w:color="auto"/>
            </w:tcBorders>
            <w:shd w:val="clear" w:color="auto" w:fill="CFF0FC"/>
          </w:tcPr>
          <w:p>
            <w:pPr>
              <w:spacing w:after="0"/>
              <w:rPr>
                <w:sz w:val="20"/>
                <w:szCs w:val="20"/>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110,881</w:t>
            </w:r>
          </w:p>
        </w:tc>
        <w:tc>
          <w:tcPr>
            <w:tcW w:w="240" w:type="dxa"/>
            <w:vAlign w:val="bottom"/>
            <w:tcBorders>
              <w:top w:val="single" w:sz="8" w:color="CFF0FC"/>
            </w:tcBorders>
            <w:shd w:val="clear" w:color="auto" w:fill="CFF0FC"/>
          </w:tcPr>
          <w:p>
            <w:pPr>
              <w:spacing w:after="0"/>
              <w:rPr>
                <w:sz w:val="20"/>
                <w:szCs w:val="20"/>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17.2</w:t>
            </w:r>
          </w:p>
        </w:tc>
        <w:tc>
          <w:tcPr>
            <w:tcW w:w="60" w:type="dxa"/>
            <w:vAlign w:val="bottom"/>
            <w:tcBorders>
              <w:top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240" w:type="dxa"/>
            <w:vAlign w:val="bottom"/>
            <w:gridSpan w:val="2"/>
          </w:tcPr>
          <w:p>
            <w:pPr>
              <w:spacing w:after="0"/>
              <w:rPr>
                <w:sz w:val="20"/>
                <w:szCs w:val="20"/>
                <w:color w:val="auto"/>
              </w:rPr>
            </w:pPr>
            <w:r>
              <w:rPr>
                <w:rFonts w:ascii="Arial" w:cs="Arial" w:eastAsia="Arial" w:hAnsi="Arial"/>
                <w:sz w:val="19"/>
                <w:szCs w:val="19"/>
                <w:color w:val="auto"/>
              </w:rPr>
              <w:t>Acquisitions:</w:t>
            </w: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20" w:type="dxa"/>
            <w:vAlign w:val="bottom"/>
            <w:shd w:val="clear" w:color="auto" w:fill="CFF0FC"/>
          </w:tcPr>
          <w:p>
            <w:pPr>
              <w:ind w:left="240"/>
              <w:spacing w:after="0"/>
              <w:rPr>
                <w:sz w:val="20"/>
                <w:szCs w:val="20"/>
                <w:color w:val="auto"/>
              </w:rPr>
            </w:pPr>
            <w:r>
              <w:rPr>
                <w:rFonts w:ascii="Arial" w:cs="Arial" w:eastAsia="Arial" w:hAnsi="Arial"/>
                <w:sz w:val="19"/>
                <w:szCs w:val="19"/>
                <w:color w:val="auto"/>
              </w:rPr>
              <w:t>Aggregates Business – Mid-America Group</w:t>
            </w:r>
          </w:p>
        </w:tc>
        <w:tc>
          <w:tcPr>
            <w:tcW w:w="6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409</w:t>
            </w:r>
          </w:p>
        </w:tc>
        <w:tc>
          <w:tcPr>
            <w:tcW w:w="26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7"/>
              </w:rPr>
              <w:t>39.7</w:t>
            </w:r>
          </w:p>
        </w:tc>
        <w:tc>
          <w:tcPr>
            <w:tcW w:w="1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260"/>
              <w:spacing w:after="0"/>
              <w:rPr>
                <w:sz w:val="20"/>
                <w:szCs w:val="20"/>
                <w:color w:val="auto"/>
              </w:rPr>
            </w:pPr>
            <w:r>
              <w:rPr>
                <w:rFonts w:ascii="Arial" w:cs="Arial" w:eastAsia="Arial" w:hAnsi="Arial"/>
                <w:sz w:val="19"/>
                <w:szCs w:val="19"/>
                <w:color w:val="auto"/>
              </w:rPr>
              <w:t>—</w:t>
            </w:r>
          </w:p>
        </w:tc>
        <w:tc>
          <w:tcPr>
            <w:tcW w:w="1400" w:type="dxa"/>
            <w:vAlign w:val="bottom"/>
            <w:gridSpan w:val="2"/>
            <w:shd w:val="clear" w:color="auto" w:fill="CFF0FC"/>
          </w:tcPr>
          <w:p>
            <w:pPr>
              <w:jc w:val="right"/>
              <w:ind w:right="80"/>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20" w:type="dxa"/>
            <w:vAlign w:val="bottom"/>
          </w:tcPr>
          <w:p>
            <w:pPr>
              <w:ind w:left="240"/>
              <w:spacing w:after="0"/>
              <w:rPr>
                <w:sz w:val="20"/>
                <w:szCs w:val="20"/>
                <w:color w:val="auto"/>
              </w:rPr>
            </w:pPr>
            <w:r>
              <w:rPr>
                <w:rFonts w:ascii="Arial" w:cs="Arial" w:eastAsia="Arial" w:hAnsi="Arial"/>
                <w:sz w:val="19"/>
                <w:szCs w:val="19"/>
                <w:color w:val="auto"/>
              </w:rPr>
              <w:t>Aggregates Business – West Group</w:t>
            </w:r>
          </w:p>
        </w:tc>
        <w:tc>
          <w:tcPr>
            <w:tcW w:w="6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19,472</w:t>
            </w: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20"/>
                <w:szCs w:val="20"/>
                <w:color w:val="auto"/>
                <w:w w:val="87"/>
              </w:rPr>
              <w:t>10.7</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6,909</w:t>
            </w: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4.2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20" w:type="dxa"/>
            <w:vAlign w:val="bottom"/>
            <w:shd w:val="clear" w:color="auto" w:fill="CFF0FC"/>
          </w:tcPr>
          <w:p>
            <w:pPr>
              <w:ind w:left="240"/>
              <w:spacing w:after="0"/>
              <w:rPr>
                <w:sz w:val="20"/>
                <w:szCs w:val="20"/>
                <w:color w:val="auto"/>
              </w:rPr>
            </w:pPr>
            <w:r>
              <w:rPr>
                <w:rFonts w:ascii="Arial" w:cs="Arial" w:eastAsia="Arial" w:hAnsi="Arial"/>
                <w:sz w:val="20"/>
                <w:szCs w:val="20"/>
                <w:color w:val="auto"/>
              </w:rPr>
              <w:t>Cement</w:t>
            </w:r>
            <w:r>
              <w:rPr>
                <w:rFonts w:ascii="Arial" w:cs="Arial" w:eastAsia="Arial" w:hAnsi="Arial"/>
                <w:sz w:val="16"/>
                <w:szCs w:val="16"/>
                <w:color w:val="auto"/>
              </w:rPr>
              <w:t>(2)</w:t>
            </w:r>
          </w:p>
        </w:tc>
        <w:tc>
          <w:tcPr>
            <w:tcW w:w="6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2,758</w:t>
            </w:r>
          </w:p>
        </w:tc>
        <w:tc>
          <w:tcPr>
            <w:tcW w:w="26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2.5</w:t>
            </w:r>
          </w:p>
        </w:tc>
        <w:tc>
          <w:tcPr>
            <w:tcW w:w="1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18,278</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16.7</w:t>
            </w:r>
          </w:p>
        </w:tc>
        <w:tc>
          <w:tcPr>
            <w:tcW w:w="6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20" w:type="dxa"/>
            <w:vAlign w:val="bottom"/>
          </w:tcPr>
          <w:p>
            <w:pPr>
              <w:ind w:left="240"/>
              <w:spacing w:after="0"/>
              <w:rPr>
                <w:sz w:val="20"/>
                <w:szCs w:val="20"/>
                <w:color w:val="auto"/>
              </w:rPr>
            </w:pPr>
            <w:r>
              <w:rPr>
                <w:rFonts w:ascii="Arial" w:cs="Arial" w:eastAsia="Arial" w:hAnsi="Arial"/>
                <w:sz w:val="19"/>
                <w:szCs w:val="19"/>
                <w:color w:val="auto"/>
              </w:rPr>
              <w:t>Corporate</w:t>
            </w:r>
          </w:p>
        </w:tc>
        <w:tc>
          <w:tcPr>
            <w:tcW w:w="6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20"/>
                <w:szCs w:val="20"/>
                <w:color w:val="auto"/>
              </w:rPr>
              <w:t>(2,253)</w:t>
            </w:r>
          </w:p>
        </w:tc>
        <w:tc>
          <w:tcPr>
            <w:tcW w:w="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9"/>
                <w:szCs w:val="19"/>
                <w:color w:val="auto"/>
              </w:rPr>
              <w:t>—</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20"/>
                <w:szCs w:val="20"/>
                <w:color w:val="auto"/>
              </w:rPr>
              <w:t>(20,112)</w:t>
            </w:r>
          </w:p>
        </w:tc>
        <w:tc>
          <w:tcPr>
            <w:tcW w:w="1400" w:type="dxa"/>
            <w:vAlign w:val="bottom"/>
            <w:gridSpan w:val="2"/>
          </w:tcPr>
          <w:p>
            <w:pPr>
              <w:jc w:val="right"/>
              <w:ind w:right="80"/>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9"/>
                <w:szCs w:val="19"/>
                <w:color w:val="auto"/>
              </w:rPr>
              <w:t>Total Acquisitions</w:t>
            </w:r>
          </w:p>
        </w:tc>
        <w:tc>
          <w:tcPr>
            <w:tcW w:w="680" w:type="dxa"/>
            <w:vAlign w:val="bottom"/>
            <w:tcBorders>
              <w:top w:val="single" w:sz="8" w:color="CFF0FC"/>
            </w:tcBorders>
            <w:shd w:val="clear" w:color="auto" w:fill="CFF0FC"/>
          </w:tcPr>
          <w:p>
            <w:pPr>
              <w:spacing w:after="0"/>
              <w:rPr>
                <w:sz w:val="20"/>
                <w:szCs w:val="20"/>
                <w:color w:val="auto"/>
              </w:rPr>
            </w:pPr>
          </w:p>
        </w:tc>
        <w:tc>
          <w:tcPr>
            <w:tcW w:w="260" w:type="dxa"/>
            <w:vAlign w:val="bottom"/>
            <w:tcBorders>
              <w:top w:val="single" w:sz="8" w:color="auto"/>
              <w:bottom w:val="single" w:sz="8" w:color="auto"/>
            </w:tcBorders>
            <w:shd w:val="clear" w:color="auto" w:fill="CFF0FC"/>
          </w:tcPr>
          <w:p>
            <w:pPr>
              <w:spacing w:after="0"/>
              <w:rPr>
                <w:sz w:val="20"/>
                <w:szCs w:val="20"/>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20,386</w:t>
            </w:r>
          </w:p>
        </w:tc>
        <w:tc>
          <w:tcPr>
            <w:tcW w:w="260" w:type="dxa"/>
            <w:vAlign w:val="bottom"/>
            <w:tcBorders>
              <w:top w:val="single" w:sz="8" w:color="CFF0FC"/>
            </w:tcBorders>
            <w:shd w:val="clear" w:color="auto" w:fill="CFF0FC"/>
          </w:tcPr>
          <w:p>
            <w:pPr>
              <w:spacing w:after="0"/>
              <w:rPr>
                <w:sz w:val="20"/>
                <w:szCs w:val="20"/>
                <w:color w:val="auto"/>
              </w:rPr>
            </w:pPr>
          </w:p>
        </w:tc>
        <w:tc>
          <w:tcPr>
            <w:tcW w:w="40" w:type="dxa"/>
            <w:vAlign w:val="bottom"/>
            <w:tcBorders>
              <w:top w:val="single" w:sz="8" w:color="auto"/>
              <w:bottom w:val="single" w:sz="8" w:color="auto"/>
            </w:tcBorders>
            <w:shd w:val="clear" w:color="auto" w:fill="CFF0FC"/>
          </w:tcPr>
          <w:p>
            <w:pPr>
              <w:spacing w:after="0"/>
              <w:rPr>
                <w:sz w:val="20"/>
                <w:szCs w:val="20"/>
                <w:color w:val="auto"/>
              </w:rPr>
            </w:pPr>
          </w:p>
        </w:tc>
        <w:tc>
          <w:tcPr>
            <w:tcW w:w="1040" w:type="dxa"/>
            <w:vAlign w:val="bottom"/>
            <w:tcBorders>
              <w:top w:val="single" w:sz="8" w:color="auto"/>
              <w:bottom w:val="single" w:sz="8" w:color="auto"/>
            </w:tcBorders>
            <w:shd w:val="clear" w:color="auto" w:fill="CFF0FC"/>
          </w:tcPr>
          <w:p>
            <w:pPr>
              <w:spacing w:after="0"/>
              <w:rPr>
                <w:sz w:val="20"/>
                <w:szCs w:val="20"/>
                <w:color w:val="auto"/>
              </w:rPr>
            </w:pPr>
          </w:p>
        </w:tc>
        <w:tc>
          <w:tcPr>
            <w:tcW w:w="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7.0</w:t>
            </w:r>
          </w:p>
        </w:tc>
        <w:tc>
          <w:tcPr>
            <w:tcW w:w="180" w:type="dxa"/>
            <w:vAlign w:val="bottom"/>
            <w:tcBorders>
              <w:top w:val="single" w:sz="8" w:color="CFF0FC"/>
            </w:tcBorders>
            <w:shd w:val="clear" w:color="auto" w:fill="CFF0FC"/>
          </w:tcPr>
          <w:p>
            <w:pPr>
              <w:spacing w:after="0"/>
              <w:rPr>
                <w:sz w:val="20"/>
                <w:szCs w:val="20"/>
                <w:color w:val="auto"/>
              </w:rPr>
            </w:pPr>
          </w:p>
        </w:tc>
        <w:tc>
          <w:tcPr>
            <w:tcW w:w="260" w:type="dxa"/>
            <w:vAlign w:val="bottom"/>
            <w:tcBorders>
              <w:top w:val="single" w:sz="8" w:color="auto"/>
              <w:bottom w:val="single" w:sz="8" w:color="auto"/>
            </w:tcBorders>
            <w:shd w:val="clear" w:color="auto" w:fill="CFF0FC"/>
          </w:tcPr>
          <w:p>
            <w:pPr>
              <w:spacing w:after="0"/>
              <w:rPr>
                <w:sz w:val="20"/>
                <w:szCs w:val="20"/>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5,075</w:t>
            </w:r>
          </w:p>
        </w:tc>
        <w:tc>
          <w:tcPr>
            <w:tcW w:w="240" w:type="dxa"/>
            <w:vAlign w:val="bottom"/>
            <w:tcBorders>
              <w:top w:val="single" w:sz="8" w:color="CFF0FC"/>
            </w:tcBorders>
            <w:shd w:val="clear" w:color="auto" w:fill="CFF0FC"/>
          </w:tcPr>
          <w:p>
            <w:pPr>
              <w:spacing w:after="0"/>
              <w:rPr>
                <w:sz w:val="20"/>
                <w:szCs w:val="20"/>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1.9</w:t>
            </w:r>
          </w:p>
        </w:tc>
        <w:tc>
          <w:tcPr>
            <w:tcW w:w="60" w:type="dxa"/>
            <w:vAlign w:val="bottom"/>
            <w:tcBorders>
              <w:top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240" w:type="dxa"/>
            <w:vAlign w:val="bottom"/>
            <w:gridSpan w:val="2"/>
          </w:tcPr>
          <w:p>
            <w:pPr>
              <w:spacing w:after="0"/>
              <w:rPr>
                <w:sz w:val="20"/>
                <w:szCs w:val="20"/>
                <w:color w:val="auto"/>
              </w:rPr>
            </w:pPr>
            <w:r>
              <w:rPr>
                <w:rFonts w:ascii="Arial" w:cs="Arial" w:eastAsia="Arial" w:hAnsi="Arial"/>
                <w:sz w:val="19"/>
                <w:szCs w:val="19"/>
                <w:color w:val="auto"/>
              </w:rPr>
              <w:t>Total</w:t>
            </w:r>
          </w:p>
        </w:tc>
        <w:tc>
          <w:tcPr>
            <w:tcW w:w="680" w:type="dxa"/>
            <w:vAlign w:val="bottom"/>
          </w:tcPr>
          <w:p>
            <w:pPr>
              <w:spacing w:after="0"/>
              <w:rPr>
                <w:sz w:val="20"/>
                <w:szCs w:val="20"/>
                <w:color w:val="auto"/>
              </w:rPr>
            </w:pPr>
          </w:p>
        </w:tc>
        <w:tc>
          <w:tcPr>
            <w:tcW w:w="26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179,498</w:t>
            </w:r>
          </w:p>
        </w:tc>
        <w:tc>
          <w:tcPr>
            <w:tcW w:w="26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87"/>
              </w:rPr>
              <w:t>17.9</w:t>
            </w:r>
          </w:p>
        </w:tc>
        <w:tc>
          <w:tcPr>
            <w:tcW w:w="180" w:type="dxa"/>
            <w:vAlign w:val="bottom"/>
          </w:tcPr>
          <w:p>
            <w:pPr>
              <w:spacing w:after="0"/>
              <w:rPr>
                <w:sz w:val="20"/>
                <w:szCs w:val="20"/>
                <w:color w:val="auto"/>
              </w:rPr>
            </w:pPr>
          </w:p>
        </w:tc>
        <w:tc>
          <w:tcPr>
            <w:tcW w:w="26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115,956</w:t>
            </w:r>
          </w:p>
        </w:tc>
        <w:tc>
          <w:tcPr>
            <w:tcW w:w="240" w:type="dxa"/>
            <w:vAlign w:val="bottom"/>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5" w:lineRule="exact"/>
        <w:rPr>
          <w:sz w:val="20"/>
          <w:szCs w:val="20"/>
          <w:color w:val="auto"/>
        </w:rPr>
      </w:pPr>
    </w:p>
    <w:p>
      <w:pPr>
        <w:ind w:left="200" w:hanging="192"/>
        <w:spacing w:after="0"/>
        <w:tabs>
          <w:tab w:leader="none" w:pos="200" w:val="left"/>
        </w:tabs>
        <w:numPr>
          <w:ilvl w:val="0"/>
          <w:numId w:val="30"/>
        </w:numPr>
        <w:rPr>
          <w:rFonts w:ascii="Arial" w:cs="Arial" w:eastAsia="Arial" w:hAnsi="Arial"/>
          <w:sz w:val="13"/>
          <w:szCs w:val="13"/>
          <w:color w:val="auto"/>
        </w:rPr>
      </w:pPr>
      <w:r>
        <w:rPr>
          <w:rFonts w:ascii="Arial" w:cs="Arial" w:eastAsia="Arial" w:hAnsi="Arial"/>
          <w:sz w:val="15"/>
          <w:szCs w:val="15"/>
          <w:color w:val="auto"/>
        </w:rPr>
        <w:t>West Group results for the three months ended September 30, 2014 reflect $40,756,000 of nonrecurring earnings, net.</w:t>
      </w:r>
    </w:p>
    <w:p>
      <w:pPr>
        <w:spacing w:after="0" w:line="1" w:lineRule="exact"/>
        <w:rPr>
          <w:rFonts w:ascii="Arial" w:cs="Arial" w:eastAsia="Arial" w:hAnsi="Arial"/>
          <w:sz w:val="13"/>
          <w:szCs w:val="13"/>
          <w:color w:val="auto"/>
        </w:rPr>
      </w:pPr>
    </w:p>
    <w:p>
      <w:pPr>
        <w:ind w:left="200" w:hanging="189"/>
        <w:spacing w:after="0"/>
        <w:tabs>
          <w:tab w:leader="none" w:pos="200" w:val="left"/>
        </w:tabs>
        <w:numPr>
          <w:ilvl w:val="0"/>
          <w:numId w:val="30"/>
        </w:numPr>
        <w:rPr>
          <w:rFonts w:ascii="Arial" w:cs="Arial" w:eastAsia="Arial" w:hAnsi="Arial"/>
          <w:sz w:val="12"/>
          <w:szCs w:val="12"/>
          <w:color w:val="auto"/>
        </w:rPr>
      </w:pPr>
      <w:r>
        <w:rPr>
          <w:rFonts w:ascii="Arial" w:cs="Arial" w:eastAsia="Arial" w:hAnsi="Arial"/>
          <w:sz w:val="14"/>
          <w:szCs w:val="14"/>
          <w:color w:val="auto"/>
        </w:rPr>
        <w:t>Cement segment results for the three months ended September 30, 2015 include the loss on the sale of the California cement operations and related expenses of $28,709,000.</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34 of 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4" w:name="page35"/>
    <w:bookmarkEnd w:id="34"/>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September 30, 2015</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rPr>
          <w:sz w:val="20"/>
          <w:szCs w:val="20"/>
          <w:color w:val="auto"/>
        </w:rPr>
      </w:pPr>
      <w:r>
        <w:rPr>
          <w:rFonts w:ascii="Arial" w:cs="Arial" w:eastAsia="Arial" w:hAnsi="Arial"/>
          <w:sz w:val="20"/>
          <w:szCs w:val="20"/>
          <w:color w:val="auto"/>
        </w:rPr>
        <w:t>Third Quarter Ended September 30, 2015</w:t>
      </w:r>
    </w:p>
    <w:p>
      <w:pPr>
        <w:jc w:val="center"/>
        <w:spacing w:after="0"/>
        <w:rPr>
          <w:sz w:val="20"/>
          <w:szCs w:val="20"/>
          <w:color w:val="auto"/>
        </w:rPr>
      </w:pPr>
      <w:r>
        <w:rPr>
          <w:rFonts w:ascii="Arial" w:cs="Arial" w:eastAsia="Arial" w:hAnsi="Arial"/>
          <w:sz w:val="20"/>
          <w:szCs w:val="20"/>
          <w:color w:val="auto"/>
        </w:rPr>
        <w:t>(Continued)</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Aggregates Business</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Net sales by product line for the Aggregates business, which reflect the elimination of inter-product line sales, are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9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120" w:type="dxa"/>
            <w:vAlign w:val="bottom"/>
            <w:gridSpan w:val="6"/>
          </w:tcPr>
          <w:p>
            <w:pPr>
              <w:jc w:val="center"/>
              <w:ind w:right="480"/>
              <w:spacing w:after="0"/>
              <w:rPr>
                <w:sz w:val="20"/>
                <w:szCs w:val="20"/>
                <w:color w:val="auto"/>
              </w:rPr>
            </w:pPr>
            <w:r>
              <w:rPr>
                <w:rFonts w:ascii="Arial" w:cs="Arial" w:eastAsia="Arial" w:hAnsi="Arial"/>
                <w:sz w:val="20"/>
                <w:szCs w:val="20"/>
                <w:color w:val="auto"/>
                <w:w w:val="89"/>
              </w:rPr>
              <w:t>Three Months Ended</w:t>
            </w:r>
          </w:p>
        </w:tc>
        <w:tc>
          <w:tcPr>
            <w:tcW w:w="0" w:type="dxa"/>
            <w:vAlign w:val="bottom"/>
          </w:tcPr>
          <w:p>
            <w:pPr>
              <w:spacing w:after="0"/>
              <w:rPr>
                <w:sz w:val="1"/>
                <w:szCs w:val="1"/>
                <w:color w:val="auto"/>
              </w:rPr>
            </w:pPr>
          </w:p>
        </w:tc>
      </w:tr>
      <w:tr>
        <w:trPr>
          <w:trHeight w:val="246"/>
        </w:trPr>
        <w:tc>
          <w:tcPr>
            <w:tcW w:w="796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960" w:type="dxa"/>
            <w:vAlign w:val="bottom"/>
            <w:tcBorders>
              <w:bottom w:val="single" w:sz="8" w:color="auto"/>
            </w:tcBorders>
            <w:gridSpan w:val="4"/>
          </w:tcPr>
          <w:p>
            <w:pPr>
              <w:jc w:val="center"/>
              <w:ind w:left="601"/>
              <w:spacing w:after="0"/>
              <w:rPr>
                <w:sz w:val="20"/>
                <w:szCs w:val="20"/>
                <w:color w:val="auto"/>
              </w:rPr>
            </w:pPr>
            <w:r>
              <w:rPr>
                <w:rFonts w:ascii="Arial" w:cs="Arial" w:eastAsia="Arial" w:hAnsi="Arial"/>
                <w:sz w:val="20"/>
                <w:szCs w:val="20"/>
                <w:color w:val="auto"/>
                <w:w w:val="86"/>
              </w:rPr>
              <w:t>September 30,</w:t>
            </w:r>
          </w:p>
        </w:tc>
        <w:tc>
          <w:tcPr>
            <w:tcW w:w="104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9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81"/>
              <w:spacing w:after="0"/>
              <w:rPr>
                <w:sz w:val="20"/>
                <w:szCs w:val="20"/>
                <w:color w:val="auto"/>
              </w:rPr>
            </w:pPr>
            <w:r>
              <w:rPr>
                <w:rFonts w:ascii="Arial" w:cs="Arial" w:eastAsia="Arial" w:hAnsi="Arial"/>
                <w:sz w:val="20"/>
                <w:szCs w:val="20"/>
                <w:color w:val="auto"/>
              </w:rPr>
              <w:t>2015</w:t>
            </w:r>
          </w:p>
        </w:tc>
        <w:tc>
          <w:tcPr>
            <w:tcW w:w="1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501"/>
              <w:spacing w:after="0"/>
              <w:rPr>
                <w:sz w:val="20"/>
                <w:szCs w:val="20"/>
                <w:color w:val="auto"/>
              </w:rPr>
            </w:pPr>
            <w:r>
              <w:rPr>
                <w:rFonts w:ascii="Arial" w:cs="Arial" w:eastAsia="Arial" w:hAnsi="Arial"/>
                <w:sz w:val="20"/>
                <w:szCs w:val="20"/>
                <w:color w:val="auto"/>
                <w:w w:val="94"/>
              </w:rPr>
              <w:t>2014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7960" w:type="dxa"/>
            <w:vAlign w:val="bottom"/>
            <w:vMerge w:val="restart"/>
          </w:tcPr>
          <w:p>
            <w:pPr>
              <w:spacing w:after="0"/>
              <w:rPr>
                <w:sz w:val="20"/>
                <w:szCs w:val="20"/>
                <w:color w:val="auto"/>
              </w:rPr>
            </w:pPr>
            <w:r>
              <w:rPr>
                <w:rFonts w:ascii="Arial" w:cs="Arial" w:eastAsia="Arial" w:hAnsi="Arial"/>
                <w:sz w:val="20"/>
                <w:szCs w:val="20"/>
                <w:b w:val="1"/>
                <w:bCs w:val="1"/>
                <w:color w:val="auto"/>
              </w:rPr>
              <w:t>Net sales:</w:t>
            </w:r>
          </w:p>
        </w:tc>
        <w:tc>
          <w:tcPr>
            <w:tcW w:w="340" w:type="dxa"/>
            <w:vAlign w:val="bottom"/>
          </w:tcPr>
          <w:p>
            <w:pPr>
              <w:spacing w:after="0"/>
              <w:rPr>
                <w:sz w:val="21"/>
                <w:szCs w:val="21"/>
                <w:color w:val="auto"/>
              </w:rPr>
            </w:pPr>
          </w:p>
        </w:tc>
        <w:tc>
          <w:tcPr>
            <w:tcW w:w="3000" w:type="dxa"/>
            <w:vAlign w:val="bottom"/>
            <w:gridSpan w:val="5"/>
          </w:tcPr>
          <w:p>
            <w:pPr>
              <w:jc w:val="center"/>
              <w:ind w:right="261"/>
              <w:spacing w:after="0"/>
              <w:rPr>
                <w:sz w:val="20"/>
                <w:szCs w:val="20"/>
                <w:color w:val="auto"/>
              </w:rPr>
            </w:pPr>
            <w:r>
              <w:rPr>
                <w:rFonts w:ascii="Arial" w:cs="Arial" w:eastAsia="Arial" w:hAnsi="Arial"/>
                <w:sz w:val="20"/>
                <w:szCs w:val="20"/>
                <w:i w:val="1"/>
                <w:iCs w:val="1"/>
                <w:color w:val="auto"/>
                <w:w w:val="91"/>
              </w:rPr>
              <w:t>(Dollars in Thousands)</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796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960" w:type="dxa"/>
            <w:vAlign w:val="bottom"/>
            <w:shd w:val="clear" w:color="auto" w:fill="CFF0FC"/>
          </w:tcPr>
          <w:p>
            <w:pPr>
              <w:spacing w:after="0"/>
              <w:rPr>
                <w:sz w:val="20"/>
                <w:szCs w:val="20"/>
                <w:color w:val="auto"/>
              </w:rPr>
            </w:pPr>
            <w:r>
              <w:rPr>
                <w:rFonts w:ascii="Arial" w:cs="Arial" w:eastAsia="Arial" w:hAnsi="Arial"/>
                <w:sz w:val="20"/>
                <w:szCs w:val="20"/>
                <w:color w:val="auto"/>
              </w:rPr>
              <w:t>Heritage:</w:t>
            </w:r>
          </w:p>
        </w:tc>
        <w:tc>
          <w:tcPr>
            <w:tcW w:w="34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60" w:type="dxa"/>
            <w:vAlign w:val="bottom"/>
          </w:tcPr>
          <w:p>
            <w:pPr>
              <w:ind w:left="260"/>
              <w:spacing w:after="0"/>
              <w:rPr>
                <w:sz w:val="20"/>
                <w:szCs w:val="20"/>
                <w:color w:val="auto"/>
              </w:rPr>
            </w:pPr>
            <w:r>
              <w:rPr>
                <w:rFonts w:ascii="Arial" w:cs="Arial" w:eastAsia="Arial" w:hAnsi="Arial"/>
                <w:sz w:val="20"/>
                <w:szCs w:val="20"/>
                <w:color w:val="auto"/>
              </w:rPr>
              <w:t>Aggregates</w:t>
            </w:r>
          </w:p>
        </w:tc>
        <w:tc>
          <w:tcPr>
            <w:tcW w:w="340" w:type="dxa"/>
            <w:vAlign w:val="bottom"/>
          </w:tcPr>
          <w:p>
            <w:pPr>
              <w:jc w:val="right"/>
              <w:ind w:right="121"/>
              <w:spacing w:after="0"/>
              <w:rPr>
                <w:sz w:val="20"/>
                <w:szCs w:val="20"/>
                <w:color w:val="auto"/>
              </w:rPr>
            </w:pPr>
            <w:r>
              <w:rPr>
                <w:rFonts w:ascii="Arial" w:cs="Arial" w:eastAsia="Arial" w:hAnsi="Arial"/>
                <w:sz w:val="20"/>
                <w:szCs w:val="20"/>
                <w:color w:val="auto"/>
                <w:w w:val="89"/>
              </w:rPr>
              <w:t>$</w:t>
            </w:r>
          </w:p>
        </w:tc>
        <w:tc>
          <w:tcPr>
            <w:tcW w:w="1320" w:type="dxa"/>
            <w:vAlign w:val="bottom"/>
          </w:tcPr>
          <w:p>
            <w:pPr>
              <w:jc w:val="right"/>
              <w:ind w:right="21"/>
              <w:spacing w:after="0"/>
              <w:rPr>
                <w:sz w:val="20"/>
                <w:szCs w:val="20"/>
                <w:color w:val="auto"/>
              </w:rPr>
            </w:pPr>
            <w:r>
              <w:rPr>
                <w:rFonts w:ascii="Arial" w:cs="Arial" w:eastAsia="Arial" w:hAnsi="Arial"/>
                <w:sz w:val="20"/>
                <w:szCs w:val="20"/>
                <w:color w:val="auto"/>
              </w:rPr>
              <w:t>484,396</w:t>
            </w:r>
          </w:p>
        </w:tc>
        <w:tc>
          <w:tcPr>
            <w:tcW w:w="120" w:type="dxa"/>
            <w:vAlign w:val="bottom"/>
          </w:tcPr>
          <w:p>
            <w:pPr>
              <w:spacing w:after="0"/>
              <w:rPr>
                <w:sz w:val="21"/>
                <w:szCs w:val="21"/>
                <w:color w:val="auto"/>
              </w:rPr>
            </w:pPr>
          </w:p>
        </w:tc>
        <w:tc>
          <w:tcPr>
            <w:tcW w:w="520" w:type="dxa"/>
            <w:vAlign w:val="bottom"/>
            <w:gridSpan w:val="2"/>
          </w:tcPr>
          <w:p>
            <w:pPr>
              <w:jc w:val="right"/>
              <w:ind w:right="343"/>
              <w:spacing w:after="0"/>
              <w:rPr>
                <w:sz w:val="20"/>
                <w:szCs w:val="20"/>
                <w:color w:val="auto"/>
              </w:rPr>
            </w:pPr>
            <w:r>
              <w:rPr>
                <w:rFonts w:ascii="Arial" w:cs="Arial" w:eastAsia="Arial" w:hAnsi="Arial"/>
                <w:sz w:val="20"/>
                <w:szCs w:val="20"/>
                <w:color w:val="auto"/>
                <w:w w:val="71"/>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442,021</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Asphalt</w:t>
            </w:r>
          </w:p>
        </w:tc>
        <w:tc>
          <w:tcPr>
            <w:tcW w:w="340" w:type="dxa"/>
            <w:vAlign w:val="bottom"/>
            <w:shd w:val="clear" w:color="auto" w:fill="CFF0FC"/>
          </w:tcPr>
          <w:p>
            <w:pPr>
              <w:spacing w:after="0"/>
              <w:rPr>
                <w:sz w:val="21"/>
                <w:szCs w:val="21"/>
                <w:color w:val="auto"/>
              </w:rPr>
            </w:pPr>
          </w:p>
        </w:tc>
        <w:tc>
          <w:tcPr>
            <w:tcW w:w="132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26,817</w:t>
            </w:r>
          </w:p>
        </w:tc>
        <w:tc>
          <w:tcPr>
            <w:tcW w:w="1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26,873</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60" w:type="dxa"/>
            <w:vAlign w:val="bottom"/>
          </w:tcPr>
          <w:p>
            <w:pPr>
              <w:ind w:left="260"/>
              <w:spacing w:after="0"/>
              <w:rPr>
                <w:sz w:val="20"/>
                <w:szCs w:val="20"/>
                <w:color w:val="auto"/>
              </w:rPr>
            </w:pPr>
            <w:r>
              <w:rPr>
                <w:rFonts w:ascii="Arial" w:cs="Arial" w:eastAsia="Arial" w:hAnsi="Arial"/>
                <w:sz w:val="20"/>
                <w:szCs w:val="20"/>
                <w:color w:val="auto"/>
              </w:rPr>
              <w:t>Ready Mixed Concrete</w:t>
            </w:r>
          </w:p>
        </w:tc>
        <w:tc>
          <w:tcPr>
            <w:tcW w:w="340" w:type="dxa"/>
            <w:vAlign w:val="bottom"/>
          </w:tcPr>
          <w:p>
            <w:pPr>
              <w:spacing w:after="0"/>
              <w:rPr>
                <w:sz w:val="21"/>
                <w:szCs w:val="21"/>
                <w:color w:val="auto"/>
              </w:rPr>
            </w:pPr>
          </w:p>
        </w:tc>
        <w:tc>
          <w:tcPr>
            <w:tcW w:w="1320" w:type="dxa"/>
            <w:vAlign w:val="bottom"/>
          </w:tcPr>
          <w:p>
            <w:pPr>
              <w:jc w:val="right"/>
              <w:ind w:right="21"/>
              <w:spacing w:after="0"/>
              <w:rPr>
                <w:sz w:val="20"/>
                <w:szCs w:val="20"/>
                <w:color w:val="auto"/>
              </w:rPr>
            </w:pPr>
            <w:r>
              <w:rPr>
                <w:rFonts w:ascii="Arial" w:cs="Arial" w:eastAsia="Arial" w:hAnsi="Arial"/>
                <w:sz w:val="20"/>
                <w:szCs w:val="20"/>
                <w:color w:val="auto"/>
              </w:rPr>
              <w:t>72,676</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56,476</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Road Paving</w:t>
            </w:r>
          </w:p>
        </w:tc>
        <w:tc>
          <w:tcPr>
            <w:tcW w:w="34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ind w:right="21"/>
              <w:spacing w:after="0"/>
              <w:rPr>
                <w:sz w:val="20"/>
                <w:szCs w:val="20"/>
                <w:color w:val="auto"/>
              </w:rPr>
            </w:pPr>
            <w:r>
              <w:rPr>
                <w:rFonts w:ascii="Arial" w:cs="Arial" w:eastAsia="Arial" w:hAnsi="Arial"/>
                <w:sz w:val="20"/>
                <w:szCs w:val="20"/>
                <w:color w:val="auto"/>
              </w:rPr>
              <w:t>71,023</w:t>
            </w:r>
          </w:p>
        </w:tc>
        <w:tc>
          <w:tcPr>
            <w:tcW w:w="1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50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60,327</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960" w:type="dxa"/>
            <w:vAlign w:val="bottom"/>
          </w:tcPr>
          <w:p>
            <w:pPr>
              <w:spacing w:after="0"/>
              <w:rPr>
                <w:sz w:val="20"/>
                <w:szCs w:val="20"/>
                <w:color w:val="auto"/>
              </w:rPr>
            </w:pPr>
            <w:r>
              <w:rPr>
                <w:rFonts w:ascii="Arial" w:cs="Arial" w:eastAsia="Arial" w:hAnsi="Arial"/>
                <w:sz w:val="20"/>
                <w:szCs w:val="20"/>
                <w:color w:val="auto"/>
              </w:rPr>
              <w:t>Total Heritage</w:t>
            </w:r>
          </w:p>
        </w:tc>
        <w:tc>
          <w:tcPr>
            <w:tcW w:w="340" w:type="dxa"/>
            <w:vAlign w:val="bottom"/>
          </w:tcPr>
          <w:p>
            <w:pPr>
              <w:spacing w:after="0"/>
              <w:rPr>
                <w:sz w:val="20"/>
                <w:szCs w:val="20"/>
                <w:color w:val="auto"/>
              </w:rPr>
            </w:pPr>
          </w:p>
        </w:tc>
        <w:tc>
          <w:tcPr>
            <w:tcW w:w="1320" w:type="dxa"/>
            <w:vAlign w:val="bottom"/>
          </w:tcPr>
          <w:p>
            <w:pPr>
              <w:jc w:val="right"/>
              <w:ind w:right="21"/>
              <w:spacing w:after="0"/>
              <w:rPr>
                <w:sz w:val="20"/>
                <w:szCs w:val="20"/>
                <w:color w:val="auto"/>
              </w:rPr>
            </w:pPr>
            <w:r>
              <w:rPr>
                <w:rFonts w:ascii="Arial" w:cs="Arial" w:eastAsia="Arial" w:hAnsi="Arial"/>
                <w:sz w:val="20"/>
                <w:szCs w:val="20"/>
                <w:color w:val="auto"/>
              </w:rPr>
              <w:t>654,912</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585,697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960" w:type="dxa"/>
            <w:vAlign w:val="bottom"/>
            <w:shd w:val="clear" w:color="auto" w:fill="CFF0FC"/>
          </w:tcPr>
          <w:p>
            <w:pPr>
              <w:spacing w:after="0"/>
              <w:rPr>
                <w:sz w:val="20"/>
                <w:szCs w:val="20"/>
                <w:color w:val="auto"/>
              </w:rPr>
            </w:pPr>
            <w:r>
              <w:rPr>
                <w:rFonts w:ascii="Arial" w:cs="Arial" w:eastAsia="Arial" w:hAnsi="Arial"/>
                <w:sz w:val="20"/>
                <w:szCs w:val="20"/>
                <w:color w:val="auto"/>
              </w:rPr>
              <w:t>Acquisitions</w:t>
            </w:r>
          </w:p>
        </w:tc>
        <w:tc>
          <w:tcPr>
            <w:tcW w:w="34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ind w:right="21"/>
              <w:spacing w:after="0"/>
              <w:rPr>
                <w:sz w:val="20"/>
                <w:szCs w:val="20"/>
                <w:color w:val="auto"/>
              </w:rPr>
            </w:pPr>
            <w:r>
              <w:rPr>
                <w:rFonts w:ascii="Arial" w:cs="Arial" w:eastAsia="Arial" w:hAnsi="Arial"/>
                <w:sz w:val="20"/>
                <w:szCs w:val="20"/>
                <w:color w:val="auto"/>
              </w:rPr>
              <w:t>182,529</w:t>
            </w:r>
          </w:p>
        </w:tc>
        <w:tc>
          <w:tcPr>
            <w:tcW w:w="1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50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164,052</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960" w:type="dxa"/>
            <w:vAlign w:val="bottom"/>
          </w:tcPr>
          <w:p>
            <w:pPr>
              <w:spacing w:after="0"/>
              <w:rPr>
                <w:sz w:val="20"/>
                <w:szCs w:val="20"/>
                <w:color w:val="auto"/>
              </w:rPr>
            </w:pPr>
            <w:r>
              <w:rPr>
                <w:rFonts w:ascii="Arial" w:cs="Arial" w:eastAsia="Arial" w:hAnsi="Arial"/>
                <w:sz w:val="20"/>
                <w:szCs w:val="20"/>
                <w:color w:val="auto"/>
              </w:rPr>
              <w:t>Total Aggregates Business</w:t>
            </w:r>
          </w:p>
        </w:tc>
        <w:tc>
          <w:tcPr>
            <w:tcW w:w="340" w:type="dxa"/>
            <w:vAlign w:val="bottom"/>
            <w:tcBorders>
              <w:bottom w:val="single" w:sz="8" w:color="auto"/>
            </w:tcBorders>
          </w:tcPr>
          <w:p>
            <w:pPr>
              <w:jc w:val="right"/>
              <w:ind w:right="121"/>
              <w:spacing w:after="0"/>
              <w:rPr>
                <w:sz w:val="20"/>
                <w:szCs w:val="20"/>
                <w:color w:val="auto"/>
              </w:rPr>
            </w:pPr>
            <w:r>
              <w:rPr>
                <w:rFonts w:ascii="Arial" w:cs="Arial" w:eastAsia="Arial" w:hAnsi="Arial"/>
                <w:sz w:val="20"/>
                <w:szCs w:val="20"/>
                <w:color w:val="auto"/>
                <w:w w:val="89"/>
              </w:rPr>
              <w:t>$</w:t>
            </w:r>
          </w:p>
        </w:tc>
        <w:tc>
          <w:tcPr>
            <w:tcW w:w="132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837,441</w:t>
            </w:r>
          </w:p>
        </w:tc>
        <w:tc>
          <w:tcPr>
            <w:tcW w:w="1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ind w:right="343"/>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749,749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9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tables present volume and pricing data and shipments data for the aggregates product line.</w:t>
      </w:r>
    </w:p>
    <w:p>
      <w:pPr>
        <w:spacing w:after="0" w:line="108" w:lineRule="exact"/>
        <w:rPr>
          <w:sz w:val="20"/>
          <w:szCs w:val="20"/>
          <w:color w:val="auto"/>
        </w:rPr>
      </w:pPr>
    </w:p>
    <w:p>
      <w:pPr>
        <w:ind w:left="8700"/>
        <w:spacing w:after="0"/>
        <w:rPr>
          <w:sz w:val="20"/>
          <w:szCs w:val="20"/>
          <w:color w:val="auto"/>
        </w:rPr>
      </w:pPr>
      <w:r>
        <w:rPr>
          <w:rFonts w:ascii="Arial" w:cs="Arial" w:eastAsia="Arial" w:hAnsi="Arial"/>
          <w:sz w:val="20"/>
          <w:szCs w:val="20"/>
          <w:color w:val="auto"/>
        </w:rPr>
        <w:t>Three Months Ended</w:t>
      </w:r>
    </w:p>
    <w:p>
      <w:pPr>
        <w:spacing w:after="0" w:line="20" w:lineRule="exact"/>
        <w:rPr>
          <w:sz w:val="20"/>
          <w:szCs w:val="20"/>
          <w:color w:val="auto"/>
        </w:rPr>
      </w:pPr>
    </w:p>
    <w:p>
      <w:pPr>
        <w:ind w:left="8740"/>
        <w:spacing w:after="0"/>
        <w:rPr>
          <w:sz w:val="20"/>
          <w:szCs w:val="20"/>
          <w:color w:val="auto"/>
        </w:rPr>
      </w:pPr>
      <w:r>
        <w:rPr>
          <w:rFonts w:ascii="Arial" w:cs="Arial" w:eastAsia="Arial" w:hAnsi="Arial"/>
          <w:sz w:val="20"/>
          <w:szCs w:val="20"/>
          <w:color w:val="auto"/>
        </w:rPr>
        <w:t>September 30, 2015</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860" w:type="dxa"/>
            <w:vAlign w:val="bottom"/>
            <w:tcBorders>
              <w:bottom w:val="single" w:sz="8" w:color="CFF0FC"/>
            </w:tcBorders>
          </w:tcPr>
          <w:p>
            <w:pPr>
              <w:spacing w:after="0"/>
              <w:rPr>
                <w:sz w:val="20"/>
                <w:szCs w:val="20"/>
                <w:color w:val="auto"/>
              </w:rPr>
            </w:pPr>
          </w:p>
        </w:tc>
        <w:tc>
          <w:tcPr>
            <w:tcW w:w="116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20"/>
                <w:szCs w:val="20"/>
                <w:color w:val="auto"/>
              </w:rPr>
              <w:t>Volume</w:t>
            </w:r>
          </w:p>
        </w:tc>
        <w:tc>
          <w:tcPr>
            <w:tcW w:w="360" w:type="dxa"/>
            <w:vAlign w:val="bottom"/>
            <w:tcBorders>
              <w:top w:val="single" w:sz="8" w:color="auto"/>
              <w:bottom w:val="single" w:sz="8" w:color="auto"/>
            </w:tcBorders>
          </w:tcPr>
          <w:p>
            <w:pPr>
              <w:spacing w:after="0"/>
              <w:rPr>
                <w:sz w:val="20"/>
                <w:szCs w:val="20"/>
                <w:color w:val="auto"/>
              </w:rPr>
            </w:pPr>
          </w:p>
        </w:tc>
        <w:tc>
          <w:tcPr>
            <w:tcW w:w="300" w:type="dxa"/>
            <w:vAlign w:val="bottom"/>
            <w:tcBorders>
              <w:top w:val="single" w:sz="8" w:color="auto"/>
              <w:bottom w:val="single" w:sz="8" w:color="CFF0FC"/>
            </w:tcBorders>
          </w:tcPr>
          <w:p>
            <w:pPr>
              <w:spacing w:after="0"/>
              <w:rPr>
                <w:sz w:val="20"/>
                <w:szCs w:val="20"/>
                <w:color w:val="auto"/>
              </w:rPr>
            </w:pPr>
          </w:p>
        </w:tc>
        <w:tc>
          <w:tcPr>
            <w:tcW w:w="1540" w:type="dxa"/>
            <w:vAlign w:val="bottom"/>
            <w:tcBorders>
              <w:top w:val="single" w:sz="8" w:color="auto"/>
              <w:bottom w:val="single" w:sz="8" w:color="auto"/>
            </w:tcBorders>
          </w:tcPr>
          <w:p>
            <w:pPr>
              <w:ind w:left="480"/>
              <w:spacing w:after="0"/>
              <w:rPr>
                <w:sz w:val="20"/>
                <w:szCs w:val="20"/>
                <w:color w:val="auto"/>
              </w:rPr>
            </w:pPr>
            <w:r>
              <w:rPr>
                <w:rFonts w:ascii="Arial" w:cs="Arial" w:eastAsia="Arial" w:hAnsi="Arial"/>
                <w:sz w:val="20"/>
                <w:szCs w:val="20"/>
                <w:color w:val="auto"/>
              </w:rPr>
              <w:t>Pricing</w:t>
            </w:r>
          </w:p>
        </w:tc>
        <w:tc>
          <w:tcPr>
            <w:tcW w:w="200" w:type="dxa"/>
            <w:vAlign w:val="bottom"/>
            <w:tcBorders>
              <w:bottom w:val="single" w:sz="8" w:color="CFF0FC"/>
            </w:tcBorders>
          </w:tcPr>
          <w:p>
            <w:pPr>
              <w:spacing w:after="0"/>
              <w:rPr>
                <w:sz w:val="20"/>
                <w:szCs w:val="20"/>
                <w:color w:val="auto"/>
              </w:rPr>
            </w:pPr>
          </w:p>
        </w:tc>
      </w:tr>
      <w:tr>
        <w:trPr>
          <w:trHeight w:val="237"/>
        </w:trPr>
        <w:tc>
          <w:tcPr>
            <w:tcW w:w="7860" w:type="dxa"/>
            <w:vAlign w:val="bottom"/>
            <w:shd w:val="clear" w:color="auto" w:fill="CFF0FC"/>
          </w:tcPr>
          <w:p>
            <w:pPr>
              <w:spacing w:after="0"/>
              <w:rPr>
                <w:sz w:val="20"/>
                <w:szCs w:val="20"/>
                <w:color w:val="auto"/>
              </w:rPr>
            </w:pPr>
            <w:r>
              <w:rPr>
                <w:rFonts w:ascii="Arial" w:cs="Arial" w:eastAsia="Arial" w:hAnsi="Arial"/>
                <w:sz w:val="20"/>
                <w:szCs w:val="20"/>
                <w:b w:val="1"/>
                <w:bCs w:val="1"/>
                <w:color w:val="auto"/>
              </w:rPr>
              <w:t xml:space="preserve">Volume/Pricing Variance </w:t>
            </w:r>
            <w:r>
              <w:rPr>
                <w:rFonts w:ascii="Arial" w:cs="Arial" w:eastAsia="Arial" w:hAnsi="Arial"/>
                <w:sz w:val="16"/>
                <w:szCs w:val="16"/>
                <w:color w:val="auto"/>
              </w:rPr>
              <w:t>(1)</w:t>
            </w:r>
          </w:p>
        </w:tc>
        <w:tc>
          <w:tcPr>
            <w:tcW w:w="11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5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r>
      <w:tr>
        <w:trPr>
          <w:trHeight w:val="243"/>
        </w:trPr>
        <w:tc>
          <w:tcPr>
            <w:tcW w:w="9020" w:type="dxa"/>
            <w:vAlign w:val="bottom"/>
            <w:gridSpan w:val="2"/>
          </w:tcPr>
          <w:p>
            <w:pPr>
              <w:spacing w:after="0"/>
              <w:rPr>
                <w:sz w:val="20"/>
                <w:szCs w:val="20"/>
                <w:color w:val="auto"/>
              </w:rPr>
            </w:pPr>
            <w:r>
              <w:rPr>
                <w:rFonts w:ascii="Arial" w:cs="Arial" w:eastAsia="Arial" w:hAnsi="Arial"/>
                <w:sz w:val="20"/>
                <w:szCs w:val="20"/>
                <w:color w:val="auto"/>
              </w:rPr>
              <w:t xml:space="preserve">Heritage Aggregates Product Line </w:t>
            </w:r>
            <w:r>
              <w:rPr>
                <w:rFonts w:ascii="Arial" w:cs="Arial" w:eastAsia="Arial" w:hAnsi="Arial"/>
                <w:sz w:val="16"/>
                <w:szCs w:val="16"/>
                <w:color w:val="auto"/>
              </w:rPr>
              <w:t>(2)</w:t>
            </w:r>
            <w:r>
              <w:rPr>
                <w:rFonts w:ascii="Arial" w:cs="Arial" w:eastAsia="Arial" w:hAnsi="Arial"/>
                <w:sz w:val="20"/>
                <w:szCs w:val="20"/>
                <w:color w:val="auto"/>
              </w:rPr>
              <w:t>:</w:t>
            </w:r>
          </w:p>
        </w:tc>
        <w:tc>
          <w:tcPr>
            <w:tcW w:w="3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43"/>
        </w:trPr>
        <w:tc>
          <w:tcPr>
            <w:tcW w:w="9020" w:type="dxa"/>
            <w:vAlign w:val="bottom"/>
            <w:gridSpan w:val="2"/>
            <w:shd w:val="clear" w:color="auto" w:fill="CFF0FC"/>
          </w:tcPr>
          <w:p>
            <w:pPr>
              <w:ind w:left="260"/>
              <w:spacing w:after="0"/>
              <w:rPr>
                <w:sz w:val="20"/>
                <w:szCs w:val="20"/>
                <w:color w:val="auto"/>
              </w:rPr>
            </w:pPr>
            <w:r>
              <w:rPr>
                <w:rFonts w:ascii="Arial" w:cs="Arial" w:eastAsia="Arial" w:hAnsi="Arial"/>
                <w:sz w:val="20"/>
                <w:szCs w:val="20"/>
                <w:color w:val="auto"/>
              </w:rPr>
              <w:t>Mid-America Group</w:t>
            </w:r>
          </w:p>
        </w:tc>
        <w:tc>
          <w:tcPr>
            <w:tcW w:w="660" w:type="dxa"/>
            <w:vAlign w:val="bottom"/>
            <w:gridSpan w:val="2"/>
            <w:shd w:val="clear" w:color="auto" w:fill="CFF0FC"/>
          </w:tcPr>
          <w:p>
            <w:pPr>
              <w:jc w:val="right"/>
              <w:ind w:right="140"/>
              <w:spacing w:after="0"/>
              <w:rPr>
                <w:sz w:val="20"/>
                <w:szCs w:val="20"/>
                <w:color w:val="auto"/>
              </w:rPr>
            </w:pPr>
            <w:r>
              <w:rPr>
                <w:rFonts w:ascii="Arial" w:cs="Arial" w:eastAsia="Arial" w:hAnsi="Arial"/>
                <w:sz w:val="20"/>
                <w:szCs w:val="20"/>
                <w:color w:val="auto"/>
              </w:rPr>
              <w:t>4.2%</w:t>
            </w:r>
          </w:p>
        </w:tc>
        <w:tc>
          <w:tcPr>
            <w:tcW w:w="1740" w:type="dxa"/>
            <w:vAlign w:val="bottom"/>
            <w:gridSpan w:val="2"/>
            <w:shd w:val="clear" w:color="auto" w:fill="CFF0FC"/>
          </w:tcPr>
          <w:p>
            <w:pPr>
              <w:jc w:val="right"/>
              <w:ind w:right="40"/>
              <w:spacing w:after="0"/>
              <w:rPr>
                <w:sz w:val="20"/>
                <w:szCs w:val="20"/>
                <w:color w:val="auto"/>
              </w:rPr>
            </w:pPr>
            <w:r>
              <w:rPr>
                <w:rFonts w:ascii="Arial" w:cs="Arial" w:eastAsia="Arial" w:hAnsi="Arial"/>
                <w:sz w:val="20"/>
                <w:szCs w:val="20"/>
                <w:color w:val="auto"/>
              </w:rPr>
              <w:t>4.1%</w:t>
            </w:r>
          </w:p>
        </w:tc>
      </w:tr>
      <w:tr>
        <w:trPr>
          <w:trHeight w:val="243"/>
        </w:trPr>
        <w:tc>
          <w:tcPr>
            <w:tcW w:w="9020" w:type="dxa"/>
            <w:vAlign w:val="bottom"/>
            <w:gridSpan w:val="2"/>
          </w:tcPr>
          <w:p>
            <w:pPr>
              <w:ind w:left="260"/>
              <w:spacing w:after="0"/>
              <w:rPr>
                <w:sz w:val="20"/>
                <w:szCs w:val="20"/>
                <w:color w:val="auto"/>
              </w:rPr>
            </w:pPr>
            <w:r>
              <w:rPr>
                <w:rFonts w:ascii="Arial" w:cs="Arial" w:eastAsia="Arial" w:hAnsi="Arial"/>
                <w:sz w:val="20"/>
                <w:szCs w:val="20"/>
                <w:color w:val="auto"/>
              </w:rPr>
              <w:t>Southeast Group</w:t>
            </w:r>
          </w:p>
        </w:tc>
        <w:tc>
          <w:tcPr>
            <w:tcW w:w="660" w:type="dxa"/>
            <w:vAlign w:val="bottom"/>
            <w:gridSpan w:val="2"/>
          </w:tcPr>
          <w:p>
            <w:pPr>
              <w:jc w:val="right"/>
              <w:ind w:right="140"/>
              <w:spacing w:after="0"/>
              <w:rPr>
                <w:sz w:val="20"/>
                <w:szCs w:val="20"/>
                <w:color w:val="auto"/>
              </w:rPr>
            </w:pPr>
            <w:r>
              <w:rPr>
                <w:rFonts w:ascii="Arial" w:cs="Arial" w:eastAsia="Arial" w:hAnsi="Arial"/>
                <w:sz w:val="20"/>
                <w:szCs w:val="20"/>
                <w:color w:val="auto"/>
              </w:rPr>
              <w:t>9.1%</w:t>
            </w:r>
          </w:p>
        </w:tc>
        <w:tc>
          <w:tcPr>
            <w:tcW w:w="1740" w:type="dxa"/>
            <w:vAlign w:val="bottom"/>
            <w:gridSpan w:val="2"/>
          </w:tcPr>
          <w:p>
            <w:pPr>
              <w:jc w:val="right"/>
              <w:ind w:right="40"/>
              <w:spacing w:after="0"/>
              <w:rPr>
                <w:sz w:val="20"/>
                <w:szCs w:val="20"/>
                <w:color w:val="auto"/>
              </w:rPr>
            </w:pPr>
            <w:r>
              <w:rPr>
                <w:rFonts w:ascii="Arial" w:cs="Arial" w:eastAsia="Arial" w:hAnsi="Arial"/>
                <w:sz w:val="20"/>
                <w:szCs w:val="20"/>
                <w:color w:val="auto"/>
              </w:rPr>
              <w:t>5.8%</w:t>
            </w:r>
          </w:p>
        </w:tc>
      </w:tr>
      <w:tr>
        <w:trPr>
          <w:trHeight w:val="243"/>
        </w:trPr>
        <w:tc>
          <w:tcPr>
            <w:tcW w:w="9020" w:type="dxa"/>
            <w:vAlign w:val="bottom"/>
            <w:gridSpan w:val="2"/>
            <w:shd w:val="clear" w:color="auto" w:fill="CFF0FC"/>
          </w:tcPr>
          <w:p>
            <w:pPr>
              <w:ind w:left="260"/>
              <w:spacing w:after="0"/>
              <w:rPr>
                <w:sz w:val="20"/>
                <w:szCs w:val="20"/>
                <w:color w:val="auto"/>
              </w:rPr>
            </w:pPr>
            <w:r>
              <w:rPr>
                <w:rFonts w:ascii="Arial" w:cs="Arial" w:eastAsia="Arial" w:hAnsi="Arial"/>
                <w:sz w:val="20"/>
                <w:szCs w:val="20"/>
                <w:color w:val="auto"/>
              </w:rPr>
              <w:t>West Group</w:t>
            </w:r>
          </w:p>
        </w:tc>
        <w:tc>
          <w:tcPr>
            <w:tcW w:w="660" w:type="dxa"/>
            <w:vAlign w:val="bottom"/>
            <w:gridSpan w:val="2"/>
            <w:shd w:val="clear" w:color="auto" w:fill="CFF0FC"/>
          </w:tcPr>
          <w:p>
            <w:pPr>
              <w:jc w:val="right"/>
              <w:ind w:right="140"/>
              <w:spacing w:after="0"/>
              <w:rPr>
                <w:sz w:val="20"/>
                <w:szCs w:val="20"/>
                <w:color w:val="auto"/>
              </w:rPr>
            </w:pPr>
            <w:r>
              <w:rPr>
                <w:rFonts w:ascii="Arial" w:cs="Arial" w:eastAsia="Arial" w:hAnsi="Arial"/>
                <w:sz w:val="20"/>
                <w:szCs w:val="20"/>
                <w:color w:val="auto"/>
              </w:rPr>
              <w:t>5.3%</w:t>
            </w:r>
          </w:p>
        </w:tc>
        <w:tc>
          <w:tcPr>
            <w:tcW w:w="1740" w:type="dxa"/>
            <w:vAlign w:val="bottom"/>
            <w:gridSpan w:val="2"/>
            <w:shd w:val="clear" w:color="auto" w:fill="CFF0FC"/>
          </w:tcPr>
          <w:p>
            <w:pPr>
              <w:jc w:val="right"/>
              <w:ind w:right="40"/>
              <w:spacing w:after="0"/>
              <w:rPr>
                <w:sz w:val="20"/>
                <w:szCs w:val="20"/>
                <w:color w:val="auto"/>
              </w:rPr>
            </w:pPr>
            <w:r>
              <w:rPr>
                <w:rFonts w:ascii="Arial" w:cs="Arial" w:eastAsia="Arial" w:hAnsi="Arial"/>
                <w:sz w:val="20"/>
                <w:szCs w:val="20"/>
                <w:color w:val="auto"/>
              </w:rPr>
              <w:t>5.2%</w:t>
            </w:r>
          </w:p>
        </w:tc>
      </w:tr>
      <w:tr>
        <w:trPr>
          <w:trHeight w:val="243"/>
        </w:trPr>
        <w:tc>
          <w:tcPr>
            <w:tcW w:w="9020" w:type="dxa"/>
            <w:vAlign w:val="bottom"/>
            <w:gridSpan w:val="2"/>
          </w:tcPr>
          <w:p>
            <w:pPr>
              <w:spacing w:after="0"/>
              <w:rPr>
                <w:sz w:val="20"/>
                <w:szCs w:val="20"/>
                <w:color w:val="auto"/>
              </w:rPr>
            </w:pPr>
            <w:r>
              <w:rPr>
                <w:rFonts w:ascii="Arial" w:cs="Arial" w:eastAsia="Arial" w:hAnsi="Arial"/>
                <w:sz w:val="20"/>
                <w:szCs w:val="20"/>
                <w:color w:val="auto"/>
              </w:rPr>
              <w:t>Heritage Aggregates Operations</w:t>
            </w:r>
            <w:r>
              <w:rPr>
                <w:rFonts w:ascii="Arial" w:cs="Arial" w:eastAsia="Arial" w:hAnsi="Arial"/>
                <w:sz w:val="16"/>
                <w:szCs w:val="16"/>
                <w:color w:val="auto"/>
              </w:rPr>
              <w:t>(2)</w:t>
            </w:r>
          </w:p>
        </w:tc>
        <w:tc>
          <w:tcPr>
            <w:tcW w:w="660" w:type="dxa"/>
            <w:vAlign w:val="bottom"/>
            <w:gridSpan w:val="2"/>
          </w:tcPr>
          <w:p>
            <w:pPr>
              <w:jc w:val="right"/>
              <w:ind w:right="140"/>
              <w:spacing w:after="0"/>
              <w:rPr>
                <w:sz w:val="20"/>
                <w:szCs w:val="20"/>
                <w:color w:val="auto"/>
              </w:rPr>
            </w:pPr>
            <w:r>
              <w:rPr>
                <w:rFonts w:ascii="Arial" w:cs="Arial" w:eastAsia="Arial" w:hAnsi="Arial"/>
                <w:sz w:val="20"/>
                <w:szCs w:val="20"/>
                <w:color w:val="auto"/>
              </w:rPr>
              <w:t>5.2%</w:t>
            </w:r>
          </w:p>
        </w:tc>
        <w:tc>
          <w:tcPr>
            <w:tcW w:w="1740" w:type="dxa"/>
            <w:vAlign w:val="bottom"/>
            <w:gridSpan w:val="2"/>
          </w:tcPr>
          <w:p>
            <w:pPr>
              <w:jc w:val="right"/>
              <w:ind w:right="40"/>
              <w:spacing w:after="0"/>
              <w:rPr>
                <w:sz w:val="20"/>
                <w:szCs w:val="20"/>
                <w:color w:val="auto"/>
              </w:rPr>
            </w:pPr>
            <w:r>
              <w:rPr>
                <w:rFonts w:ascii="Arial" w:cs="Arial" w:eastAsia="Arial" w:hAnsi="Arial"/>
                <w:sz w:val="20"/>
                <w:szCs w:val="20"/>
                <w:color w:val="auto"/>
              </w:rPr>
              <w:t>4.8%</w:t>
            </w:r>
          </w:p>
        </w:tc>
      </w:tr>
      <w:tr>
        <w:trPr>
          <w:trHeight w:val="243"/>
        </w:trPr>
        <w:tc>
          <w:tcPr>
            <w:tcW w:w="9020" w:type="dxa"/>
            <w:vAlign w:val="bottom"/>
            <w:gridSpan w:val="2"/>
            <w:shd w:val="clear" w:color="auto" w:fill="CFF0FC"/>
          </w:tcPr>
          <w:p>
            <w:pPr>
              <w:spacing w:after="0"/>
              <w:rPr>
                <w:sz w:val="20"/>
                <w:szCs w:val="20"/>
                <w:color w:val="auto"/>
              </w:rPr>
            </w:pPr>
            <w:r>
              <w:rPr>
                <w:rFonts w:ascii="Arial" w:cs="Arial" w:eastAsia="Arial" w:hAnsi="Arial"/>
                <w:sz w:val="20"/>
                <w:szCs w:val="20"/>
                <w:color w:val="auto"/>
              </w:rPr>
              <w:t xml:space="preserve">Aggregates Product Line </w:t>
            </w:r>
            <w:r>
              <w:rPr>
                <w:rFonts w:ascii="Arial" w:cs="Arial" w:eastAsia="Arial" w:hAnsi="Arial"/>
                <w:sz w:val="16"/>
                <w:szCs w:val="16"/>
                <w:color w:val="auto"/>
              </w:rPr>
              <w:t>(3)</w:t>
            </w:r>
          </w:p>
        </w:tc>
        <w:tc>
          <w:tcPr>
            <w:tcW w:w="660" w:type="dxa"/>
            <w:vAlign w:val="bottom"/>
            <w:gridSpan w:val="2"/>
            <w:shd w:val="clear" w:color="auto" w:fill="CFF0FC"/>
          </w:tcPr>
          <w:p>
            <w:pPr>
              <w:jc w:val="right"/>
              <w:ind w:right="140"/>
              <w:spacing w:after="0"/>
              <w:rPr>
                <w:sz w:val="20"/>
                <w:szCs w:val="20"/>
                <w:color w:val="auto"/>
              </w:rPr>
            </w:pPr>
            <w:r>
              <w:rPr>
                <w:rFonts w:ascii="Arial" w:cs="Arial" w:eastAsia="Arial" w:hAnsi="Arial"/>
                <w:sz w:val="20"/>
                <w:szCs w:val="20"/>
                <w:color w:val="auto"/>
              </w:rPr>
              <w:t>5.4%</w:t>
            </w:r>
          </w:p>
        </w:tc>
        <w:tc>
          <w:tcPr>
            <w:tcW w:w="1740" w:type="dxa"/>
            <w:vAlign w:val="bottom"/>
            <w:gridSpan w:val="2"/>
            <w:shd w:val="clear" w:color="auto" w:fill="CFF0FC"/>
          </w:tcPr>
          <w:p>
            <w:pPr>
              <w:jc w:val="right"/>
              <w:ind w:right="40"/>
              <w:spacing w:after="0"/>
              <w:rPr>
                <w:sz w:val="20"/>
                <w:szCs w:val="20"/>
                <w:color w:val="auto"/>
              </w:rPr>
            </w:pPr>
            <w:r>
              <w:rPr>
                <w:rFonts w:ascii="Arial" w:cs="Arial" w:eastAsia="Arial" w:hAnsi="Arial"/>
                <w:sz w:val="20"/>
                <w:szCs w:val="20"/>
                <w:color w:val="auto"/>
              </w:rPr>
              <w:t>5.4%</w:t>
            </w:r>
          </w:p>
        </w:tc>
      </w:tr>
    </w:tbl>
    <w:p>
      <w:pPr>
        <w:spacing w:after="0" w:line="19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35 of 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35" w:name="page36"/>
    <w:bookmarkEnd w:id="35"/>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September 30, 2015</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rPr>
          <w:sz w:val="20"/>
          <w:szCs w:val="20"/>
          <w:color w:val="auto"/>
        </w:rPr>
      </w:pPr>
      <w:r>
        <w:rPr>
          <w:rFonts w:ascii="Arial" w:cs="Arial" w:eastAsia="Arial" w:hAnsi="Arial"/>
          <w:sz w:val="20"/>
          <w:szCs w:val="20"/>
          <w:color w:val="auto"/>
        </w:rPr>
        <w:t>Third Quarter Ended September 30, 2015</w:t>
      </w:r>
    </w:p>
    <w:p>
      <w:pPr>
        <w:jc w:val="center"/>
        <w:spacing w:after="0"/>
        <w:rPr>
          <w:sz w:val="20"/>
          <w:szCs w:val="20"/>
          <w:color w:val="auto"/>
        </w:rPr>
      </w:pPr>
      <w:r>
        <w:rPr>
          <w:rFonts w:ascii="Arial" w:cs="Arial" w:eastAsia="Arial" w:hAnsi="Arial"/>
          <w:sz w:val="20"/>
          <w:szCs w:val="20"/>
          <w:color w:val="auto"/>
        </w:rPr>
        <w:t>(Continued)</w:t>
      </w: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0" w:type="dxa"/>
            <w:vAlign w:val="bottom"/>
          </w:tcPr>
          <w:p>
            <w:pPr>
              <w:spacing w:after="0"/>
              <w:rPr>
                <w:sz w:val="21"/>
                <w:szCs w:val="21"/>
                <w:color w:val="auto"/>
              </w:rPr>
            </w:pPr>
          </w:p>
        </w:tc>
        <w:tc>
          <w:tcPr>
            <w:tcW w:w="75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40" w:type="dxa"/>
            <w:vAlign w:val="bottom"/>
            <w:gridSpan w:val="7"/>
          </w:tcPr>
          <w:p>
            <w:pPr>
              <w:jc w:val="center"/>
              <w:ind w:right="120"/>
              <w:spacing w:after="0"/>
              <w:rPr>
                <w:sz w:val="20"/>
                <w:szCs w:val="20"/>
                <w:color w:val="auto"/>
              </w:rPr>
            </w:pPr>
            <w:r>
              <w:rPr>
                <w:rFonts w:ascii="Arial" w:cs="Arial" w:eastAsia="Arial" w:hAnsi="Arial"/>
                <w:sz w:val="20"/>
                <w:szCs w:val="20"/>
                <w:color w:val="auto"/>
                <w:w w:val="89"/>
              </w:rPr>
              <w:t>Three Months Ended</w:t>
            </w: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75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40" w:type="dxa"/>
            <w:vAlign w:val="bottom"/>
            <w:gridSpan w:val="7"/>
          </w:tcPr>
          <w:p>
            <w:pPr>
              <w:jc w:val="center"/>
              <w:ind w:right="140"/>
              <w:spacing w:after="0"/>
              <w:rPr>
                <w:sz w:val="20"/>
                <w:szCs w:val="20"/>
                <w:color w:val="auto"/>
              </w:rPr>
            </w:pPr>
            <w:r>
              <w:rPr>
                <w:rFonts w:ascii="Arial" w:cs="Arial" w:eastAsia="Arial" w:hAnsi="Arial"/>
                <w:sz w:val="20"/>
                <w:szCs w:val="20"/>
                <w:color w:val="auto"/>
                <w:w w:val="86"/>
              </w:rPr>
              <w:t>September 30,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5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20" w:type="dxa"/>
            <w:vAlign w:val="bottom"/>
            <w:tcBorders>
              <w:top w:val="single" w:sz="8" w:color="auto"/>
              <w:bottom w:val="single" w:sz="8" w:color="auto"/>
            </w:tcBorders>
          </w:tcPr>
          <w:p>
            <w:pPr>
              <w:jc w:val="right"/>
              <w:ind w:right="241"/>
              <w:spacing w:after="0"/>
              <w:rPr>
                <w:sz w:val="20"/>
                <w:szCs w:val="20"/>
                <w:color w:val="auto"/>
              </w:rPr>
            </w:pPr>
            <w:r>
              <w:rPr>
                <w:rFonts w:ascii="Arial" w:cs="Arial" w:eastAsia="Arial" w:hAnsi="Arial"/>
                <w:sz w:val="20"/>
                <w:szCs w:val="20"/>
                <w:color w:val="auto"/>
              </w:rPr>
              <w:t>2015</w:t>
            </w:r>
          </w:p>
        </w:tc>
        <w:tc>
          <w:tcPr>
            <w:tcW w:w="220" w:type="dxa"/>
            <w:vAlign w:val="bottom"/>
            <w:tcBorders>
              <w:top w:val="single" w:sz="8" w:color="auto"/>
              <w:bottom w:val="single" w:sz="8" w:color="auto"/>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ind w:right="481"/>
              <w:spacing w:after="0"/>
              <w:rPr>
                <w:sz w:val="20"/>
                <w:szCs w:val="20"/>
                <w:color w:val="auto"/>
              </w:rPr>
            </w:pPr>
            <w:r>
              <w:rPr>
                <w:rFonts w:ascii="Arial" w:cs="Arial" w:eastAsia="Arial" w:hAnsi="Arial"/>
                <w:sz w:val="20"/>
                <w:szCs w:val="20"/>
                <w:color w:val="auto"/>
              </w:rPr>
              <w:t>2014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7980" w:type="dxa"/>
            <w:vAlign w:val="bottom"/>
            <w:gridSpan w:val="3"/>
            <w:vMerge w:val="restart"/>
          </w:tcPr>
          <w:p>
            <w:pPr>
              <w:spacing w:after="0"/>
              <w:rPr>
                <w:sz w:val="20"/>
                <w:szCs w:val="20"/>
                <w:color w:val="auto"/>
              </w:rPr>
            </w:pPr>
            <w:r>
              <w:rPr>
                <w:rFonts w:ascii="Arial" w:cs="Arial" w:eastAsia="Arial" w:hAnsi="Arial"/>
                <w:sz w:val="20"/>
                <w:szCs w:val="20"/>
                <w:b w:val="1"/>
                <w:bCs w:val="1"/>
                <w:color w:val="auto"/>
              </w:rPr>
              <w:t>Shipments</w:t>
            </w:r>
          </w:p>
        </w:tc>
        <w:tc>
          <w:tcPr>
            <w:tcW w:w="3320" w:type="dxa"/>
            <w:vAlign w:val="bottom"/>
            <w:gridSpan w:val="6"/>
          </w:tcPr>
          <w:p>
            <w:pPr>
              <w:jc w:val="center"/>
              <w:spacing w:after="0"/>
              <w:rPr>
                <w:sz w:val="20"/>
                <w:szCs w:val="20"/>
                <w:color w:val="auto"/>
              </w:rPr>
            </w:pPr>
            <w:r>
              <w:rPr>
                <w:rFonts w:ascii="Arial" w:cs="Arial" w:eastAsia="Arial" w:hAnsi="Arial"/>
                <w:sz w:val="20"/>
                <w:szCs w:val="20"/>
                <w:i w:val="1"/>
                <w:iCs w:val="1"/>
                <w:color w:val="auto"/>
                <w:w w:val="87"/>
              </w:rPr>
              <w:t>(Tons in Thousands)</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7980" w:type="dxa"/>
            <w:vAlign w:val="bottom"/>
            <w:gridSpan w:val="3"/>
            <w:vMerge w:val="continue"/>
          </w:tcPr>
          <w:p>
            <w:pPr>
              <w:spacing w:after="0"/>
              <w:rPr>
                <w:sz w:val="20"/>
                <w:szCs w:val="20"/>
                <w:color w:val="auto"/>
              </w:rPr>
            </w:pPr>
          </w:p>
        </w:tc>
        <w:tc>
          <w:tcPr>
            <w:tcW w:w="1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960" w:type="dxa"/>
            <w:vAlign w:val="bottom"/>
            <w:gridSpan w:val="2"/>
            <w:shd w:val="clear" w:color="auto" w:fill="CFF0FC"/>
          </w:tcPr>
          <w:p>
            <w:pPr>
              <w:spacing w:after="0"/>
              <w:rPr>
                <w:sz w:val="20"/>
                <w:szCs w:val="20"/>
                <w:color w:val="auto"/>
              </w:rPr>
            </w:pPr>
            <w:r>
              <w:rPr>
                <w:rFonts w:ascii="Arial" w:cs="Arial" w:eastAsia="Arial" w:hAnsi="Arial"/>
                <w:sz w:val="20"/>
                <w:szCs w:val="20"/>
                <w:color w:val="auto"/>
              </w:rPr>
              <w:t xml:space="preserve">Heritage Aggregates Product Line </w:t>
            </w:r>
            <w:r>
              <w:rPr>
                <w:rFonts w:ascii="Arial" w:cs="Arial" w:eastAsia="Arial" w:hAnsi="Arial"/>
                <w:sz w:val="16"/>
                <w:szCs w:val="16"/>
                <w:color w:val="auto"/>
              </w:rPr>
              <w:t>(2)</w:t>
            </w:r>
            <w:r>
              <w:rPr>
                <w:rFonts w:ascii="Arial" w:cs="Arial" w:eastAsia="Arial" w:hAnsi="Arial"/>
                <w:sz w:val="20"/>
                <w:szCs w:val="20"/>
                <w:color w:val="auto"/>
              </w:rPr>
              <w:t>:</w:t>
            </w:r>
          </w:p>
        </w:tc>
        <w:tc>
          <w:tcPr>
            <w:tcW w:w="13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960" w:type="dxa"/>
            <w:vAlign w:val="bottom"/>
            <w:gridSpan w:val="2"/>
          </w:tcPr>
          <w:p>
            <w:pPr>
              <w:ind w:left="240"/>
              <w:spacing w:after="0"/>
              <w:rPr>
                <w:sz w:val="20"/>
                <w:szCs w:val="20"/>
                <w:color w:val="auto"/>
              </w:rPr>
            </w:pPr>
            <w:r>
              <w:rPr>
                <w:rFonts w:ascii="Arial" w:cs="Arial" w:eastAsia="Arial" w:hAnsi="Arial"/>
                <w:sz w:val="20"/>
                <w:szCs w:val="20"/>
                <w:color w:val="auto"/>
              </w:rPr>
              <w:t>Mid-America Group</w:t>
            </w:r>
          </w:p>
        </w:tc>
        <w:tc>
          <w:tcPr>
            <w:tcW w:w="1560" w:type="dxa"/>
            <w:vAlign w:val="bottom"/>
            <w:gridSpan w:val="3"/>
          </w:tcPr>
          <w:p>
            <w:pPr>
              <w:jc w:val="right"/>
              <w:ind w:right="20"/>
              <w:spacing w:after="0"/>
              <w:rPr>
                <w:sz w:val="20"/>
                <w:szCs w:val="20"/>
                <w:color w:val="auto"/>
              </w:rPr>
            </w:pPr>
            <w:r>
              <w:rPr>
                <w:rFonts w:ascii="Arial" w:cs="Arial" w:eastAsia="Arial" w:hAnsi="Arial"/>
                <w:sz w:val="20"/>
                <w:szCs w:val="20"/>
                <w:color w:val="auto"/>
              </w:rPr>
              <w:t>21,842</w:t>
            </w: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20,971</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960" w:type="dxa"/>
            <w:vAlign w:val="bottom"/>
            <w:gridSpan w:val="2"/>
            <w:shd w:val="clear" w:color="auto" w:fill="CFF0FC"/>
          </w:tcPr>
          <w:p>
            <w:pPr>
              <w:ind w:left="240"/>
              <w:spacing w:after="0"/>
              <w:rPr>
                <w:sz w:val="20"/>
                <w:szCs w:val="20"/>
                <w:color w:val="auto"/>
              </w:rPr>
            </w:pPr>
            <w:r>
              <w:rPr>
                <w:rFonts w:ascii="Arial" w:cs="Arial" w:eastAsia="Arial" w:hAnsi="Arial"/>
                <w:sz w:val="20"/>
                <w:szCs w:val="20"/>
                <w:color w:val="auto"/>
              </w:rPr>
              <w:t>Southeast Group</w:t>
            </w:r>
          </w:p>
        </w:tc>
        <w:tc>
          <w:tcPr>
            <w:tcW w:w="1560" w:type="dxa"/>
            <w:vAlign w:val="bottom"/>
            <w:gridSpan w:val="3"/>
            <w:shd w:val="clear" w:color="auto" w:fill="CFF0FC"/>
          </w:tcPr>
          <w:p>
            <w:pPr>
              <w:jc w:val="right"/>
              <w:ind w:right="20"/>
              <w:spacing w:after="0"/>
              <w:rPr>
                <w:sz w:val="20"/>
                <w:szCs w:val="20"/>
                <w:color w:val="auto"/>
              </w:rPr>
            </w:pPr>
            <w:r>
              <w:rPr>
                <w:rFonts w:ascii="Arial" w:cs="Arial" w:eastAsia="Arial" w:hAnsi="Arial"/>
                <w:sz w:val="20"/>
                <w:szCs w:val="20"/>
                <w:color w:val="auto"/>
              </w:rPr>
              <w:t>5,406</w:t>
            </w:r>
          </w:p>
        </w:tc>
        <w:tc>
          <w:tcPr>
            <w:tcW w:w="2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4,954</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960" w:type="dxa"/>
            <w:vAlign w:val="bottom"/>
            <w:tcBorders>
              <w:bottom w:val="single" w:sz="8" w:color="CFF0FC"/>
            </w:tcBorders>
            <w:gridSpan w:val="2"/>
          </w:tcPr>
          <w:p>
            <w:pPr>
              <w:ind w:left="240"/>
              <w:spacing w:after="0"/>
              <w:rPr>
                <w:sz w:val="20"/>
                <w:szCs w:val="20"/>
                <w:color w:val="auto"/>
              </w:rPr>
            </w:pPr>
            <w:r>
              <w:rPr>
                <w:rFonts w:ascii="Arial" w:cs="Arial" w:eastAsia="Arial" w:hAnsi="Arial"/>
                <w:sz w:val="20"/>
                <w:szCs w:val="20"/>
                <w:color w:val="auto"/>
              </w:rPr>
              <w:t>West Group</w:t>
            </w:r>
          </w:p>
        </w:tc>
        <w:tc>
          <w:tcPr>
            <w:tcW w:w="15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20"/>
                <w:szCs w:val="20"/>
                <w:color w:val="auto"/>
              </w:rPr>
              <w:t>15,553</w:t>
            </w:r>
          </w:p>
        </w:tc>
        <w:tc>
          <w:tcPr>
            <w:tcW w:w="200" w:type="dxa"/>
            <w:vAlign w:val="bottom"/>
            <w:tcBorders>
              <w:bottom w:val="single" w:sz="8" w:color="CFF0FC"/>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14,764</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960" w:type="dxa"/>
            <w:vAlign w:val="bottom"/>
            <w:gridSpan w:val="2"/>
            <w:shd w:val="clear" w:color="auto" w:fill="CFF0FC"/>
          </w:tcPr>
          <w:p>
            <w:pPr>
              <w:spacing w:after="0"/>
              <w:rPr>
                <w:sz w:val="20"/>
                <w:szCs w:val="20"/>
                <w:color w:val="auto"/>
              </w:rPr>
            </w:pPr>
            <w:r>
              <w:rPr>
                <w:rFonts w:ascii="Arial" w:cs="Arial" w:eastAsia="Arial" w:hAnsi="Arial"/>
                <w:sz w:val="20"/>
                <w:szCs w:val="20"/>
                <w:color w:val="auto"/>
              </w:rPr>
              <w:t>Heritage Aggregates Operations</w:t>
            </w:r>
            <w:r>
              <w:rPr>
                <w:rFonts w:ascii="Arial" w:cs="Arial" w:eastAsia="Arial" w:hAnsi="Arial"/>
                <w:sz w:val="16"/>
                <w:szCs w:val="16"/>
                <w:color w:val="auto"/>
              </w:rPr>
              <w:t>(2)</w:t>
            </w:r>
          </w:p>
        </w:tc>
        <w:tc>
          <w:tcPr>
            <w:tcW w:w="1560" w:type="dxa"/>
            <w:vAlign w:val="bottom"/>
            <w:gridSpan w:val="3"/>
            <w:shd w:val="clear" w:color="auto" w:fill="CFF0FC"/>
          </w:tcPr>
          <w:p>
            <w:pPr>
              <w:jc w:val="right"/>
              <w:ind w:right="20"/>
              <w:spacing w:after="0"/>
              <w:rPr>
                <w:sz w:val="20"/>
                <w:szCs w:val="20"/>
                <w:color w:val="auto"/>
              </w:rPr>
            </w:pPr>
            <w:r>
              <w:rPr>
                <w:rFonts w:ascii="Arial" w:cs="Arial" w:eastAsia="Arial" w:hAnsi="Arial"/>
                <w:sz w:val="20"/>
                <w:szCs w:val="20"/>
                <w:color w:val="auto"/>
              </w:rPr>
              <w:t>42,801</w:t>
            </w:r>
          </w:p>
        </w:tc>
        <w:tc>
          <w:tcPr>
            <w:tcW w:w="2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40,689</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960" w:type="dxa"/>
            <w:vAlign w:val="bottom"/>
            <w:tcBorders>
              <w:bottom w:val="single" w:sz="8" w:color="CFF0FC"/>
            </w:tcBorders>
            <w:gridSpan w:val="2"/>
          </w:tcPr>
          <w:p>
            <w:pPr>
              <w:spacing w:after="0"/>
              <w:rPr>
                <w:sz w:val="20"/>
                <w:szCs w:val="20"/>
                <w:color w:val="auto"/>
              </w:rPr>
            </w:pPr>
            <w:r>
              <w:rPr>
                <w:rFonts w:ascii="Arial" w:cs="Arial" w:eastAsia="Arial" w:hAnsi="Arial"/>
                <w:sz w:val="20"/>
                <w:szCs w:val="20"/>
                <w:color w:val="auto"/>
              </w:rPr>
              <w:t>Acquisitions</w:t>
            </w:r>
          </w:p>
        </w:tc>
        <w:tc>
          <w:tcPr>
            <w:tcW w:w="15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20"/>
                <w:szCs w:val="20"/>
                <w:color w:val="auto"/>
              </w:rPr>
              <w:t>4,720</w:t>
            </w:r>
          </w:p>
        </w:tc>
        <w:tc>
          <w:tcPr>
            <w:tcW w:w="200" w:type="dxa"/>
            <w:vAlign w:val="bottom"/>
            <w:tcBorders>
              <w:bottom w:val="single" w:sz="8" w:color="CFF0FC"/>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4,419</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96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20"/>
                <w:szCs w:val="20"/>
                <w:color w:val="auto"/>
              </w:rPr>
              <w:t xml:space="preserve">Aggregates Product Line </w:t>
            </w:r>
            <w:r>
              <w:rPr>
                <w:rFonts w:ascii="Arial" w:cs="Arial" w:eastAsia="Arial" w:hAnsi="Arial"/>
                <w:sz w:val="16"/>
                <w:szCs w:val="16"/>
                <w:color w:val="auto"/>
              </w:rPr>
              <w:t>(3)</w:t>
            </w:r>
          </w:p>
        </w:tc>
        <w:tc>
          <w:tcPr>
            <w:tcW w:w="1560" w:type="dxa"/>
            <w:vAlign w:val="bottom"/>
            <w:tcBorders>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20"/>
                <w:szCs w:val="20"/>
                <w:color w:val="auto"/>
              </w:rPr>
              <w:t>47,521</w:t>
            </w:r>
          </w:p>
        </w:tc>
        <w:tc>
          <w:tcPr>
            <w:tcW w:w="20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45,108</w:t>
            </w:r>
          </w:p>
        </w:tc>
        <w:tc>
          <w:tcPr>
            <w:tcW w:w="12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0"/>
        </w:trPr>
        <w:tc>
          <w:tcPr>
            <w:tcW w:w="20" w:type="dxa"/>
            <w:vAlign w:val="bottom"/>
          </w:tcPr>
          <w:p>
            <w:pPr>
              <w:spacing w:after="0"/>
              <w:rPr>
                <w:sz w:val="24"/>
                <w:szCs w:val="24"/>
                <w:color w:val="auto"/>
              </w:rPr>
            </w:pPr>
          </w:p>
        </w:tc>
        <w:tc>
          <w:tcPr>
            <w:tcW w:w="7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40" w:type="dxa"/>
            <w:vAlign w:val="bottom"/>
            <w:gridSpan w:val="7"/>
          </w:tcPr>
          <w:p>
            <w:pPr>
              <w:jc w:val="center"/>
              <w:ind w:right="560"/>
              <w:spacing w:after="0"/>
              <w:rPr>
                <w:sz w:val="20"/>
                <w:szCs w:val="20"/>
                <w:color w:val="auto"/>
              </w:rPr>
            </w:pPr>
            <w:r>
              <w:rPr>
                <w:rFonts w:ascii="Arial" w:cs="Arial" w:eastAsia="Arial" w:hAnsi="Arial"/>
                <w:sz w:val="20"/>
                <w:szCs w:val="20"/>
                <w:color w:val="auto"/>
                <w:w w:val="89"/>
              </w:rPr>
              <w:t>Three Months Ended</w:t>
            </w: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752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2120" w:type="dxa"/>
            <w:vAlign w:val="bottom"/>
            <w:tcBorders>
              <w:bottom w:val="single" w:sz="8" w:color="auto"/>
            </w:tcBorders>
            <w:gridSpan w:val="5"/>
          </w:tcPr>
          <w:p>
            <w:pPr>
              <w:jc w:val="center"/>
              <w:ind w:left="641"/>
              <w:spacing w:after="0"/>
              <w:rPr>
                <w:sz w:val="20"/>
                <w:szCs w:val="20"/>
                <w:color w:val="auto"/>
              </w:rPr>
            </w:pPr>
            <w:r>
              <w:rPr>
                <w:rFonts w:ascii="Arial" w:cs="Arial" w:eastAsia="Arial" w:hAnsi="Arial"/>
                <w:sz w:val="20"/>
                <w:szCs w:val="20"/>
                <w:color w:val="auto"/>
                <w:w w:val="86"/>
              </w:rPr>
              <w:t>September 30,</w:t>
            </w:r>
          </w:p>
        </w:tc>
        <w:tc>
          <w:tcPr>
            <w:tcW w:w="120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5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81"/>
              <w:spacing w:after="0"/>
              <w:rPr>
                <w:sz w:val="20"/>
                <w:szCs w:val="20"/>
                <w:color w:val="auto"/>
              </w:rPr>
            </w:pPr>
            <w:r>
              <w:rPr>
                <w:rFonts w:ascii="Arial" w:cs="Arial" w:eastAsia="Arial" w:hAnsi="Arial"/>
                <w:sz w:val="20"/>
                <w:szCs w:val="20"/>
                <w:color w:val="auto"/>
              </w:rPr>
              <w:t>2015</w:t>
            </w:r>
          </w:p>
        </w:tc>
        <w:tc>
          <w:tcPr>
            <w:tcW w:w="2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601"/>
              <w:spacing w:after="0"/>
              <w:rPr>
                <w:sz w:val="20"/>
                <w:szCs w:val="20"/>
                <w:color w:val="auto"/>
              </w:rPr>
            </w:pPr>
            <w:r>
              <w:rPr>
                <w:rFonts w:ascii="Arial" w:cs="Arial" w:eastAsia="Arial" w:hAnsi="Arial"/>
                <w:sz w:val="20"/>
                <w:szCs w:val="20"/>
                <w:color w:val="auto"/>
              </w:rPr>
              <w:t>2014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7980" w:type="dxa"/>
            <w:vAlign w:val="bottom"/>
            <w:gridSpan w:val="3"/>
            <w:vMerge w:val="restart"/>
          </w:tcPr>
          <w:p>
            <w:pPr>
              <w:spacing w:after="0"/>
              <w:rPr>
                <w:sz w:val="20"/>
                <w:szCs w:val="20"/>
                <w:color w:val="auto"/>
              </w:rPr>
            </w:pPr>
            <w:r>
              <w:rPr>
                <w:rFonts w:ascii="Arial" w:cs="Arial" w:eastAsia="Arial" w:hAnsi="Arial"/>
                <w:sz w:val="20"/>
                <w:szCs w:val="20"/>
                <w:b w:val="1"/>
                <w:bCs w:val="1"/>
                <w:color w:val="auto"/>
              </w:rPr>
              <w:t>Shipments</w:t>
            </w:r>
          </w:p>
        </w:tc>
        <w:tc>
          <w:tcPr>
            <w:tcW w:w="3320" w:type="dxa"/>
            <w:vAlign w:val="bottom"/>
            <w:gridSpan w:val="6"/>
          </w:tcPr>
          <w:p>
            <w:pPr>
              <w:jc w:val="center"/>
              <w:ind w:right="361"/>
              <w:spacing w:after="0"/>
              <w:rPr>
                <w:sz w:val="20"/>
                <w:szCs w:val="20"/>
                <w:color w:val="auto"/>
              </w:rPr>
            </w:pPr>
            <w:r>
              <w:rPr>
                <w:rFonts w:ascii="Arial" w:cs="Arial" w:eastAsia="Arial" w:hAnsi="Arial"/>
                <w:sz w:val="20"/>
                <w:szCs w:val="20"/>
                <w:i w:val="1"/>
                <w:iCs w:val="1"/>
                <w:color w:val="auto"/>
                <w:w w:val="88"/>
              </w:rPr>
              <w:t>(Tons in Thousands)</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7980" w:type="dxa"/>
            <w:vAlign w:val="bottom"/>
            <w:gridSpan w:val="3"/>
            <w:vMerge w:val="continue"/>
          </w:tcPr>
          <w:p>
            <w:pPr>
              <w:spacing w:after="0"/>
              <w:rPr>
                <w:sz w:val="20"/>
                <w:szCs w:val="20"/>
                <w:color w:val="auto"/>
              </w:rPr>
            </w:pPr>
          </w:p>
        </w:tc>
        <w:tc>
          <w:tcPr>
            <w:tcW w:w="1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960" w:type="dxa"/>
            <w:vAlign w:val="bottom"/>
            <w:gridSpan w:val="2"/>
            <w:shd w:val="clear" w:color="auto" w:fill="CFF0FC"/>
          </w:tcPr>
          <w:p>
            <w:pPr>
              <w:spacing w:after="0"/>
              <w:rPr>
                <w:sz w:val="20"/>
                <w:szCs w:val="20"/>
                <w:color w:val="auto"/>
              </w:rPr>
            </w:pPr>
            <w:r>
              <w:rPr>
                <w:rFonts w:ascii="Arial" w:cs="Arial" w:eastAsia="Arial" w:hAnsi="Arial"/>
                <w:sz w:val="20"/>
                <w:szCs w:val="20"/>
                <w:color w:val="auto"/>
              </w:rPr>
              <w:t xml:space="preserve">Heritage Aggregates Product Line </w:t>
            </w:r>
            <w:r>
              <w:rPr>
                <w:rFonts w:ascii="Arial" w:cs="Arial" w:eastAsia="Arial" w:hAnsi="Arial"/>
                <w:sz w:val="16"/>
                <w:szCs w:val="16"/>
                <w:color w:val="auto"/>
              </w:rPr>
              <w:t>(2)</w:t>
            </w:r>
            <w:r>
              <w:rPr>
                <w:rFonts w:ascii="Arial" w:cs="Arial" w:eastAsia="Arial" w:hAnsi="Arial"/>
                <w:sz w:val="20"/>
                <w:szCs w:val="20"/>
                <w:color w:val="auto"/>
              </w:rPr>
              <w:t>:</w:t>
            </w:r>
          </w:p>
        </w:tc>
        <w:tc>
          <w:tcPr>
            <w:tcW w:w="13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960" w:type="dxa"/>
            <w:vAlign w:val="bottom"/>
            <w:gridSpan w:val="2"/>
          </w:tcPr>
          <w:p>
            <w:pPr>
              <w:ind w:left="240"/>
              <w:spacing w:after="0"/>
              <w:rPr>
                <w:sz w:val="20"/>
                <w:szCs w:val="20"/>
                <w:color w:val="auto"/>
              </w:rPr>
            </w:pPr>
            <w:r>
              <w:rPr>
                <w:rFonts w:ascii="Arial" w:cs="Arial" w:eastAsia="Arial" w:hAnsi="Arial"/>
                <w:sz w:val="20"/>
                <w:szCs w:val="20"/>
                <w:color w:val="auto"/>
              </w:rPr>
              <w:t>Tons to external customers</w:t>
            </w:r>
          </w:p>
        </w:tc>
        <w:tc>
          <w:tcPr>
            <w:tcW w:w="1320" w:type="dxa"/>
            <w:vAlign w:val="bottom"/>
          </w:tcPr>
          <w:p>
            <w:pPr>
              <w:jc w:val="right"/>
              <w:spacing w:after="0"/>
              <w:rPr>
                <w:sz w:val="20"/>
                <w:szCs w:val="20"/>
                <w:color w:val="auto"/>
              </w:rPr>
            </w:pPr>
            <w:r>
              <w:rPr>
                <w:rFonts w:ascii="Arial" w:cs="Arial" w:eastAsia="Arial" w:hAnsi="Arial"/>
                <w:sz w:val="20"/>
                <w:szCs w:val="20"/>
                <w:color w:val="auto"/>
              </w:rPr>
              <w:t>40,880</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38,982</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960" w:type="dxa"/>
            <w:vAlign w:val="bottom"/>
            <w:gridSpan w:val="2"/>
            <w:shd w:val="clear" w:color="auto" w:fill="CFF0FC"/>
          </w:tcPr>
          <w:p>
            <w:pPr>
              <w:ind w:left="240"/>
              <w:spacing w:after="0"/>
              <w:rPr>
                <w:sz w:val="20"/>
                <w:szCs w:val="20"/>
                <w:color w:val="auto"/>
              </w:rPr>
            </w:pPr>
            <w:r>
              <w:rPr>
                <w:rFonts w:ascii="Arial" w:cs="Arial" w:eastAsia="Arial" w:hAnsi="Arial"/>
                <w:sz w:val="20"/>
                <w:szCs w:val="20"/>
                <w:color w:val="auto"/>
              </w:rPr>
              <w:t>Internal tons used in other product lines</w:t>
            </w:r>
          </w:p>
        </w:tc>
        <w:tc>
          <w:tcPr>
            <w:tcW w:w="13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1,921</w:t>
            </w:r>
          </w:p>
        </w:tc>
        <w:tc>
          <w:tcPr>
            <w:tcW w:w="2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1,707</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7540" w:type="dxa"/>
            <w:vAlign w:val="bottom"/>
            <w:gridSpan w:val="2"/>
          </w:tcPr>
          <w:p>
            <w:pPr>
              <w:spacing w:after="0"/>
              <w:rPr>
                <w:sz w:val="20"/>
                <w:szCs w:val="20"/>
                <w:color w:val="auto"/>
              </w:rPr>
            </w:pPr>
            <w:r>
              <w:rPr>
                <w:rFonts w:ascii="Arial" w:cs="Arial" w:eastAsia="Arial" w:hAnsi="Arial"/>
                <w:sz w:val="20"/>
                <w:szCs w:val="20"/>
                <w:color w:val="auto"/>
              </w:rPr>
              <w:t>Total heritage aggregates tons</w:t>
            </w:r>
          </w:p>
        </w:tc>
        <w:tc>
          <w:tcPr>
            <w:tcW w:w="440" w:type="dxa"/>
            <w:vAlign w:val="bottom"/>
            <w:tcBorders>
              <w:top w:val="single" w:sz="8" w:color="auto"/>
              <w:bottom w:val="single" w:sz="8" w:color="auto"/>
            </w:tcBorders>
          </w:tcPr>
          <w:p>
            <w:pPr>
              <w:spacing w:after="0"/>
              <w:rPr>
                <w:sz w:val="24"/>
                <w:szCs w:val="24"/>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42,801</w:t>
            </w:r>
          </w:p>
        </w:tc>
        <w:tc>
          <w:tcPr>
            <w:tcW w:w="220" w:type="dxa"/>
            <w:vAlign w:val="bottom"/>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40,689</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vMerge w:val="restart"/>
          </w:tcPr>
          <w:p>
            <w:pPr>
              <w:spacing w:after="0"/>
              <w:rPr>
                <w:sz w:val="19"/>
                <w:szCs w:val="19"/>
                <w:color w:val="auto"/>
              </w:rPr>
            </w:pPr>
          </w:p>
        </w:tc>
        <w:tc>
          <w:tcPr>
            <w:tcW w:w="752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960" w:type="dxa"/>
            <w:vAlign w:val="bottom"/>
            <w:gridSpan w:val="2"/>
          </w:tcPr>
          <w:p>
            <w:pPr>
              <w:spacing w:after="0"/>
              <w:rPr>
                <w:sz w:val="20"/>
                <w:szCs w:val="20"/>
                <w:color w:val="auto"/>
              </w:rPr>
            </w:pPr>
            <w:r>
              <w:rPr>
                <w:rFonts w:ascii="Arial" w:cs="Arial" w:eastAsia="Arial" w:hAnsi="Arial"/>
                <w:sz w:val="20"/>
                <w:szCs w:val="20"/>
                <w:color w:val="auto"/>
              </w:rPr>
              <w:t>Acquisitions:</w:t>
            </w:r>
          </w:p>
        </w:tc>
        <w:tc>
          <w:tcPr>
            <w:tcW w:w="1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960" w:type="dxa"/>
            <w:vAlign w:val="bottom"/>
            <w:gridSpan w:val="2"/>
            <w:shd w:val="clear" w:color="auto" w:fill="CFF0FC"/>
          </w:tcPr>
          <w:p>
            <w:pPr>
              <w:ind w:left="240"/>
              <w:spacing w:after="0"/>
              <w:rPr>
                <w:sz w:val="20"/>
                <w:szCs w:val="20"/>
                <w:color w:val="auto"/>
              </w:rPr>
            </w:pPr>
            <w:r>
              <w:rPr>
                <w:rFonts w:ascii="Arial" w:cs="Arial" w:eastAsia="Arial" w:hAnsi="Arial"/>
                <w:sz w:val="20"/>
                <w:szCs w:val="20"/>
                <w:color w:val="auto"/>
              </w:rPr>
              <w:t>Tons to external customers</w:t>
            </w:r>
          </w:p>
        </w:tc>
        <w:tc>
          <w:tcPr>
            <w:tcW w:w="13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3,604</w:t>
            </w:r>
          </w:p>
        </w:tc>
        <w:tc>
          <w:tcPr>
            <w:tcW w:w="2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3,174</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960" w:type="dxa"/>
            <w:vAlign w:val="bottom"/>
            <w:gridSpan w:val="2"/>
          </w:tcPr>
          <w:p>
            <w:pPr>
              <w:ind w:left="240"/>
              <w:spacing w:after="0"/>
              <w:rPr>
                <w:sz w:val="20"/>
                <w:szCs w:val="20"/>
                <w:color w:val="auto"/>
              </w:rPr>
            </w:pPr>
            <w:r>
              <w:rPr>
                <w:rFonts w:ascii="Arial" w:cs="Arial" w:eastAsia="Arial" w:hAnsi="Arial"/>
                <w:sz w:val="20"/>
                <w:szCs w:val="20"/>
                <w:color w:val="auto"/>
              </w:rPr>
              <w:t>Internal tons used in other product lines</w:t>
            </w:r>
          </w:p>
        </w:tc>
        <w:tc>
          <w:tcPr>
            <w:tcW w:w="1320" w:type="dxa"/>
            <w:vAlign w:val="bottom"/>
          </w:tcPr>
          <w:p>
            <w:pPr>
              <w:jc w:val="right"/>
              <w:spacing w:after="0"/>
              <w:rPr>
                <w:sz w:val="20"/>
                <w:szCs w:val="20"/>
                <w:color w:val="auto"/>
              </w:rPr>
            </w:pPr>
            <w:r>
              <w:rPr>
                <w:rFonts w:ascii="Arial" w:cs="Arial" w:eastAsia="Arial" w:hAnsi="Arial"/>
                <w:sz w:val="20"/>
                <w:szCs w:val="20"/>
                <w:color w:val="auto"/>
              </w:rPr>
              <w:t>1,116</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1,245</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5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Total acquisition aggregates tons</w:t>
            </w:r>
          </w:p>
        </w:tc>
        <w:tc>
          <w:tcPr>
            <w:tcW w:w="440" w:type="dxa"/>
            <w:vAlign w:val="bottom"/>
            <w:tcBorders>
              <w:top w:val="single" w:sz="8" w:color="auto"/>
              <w:bottom w:val="single" w:sz="8" w:color="auto"/>
            </w:tcBorders>
            <w:shd w:val="clear" w:color="auto" w:fill="CFF0FC"/>
          </w:tcPr>
          <w:p>
            <w:pPr>
              <w:spacing w:after="0"/>
              <w:rPr>
                <w:sz w:val="20"/>
                <w:szCs w:val="20"/>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4,720</w:t>
            </w:r>
          </w:p>
        </w:tc>
        <w:tc>
          <w:tcPr>
            <w:tcW w:w="220" w:type="dxa"/>
            <w:vAlign w:val="bottom"/>
            <w:tcBorders>
              <w:top w:val="single" w:sz="8" w:color="CFF0FC"/>
              <w:bottom w:val="single" w:sz="8" w:color="CFF0FC"/>
            </w:tcBorders>
            <w:shd w:val="clear" w:color="auto" w:fill="CFF0FC"/>
          </w:tcPr>
          <w:p>
            <w:pPr>
              <w:spacing w:after="0"/>
              <w:rPr>
                <w:sz w:val="20"/>
                <w:szCs w:val="20"/>
                <w:color w:val="auto"/>
              </w:rPr>
            </w:pPr>
          </w:p>
        </w:tc>
        <w:tc>
          <w:tcPr>
            <w:tcW w:w="20" w:type="dxa"/>
            <w:vAlign w:val="bottom"/>
            <w:tcBorders>
              <w:top w:val="single" w:sz="8" w:color="auto"/>
              <w:bottom w:val="single" w:sz="8" w:color="auto"/>
            </w:tcBorders>
            <w:shd w:val="clear" w:color="auto" w:fill="CFF0FC"/>
          </w:tcPr>
          <w:p>
            <w:pPr>
              <w:spacing w:after="0"/>
              <w:rPr>
                <w:sz w:val="20"/>
                <w:szCs w:val="20"/>
                <w:color w:val="auto"/>
              </w:rPr>
            </w:pPr>
          </w:p>
        </w:tc>
        <w:tc>
          <w:tcPr>
            <w:tcW w:w="200" w:type="dxa"/>
            <w:vAlign w:val="bottom"/>
            <w:tcBorders>
              <w:top w:val="single" w:sz="8" w:color="auto"/>
              <w:bottom w:val="single" w:sz="8" w:color="auto"/>
            </w:tcBorders>
            <w:shd w:val="clear" w:color="auto" w:fill="CFF0FC"/>
          </w:tcPr>
          <w:p>
            <w:pPr>
              <w:spacing w:after="0"/>
              <w:rPr>
                <w:sz w:val="20"/>
                <w:szCs w:val="20"/>
                <w:color w:val="auto"/>
              </w:rPr>
            </w:pPr>
          </w:p>
        </w:tc>
        <w:tc>
          <w:tcPr>
            <w:tcW w:w="360" w:type="dxa"/>
            <w:vAlign w:val="bottom"/>
            <w:tcBorders>
              <w:top w:val="single" w:sz="8" w:color="auto"/>
              <w:bottom w:val="single" w:sz="8" w:color="auto"/>
            </w:tcBorders>
            <w:shd w:val="clear" w:color="auto" w:fill="CFF0FC"/>
          </w:tcPr>
          <w:p>
            <w:pPr>
              <w:spacing w:after="0"/>
              <w:rPr>
                <w:sz w:val="20"/>
                <w:szCs w:val="20"/>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4,419</w:t>
            </w:r>
          </w:p>
        </w:tc>
        <w:tc>
          <w:tcPr>
            <w:tcW w:w="120" w:type="dxa"/>
            <w:vAlign w:val="bottom"/>
            <w:tcBorders>
              <w:top w:val="single" w:sz="8" w:color="CFF0FC"/>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260" w:hanging="252"/>
        <w:spacing w:after="0"/>
        <w:tabs>
          <w:tab w:leader="none" w:pos="260" w:val="left"/>
        </w:tabs>
        <w:numPr>
          <w:ilvl w:val="0"/>
          <w:numId w:val="31"/>
        </w:numPr>
        <w:rPr>
          <w:rFonts w:ascii="Arial" w:cs="Arial" w:eastAsia="Arial" w:hAnsi="Arial"/>
          <w:sz w:val="15"/>
          <w:szCs w:val="15"/>
          <w:i w:val="1"/>
          <w:iCs w:val="1"/>
          <w:color w:val="auto"/>
        </w:rPr>
      </w:pPr>
      <w:r>
        <w:rPr>
          <w:rFonts w:ascii="Arial" w:cs="Arial" w:eastAsia="Arial" w:hAnsi="Arial"/>
          <w:sz w:val="18"/>
          <w:szCs w:val="18"/>
          <w:i w:val="1"/>
          <w:iCs w:val="1"/>
          <w:color w:val="auto"/>
        </w:rPr>
        <w:t>Volume/pricing variances reflect the percentage increase/(decrease) from the comparable period in the prior year.</w:t>
      </w:r>
    </w:p>
    <w:p>
      <w:pPr>
        <w:spacing w:after="0" w:line="23" w:lineRule="exact"/>
        <w:rPr>
          <w:rFonts w:ascii="Arial" w:cs="Arial" w:eastAsia="Arial" w:hAnsi="Arial"/>
          <w:sz w:val="15"/>
          <w:szCs w:val="15"/>
          <w:i w:val="1"/>
          <w:iCs w:val="1"/>
          <w:color w:val="auto"/>
        </w:rPr>
      </w:pPr>
    </w:p>
    <w:p>
      <w:pPr>
        <w:ind w:left="260" w:hanging="252"/>
        <w:spacing w:after="0" w:line="250" w:lineRule="auto"/>
        <w:tabs>
          <w:tab w:leader="none" w:pos="260" w:val="left"/>
        </w:tabs>
        <w:numPr>
          <w:ilvl w:val="0"/>
          <w:numId w:val="31"/>
        </w:numPr>
        <w:rPr>
          <w:rFonts w:ascii="Arial" w:cs="Arial" w:eastAsia="Arial" w:hAnsi="Arial"/>
          <w:sz w:val="15"/>
          <w:szCs w:val="15"/>
          <w:i w:val="1"/>
          <w:iCs w:val="1"/>
          <w:color w:val="auto"/>
        </w:rPr>
      </w:pPr>
      <w:r>
        <w:rPr>
          <w:rFonts w:ascii="Arial" w:cs="Arial" w:eastAsia="Arial" w:hAnsi="Arial"/>
          <w:sz w:val="18"/>
          <w:szCs w:val="18"/>
          <w:i w:val="1"/>
          <w:iCs w:val="1"/>
          <w:color w:val="auto"/>
        </w:rPr>
        <w:t>Heritage Aggregates Product Line and Heritage Aggregates Operations exclude volume and pricing data for acquisitions that have not been included in operations for a full fiscal year.</w:t>
      </w:r>
    </w:p>
    <w:p>
      <w:pPr>
        <w:ind w:left="260" w:hanging="252"/>
        <w:spacing w:after="0"/>
        <w:tabs>
          <w:tab w:leader="none" w:pos="260" w:val="left"/>
        </w:tabs>
        <w:numPr>
          <w:ilvl w:val="0"/>
          <w:numId w:val="31"/>
        </w:numPr>
        <w:rPr>
          <w:rFonts w:ascii="Arial" w:cs="Arial" w:eastAsia="Arial" w:hAnsi="Arial"/>
          <w:sz w:val="15"/>
          <w:szCs w:val="15"/>
          <w:i w:val="1"/>
          <w:iCs w:val="1"/>
          <w:color w:val="auto"/>
        </w:rPr>
      </w:pPr>
      <w:r>
        <w:rPr>
          <w:rFonts w:ascii="Arial" w:cs="Arial" w:eastAsia="Arial" w:hAnsi="Arial"/>
          <w:sz w:val="18"/>
          <w:szCs w:val="18"/>
          <w:i w:val="1"/>
          <w:iCs w:val="1"/>
          <w:color w:val="auto"/>
        </w:rPr>
        <w:t>Aggregates Product Line includes all acquisitions from the date of acquisition and divestitures through the date of disposal.</w:t>
      </w:r>
    </w:p>
    <w:p>
      <w:pPr>
        <w:spacing w:after="0" w:line="208"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Third-quarter results reflect the considerable earnings power resulting from the continued successful execution of management’s strategic plan and what is believed to be the beginnings of a construction-centric recovery in the Corporation’s geographic markets as evidenced by the growing demand for construction materials and favorable pricing that led to consolidated net sales of more than $1 billion, a milestone for the Corporation. Continued focus on operational excellence and cost discipline enabled the Corporation to leverage those sales into a 480-basis-point increase in its gross margin, generating a consolidated incremental gross margin (excluding freight and delivery revenues) of 77%.</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36 of 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6" w:name="page37"/>
    <w:bookmarkEnd w:id="36"/>
    <w:p>
      <w:pPr>
        <w:jc w:val="center"/>
        <w:ind w:right="-19"/>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FORM 10-Q</w:t>
      </w:r>
    </w:p>
    <w:p>
      <w:pPr>
        <w:jc w:val="center"/>
        <w:ind w:right="-19"/>
        <w:spacing w:after="0"/>
        <w:rPr>
          <w:sz w:val="20"/>
          <w:szCs w:val="20"/>
          <w:color w:val="auto"/>
        </w:rPr>
      </w:pPr>
      <w:r>
        <w:rPr>
          <w:rFonts w:ascii="Arial" w:cs="Arial" w:eastAsia="Arial" w:hAnsi="Arial"/>
          <w:sz w:val="20"/>
          <w:szCs w:val="20"/>
          <w:color w:val="auto"/>
        </w:rPr>
        <w:t>For the Quarter Ended September 30, 2015</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RESULTS OF OPERATIONS</w:t>
      </w:r>
    </w:p>
    <w:p>
      <w:pPr>
        <w:jc w:val="center"/>
        <w:ind w:right="-19"/>
        <w:spacing w:after="0"/>
        <w:rPr>
          <w:sz w:val="20"/>
          <w:szCs w:val="20"/>
          <w:color w:val="auto"/>
        </w:rPr>
      </w:pPr>
      <w:r>
        <w:rPr>
          <w:rFonts w:ascii="Arial" w:cs="Arial" w:eastAsia="Arial" w:hAnsi="Arial"/>
          <w:sz w:val="20"/>
          <w:szCs w:val="20"/>
          <w:color w:val="auto"/>
        </w:rPr>
        <w:t>Third Quarter Ended September 30, 2015</w:t>
      </w:r>
    </w:p>
    <w:p>
      <w:pPr>
        <w:jc w:val="center"/>
        <w:ind w:right="-19"/>
        <w:spacing w:after="0"/>
        <w:rPr>
          <w:sz w:val="20"/>
          <w:szCs w:val="20"/>
          <w:color w:val="auto"/>
        </w:rPr>
      </w:pPr>
      <w:r>
        <w:rPr>
          <w:rFonts w:ascii="Arial" w:cs="Arial" w:eastAsia="Arial" w:hAnsi="Arial"/>
          <w:sz w:val="20"/>
          <w:szCs w:val="20"/>
          <w:color w:val="auto"/>
        </w:rPr>
        <w:t>(Continued)</w:t>
      </w:r>
    </w:p>
    <w:p>
      <w:pPr>
        <w:spacing w:after="0" w:line="200" w:lineRule="exact"/>
        <w:rPr>
          <w:sz w:val="20"/>
          <w:szCs w:val="20"/>
          <w:color w:val="auto"/>
        </w:rPr>
      </w:pP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Aggregates product line shipments to the infrastructure market comprised 43% of quarterly volumes and increased 5%. Each reportable group achieved an increase, led by growth of 8% in the West Group. Major project activity in Texas, Florida, Georgia and North Carolina continues to accelerate, as states take increased responsibility for funding infrastructure investments. In fact, highway awards for the trailing twelve months through July were at their highest level since 2000, despite federal funding being provided under a Congressional continuing resolution. The provisions of the Moving Ahead for Progress in the 21st Century, or MAP-21, have been extended through November 20, 2015. Management continues to anticipate that Congress will pass and the President will sign a new multi-year bill later this year. Presently, relevant committees in both the House and Senate have proposed six-year bills that each provide increased funding levels serving to alleviate state-level uncertainty currently hampering the pace of construction activity; this is particularly relevant for rural construction markets.</w:t>
      </w:r>
    </w:p>
    <w:p>
      <w:pPr>
        <w:spacing w:after="0" w:line="169"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The nonresidential market represented 30% of quarterly aggregates product line shipments and were relatively flat. The light nonresidential component, which includes the commercial sector, increased in each reportable group and reported overall growth of 29%. This improvement was offset by a decline in the heavy nonresidential component, which includes the industrial and energy sectors. Texas continues to lead the nation in nonresidential construction, with the benefits of multi-year, energy-related projects offsetting direct shipments to the shale fields that are currently lower due to reduced oil prices. Notwithstanding the challenging commodity price environment, the Corporation continues to expect energy-related activity to remain strong, supported by more than $100 billion of planned projects along the Gulf Coast with a significant portion of these projects in Texas. On a national scale, Florida, North Carolina and South Carolina each rank in the top fifteen in growth (based on dollars invested) in nonresidential construction.</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The residential end-use market accounted for 18% of quarterly aggregates product line shipments, and volumes within this market increased 15%. Nationally, residential starts increased 10% for the trailing twelve months ended September 2015. Florida and Georgia each rank in the top five states for growth in total residential starts while Texas, Colorado, North Carolina and South Carolina each rank in the top ten states for single-family housing starts. Consistent with the National Association of Homebuilders latest market index in October, the Corporation continues to witness strong residential subdivision development in nearly all of its relevant markets. The ChemRock/Rail market accounted for the remaining 9% of aggregates product line shipments. Volumes to this end use increased 7%, attributable to higher ballast shipments.</w:t>
      </w:r>
    </w:p>
    <w:p>
      <w:pPr>
        <w:spacing w:after="0" w:line="165"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The average per-ton selling price for the heritage aggregates product line was $11.62 and $11.09 for the three months ended September 30, 2015 and 2014, respectively. Heritage aggregates product line pricing grew in all reportable groups, led by the 5.8% increase in the Southeast Group. The West Group and Mid-America Group reported increases of 5.2% and 4.1%, respectively, with notable improvement in Central and South Texas. Pricing trends reflect mid-year increases in certain markets. The average per-ton selling price for the acquired aggregates product line was $13.02 and $11.83 for the three months ended September 30, 2015 and 2014, respectively. The acquired aggregates product line selling price reflects the impact of higher priced sand and gravel, as well as freight for tons sold through rail yards, which combined accounted for over 70% of shipments.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Page 37 of 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7" w:name="page38"/>
    <w:bookmarkEnd w:id="37"/>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September 30, 2015</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rPr>
          <w:sz w:val="20"/>
          <w:szCs w:val="20"/>
          <w:color w:val="auto"/>
        </w:rPr>
      </w:pPr>
      <w:r>
        <w:rPr>
          <w:rFonts w:ascii="Arial" w:cs="Arial" w:eastAsia="Arial" w:hAnsi="Arial"/>
          <w:sz w:val="20"/>
          <w:szCs w:val="20"/>
          <w:color w:val="auto"/>
        </w:rPr>
        <w:t>Third Quarter Ended September 30, 2015</w:t>
      </w:r>
    </w:p>
    <w:p>
      <w:pPr>
        <w:jc w:val="center"/>
        <w:spacing w:after="0"/>
        <w:rPr>
          <w:sz w:val="20"/>
          <w:szCs w:val="20"/>
          <w:color w:val="auto"/>
        </w:rPr>
      </w:pPr>
      <w:r>
        <w:rPr>
          <w:rFonts w:ascii="Arial" w:cs="Arial" w:eastAsia="Arial" w:hAnsi="Arial"/>
          <w:sz w:val="20"/>
          <w:szCs w:val="20"/>
          <w:color w:val="auto"/>
        </w:rPr>
        <w:t>(Continued)</w:t>
      </w:r>
    </w:p>
    <w:p>
      <w:pPr>
        <w:spacing w:after="0" w:line="200" w:lineRule="exact"/>
        <w:rPr>
          <w:sz w:val="20"/>
          <w:szCs w:val="20"/>
          <w:color w:val="auto"/>
        </w:rPr>
      </w:pPr>
    </w:p>
    <w:p>
      <w:pPr>
        <w:spacing w:after="0" w:line="229"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Corporation’s aggregates-related downstream product lines include asphalt, ready mixed concrete and road paving businesses in Arkansas, Colorado, Texas and Wyoming. Average selling prices by product line for the Corporation’s aggregates-related downstream product lines are as follows: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60" w:type="dxa"/>
            <w:vAlign w:val="bottom"/>
            <w:gridSpan w:val="7"/>
          </w:tcPr>
          <w:p>
            <w:pPr>
              <w:jc w:val="center"/>
              <w:ind w:right="20"/>
              <w:spacing w:after="0"/>
              <w:rPr>
                <w:sz w:val="20"/>
                <w:szCs w:val="20"/>
                <w:color w:val="auto"/>
              </w:rPr>
            </w:pPr>
            <w:r>
              <w:rPr>
                <w:rFonts w:ascii="Arial" w:cs="Arial" w:eastAsia="Arial" w:hAnsi="Arial"/>
                <w:sz w:val="20"/>
                <w:szCs w:val="20"/>
                <w:color w:val="auto"/>
                <w:w w:val="89"/>
              </w:rPr>
              <w:t>Three Months Ended</w:t>
            </w:r>
          </w:p>
        </w:tc>
      </w:tr>
      <w:tr>
        <w:trPr>
          <w:trHeight w:val="246"/>
        </w:trPr>
        <w:tc>
          <w:tcPr>
            <w:tcW w:w="7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60" w:type="dxa"/>
            <w:vAlign w:val="bottom"/>
            <w:tcBorders>
              <w:bottom w:val="single" w:sz="8" w:color="auto"/>
            </w:tcBorders>
            <w:gridSpan w:val="7"/>
          </w:tcPr>
          <w:p>
            <w:pPr>
              <w:jc w:val="center"/>
              <w:spacing w:after="0"/>
              <w:rPr>
                <w:sz w:val="20"/>
                <w:szCs w:val="20"/>
                <w:color w:val="auto"/>
              </w:rPr>
            </w:pPr>
            <w:r>
              <w:rPr>
                <w:rFonts w:ascii="Arial" w:cs="Arial" w:eastAsia="Arial" w:hAnsi="Arial"/>
                <w:sz w:val="20"/>
                <w:szCs w:val="20"/>
                <w:color w:val="auto"/>
                <w:w w:val="86"/>
              </w:rPr>
              <w:t>September 30,</w:t>
            </w:r>
          </w:p>
        </w:tc>
      </w:tr>
      <w:tr>
        <w:trPr>
          <w:trHeight w:val="237"/>
        </w:trPr>
        <w:tc>
          <w:tcPr>
            <w:tcW w:w="7760" w:type="dxa"/>
            <w:vAlign w:val="bottom"/>
            <w:tcBorders>
              <w:bottom w:val="single" w:sz="8" w:color="CFF0FC"/>
            </w:tcBorders>
          </w:tcPr>
          <w:p>
            <w:pPr>
              <w:spacing w:after="0"/>
              <w:rPr>
                <w:sz w:val="20"/>
                <w:szCs w:val="20"/>
                <w:color w:val="auto"/>
              </w:rPr>
            </w:pPr>
          </w:p>
        </w:tc>
        <w:tc>
          <w:tcPr>
            <w:tcW w:w="200" w:type="dxa"/>
            <w:vAlign w:val="bottom"/>
            <w:tcBorders>
              <w:bottom w:val="single" w:sz="8" w:color="CFF0FC"/>
            </w:tcBorders>
          </w:tcPr>
          <w:p>
            <w:pPr>
              <w:spacing w:after="0"/>
              <w:rPr>
                <w:sz w:val="20"/>
                <w:szCs w:val="20"/>
                <w:color w:val="auto"/>
              </w:rPr>
            </w:pPr>
          </w:p>
        </w:tc>
        <w:tc>
          <w:tcPr>
            <w:tcW w:w="1500" w:type="dxa"/>
            <w:vAlign w:val="bottom"/>
            <w:tcBorders>
              <w:bottom w:val="single" w:sz="8" w:color="auto"/>
            </w:tcBorders>
          </w:tcPr>
          <w:p>
            <w:pPr>
              <w:jc w:val="center"/>
              <w:ind w:left="41"/>
              <w:spacing w:after="0"/>
              <w:rPr>
                <w:sz w:val="20"/>
                <w:szCs w:val="20"/>
                <w:color w:val="auto"/>
              </w:rPr>
            </w:pPr>
            <w:r>
              <w:rPr>
                <w:rFonts w:ascii="Arial" w:cs="Arial" w:eastAsia="Arial" w:hAnsi="Arial"/>
                <w:sz w:val="20"/>
                <w:szCs w:val="20"/>
                <w:color w:val="auto"/>
                <w:w w:val="89"/>
              </w:rPr>
              <w:t>2015</w:t>
            </w:r>
          </w:p>
        </w:tc>
        <w:tc>
          <w:tcPr>
            <w:tcW w:w="1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CFF0FC"/>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181"/>
              <w:spacing w:after="0"/>
              <w:rPr>
                <w:sz w:val="20"/>
                <w:szCs w:val="20"/>
                <w:color w:val="auto"/>
              </w:rPr>
            </w:pPr>
            <w:r>
              <w:rPr>
                <w:rFonts w:ascii="Arial" w:cs="Arial" w:eastAsia="Arial" w:hAnsi="Arial"/>
                <w:sz w:val="20"/>
                <w:szCs w:val="20"/>
                <w:color w:val="auto"/>
                <w:w w:val="85"/>
              </w:rPr>
              <w:t>2014</w:t>
            </w:r>
          </w:p>
        </w:tc>
        <w:tc>
          <w:tcPr>
            <w:tcW w:w="120" w:type="dxa"/>
            <w:vAlign w:val="bottom"/>
            <w:tcBorders>
              <w:bottom w:val="single" w:sz="8" w:color="auto"/>
            </w:tcBorders>
          </w:tcPr>
          <w:p>
            <w:pPr>
              <w:spacing w:after="0"/>
              <w:rPr>
                <w:sz w:val="20"/>
                <w:szCs w:val="20"/>
                <w:color w:val="auto"/>
              </w:rPr>
            </w:pPr>
          </w:p>
        </w:tc>
      </w:tr>
      <w:tr>
        <w:trPr>
          <w:trHeight w:val="237"/>
        </w:trPr>
        <w:tc>
          <w:tcPr>
            <w:tcW w:w="7960" w:type="dxa"/>
            <w:vAlign w:val="bottom"/>
            <w:gridSpan w:val="2"/>
            <w:shd w:val="clear" w:color="auto" w:fill="CFF0FC"/>
          </w:tcPr>
          <w:p>
            <w:pPr>
              <w:spacing w:after="0"/>
              <w:rPr>
                <w:sz w:val="20"/>
                <w:szCs w:val="20"/>
                <w:color w:val="auto"/>
              </w:rPr>
            </w:pPr>
            <w:r>
              <w:rPr>
                <w:rFonts w:ascii="Arial" w:cs="Arial" w:eastAsia="Arial" w:hAnsi="Arial"/>
                <w:sz w:val="20"/>
                <w:szCs w:val="20"/>
                <w:color w:val="auto"/>
              </w:rPr>
              <w:t>Heritage:</w:t>
            </w:r>
          </w:p>
        </w:tc>
        <w:tc>
          <w:tcPr>
            <w:tcW w:w="15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r>
      <w:tr>
        <w:trPr>
          <w:trHeight w:val="243"/>
        </w:trPr>
        <w:tc>
          <w:tcPr>
            <w:tcW w:w="7960" w:type="dxa"/>
            <w:vAlign w:val="bottom"/>
            <w:gridSpan w:val="2"/>
          </w:tcPr>
          <w:p>
            <w:pPr>
              <w:ind w:left="140"/>
              <w:spacing w:after="0"/>
              <w:rPr>
                <w:sz w:val="20"/>
                <w:szCs w:val="20"/>
                <w:color w:val="auto"/>
              </w:rPr>
            </w:pPr>
            <w:r>
              <w:rPr>
                <w:rFonts w:ascii="Arial" w:cs="Arial" w:eastAsia="Arial" w:hAnsi="Arial"/>
                <w:sz w:val="20"/>
                <w:szCs w:val="20"/>
                <w:color w:val="auto"/>
              </w:rPr>
              <w:t>Asphalt</w:t>
            </w:r>
          </w:p>
        </w:tc>
        <w:tc>
          <w:tcPr>
            <w:tcW w:w="2160" w:type="dxa"/>
            <w:vAlign w:val="bottom"/>
            <w:gridSpan w:val="5"/>
          </w:tcPr>
          <w:p>
            <w:pPr>
              <w:jc w:val="center"/>
              <w:ind w:right="500"/>
              <w:spacing w:after="0"/>
              <w:rPr>
                <w:sz w:val="20"/>
                <w:szCs w:val="20"/>
                <w:color w:val="auto"/>
              </w:rPr>
            </w:pPr>
            <w:r>
              <w:rPr>
                <w:rFonts w:ascii="Arial" w:cs="Arial" w:eastAsia="Arial" w:hAnsi="Arial"/>
                <w:sz w:val="20"/>
                <w:szCs w:val="20"/>
                <w:color w:val="auto"/>
                <w:w w:val="90"/>
              </w:rPr>
              <w:t>$43.00/ton</w:t>
            </w:r>
          </w:p>
        </w:tc>
        <w:tc>
          <w:tcPr>
            <w:tcW w:w="1300" w:type="dxa"/>
            <w:vAlign w:val="bottom"/>
            <w:gridSpan w:val="2"/>
          </w:tcPr>
          <w:p>
            <w:pPr>
              <w:jc w:val="center"/>
              <w:ind w:right="400"/>
              <w:spacing w:after="0"/>
              <w:rPr>
                <w:sz w:val="20"/>
                <w:szCs w:val="20"/>
                <w:color w:val="auto"/>
              </w:rPr>
            </w:pPr>
            <w:r>
              <w:rPr>
                <w:rFonts w:ascii="Arial" w:cs="Arial" w:eastAsia="Arial" w:hAnsi="Arial"/>
                <w:sz w:val="20"/>
                <w:szCs w:val="20"/>
                <w:color w:val="auto"/>
                <w:w w:val="90"/>
              </w:rPr>
              <w:t>$41.24/ton</w:t>
            </w:r>
          </w:p>
        </w:tc>
      </w:tr>
      <w:tr>
        <w:trPr>
          <w:trHeight w:val="243"/>
        </w:trPr>
        <w:tc>
          <w:tcPr>
            <w:tcW w:w="7960" w:type="dxa"/>
            <w:vAlign w:val="bottom"/>
            <w:gridSpan w:val="2"/>
            <w:shd w:val="clear" w:color="auto" w:fill="CFF0FC"/>
          </w:tcPr>
          <w:p>
            <w:pPr>
              <w:ind w:left="140"/>
              <w:spacing w:after="0"/>
              <w:rPr>
                <w:sz w:val="20"/>
                <w:szCs w:val="20"/>
                <w:color w:val="auto"/>
              </w:rPr>
            </w:pPr>
            <w:r>
              <w:rPr>
                <w:rFonts w:ascii="Arial" w:cs="Arial" w:eastAsia="Arial" w:hAnsi="Arial"/>
                <w:sz w:val="20"/>
                <w:szCs w:val="20"/>
                <w:color w:val="auto"/>
              </w:rPr>
              <w:t>Ready Mixed Concrete</w:t>
            </w:r>
          </w:p>
        </w:tc>
        <w:tc>
          <w:tcPr>
            <w:tcW w:w="2160" w:type="dxa"/>
            <w:vAlign w:val="bottom"/>
            <w:gridSpan w:val="5"/>
            <w:shd w:val="clear" w:color="auto" w:fill="CFF0FC"/>
          </w:tcPr>
          <w:p>
            <w:pPr>
              <w:jc w:val="center"/>
              <w:ind w:right="520"/>
              <w:spacing w:after="0"/>
              <w:rPr>
                <w:sz w:val="20"/>
                <w:szCs w:val="20"/>
                <w:color w:val="auto"/>
              </w:rPr>
            </w:pPr>
            <w:r>
              <w:rPr>
                <w:rFonts w:ascii="Arial" w:cs="Arial" w:eastAsia="Arial" w:hAnsi="Arial"/>
                <w:sz w:val="20"/>
                <w:szCs w:val="20"/>
                <w:color w:val="auto"/>
                <w:w w:val="90"/>
              </w:rPr>
              <w:t>$103.30/yd³</w:t>
            </w:r>
          </w:p>
        </w:tc>
        <w:tc>
          <w:tcPr>
            <w:tcW w:w="1300" w:type="dxa"/>
            <w:vAlign w:val="bottom"/>
            <w:gridSpan w:val="2"/>
            <w:shd w:val="clear" w:color="auto" w:fill="CFF0FC"/>
          </w:tcPr>
          <w:p>
            <w:pPr>
              <w:jc w:val="center"/>
              <w:ind w:right="400"/>
              <w:spacing w:after="0"/>
              <w:rPr>
                <w:sz w:val="20"/>
                <w:szCs w:val="20"/>
                <w:color w:val="auto"/>
              </w:rPr>
            </w:pPr>
            <w:r>
              <w:rPr>
                <w:rFonts w:ascii="Arial" w:cs="Arial" w:eastAsia="Arial" w:hAnsi="Arial"/>
                <w:sz w:val="20"/>
                <w:szCs w:val="20"/>
                <w:color w:val="auto"/>
                <w:w w:val="90"/>
              </w:rPr>
              <w:t>$94.72/yd³</w:t>
            </w:r>
          </w:p>
        </w:tc>
      </w:tr>
      <w:tr>
        <w:trPr>
          <w:trHeight w:val="243"/>
        </w:trPr>
        <w:tc>
          <w:tcPr>
            <w:tcW w:w="7960" w:type="dxa"/>
            <w:vAlign w:val="bottom"/>
            <w:gridSpan w:val="2"/>
          </w:tcPr>
          <w:p>
            <w:pPr>
              <w:spacing w:after="0"/>
              <w:rPr>
                <w:sz w:val="20"/>
                <w:szCs w:val="20"/>
                <w:color w:val="auto"/>
              </w:rPr>
            </w:pPr>
            <w:r>
              <w:rPr>
                <w:rFonts w:ascii="Arial" w:cs="Arial" w:eastAsia="Arial" w:hAnsi="Arial"/>
                <w:sz w:val="20"/>
                <w:szCs w:val="20"/>
                <w:color w:val="auto"/>
              </w:rPr>
              <w:t>Acquisitions:</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43"/>
        </w:trPr>
        <w:tc>
          <w:tcPr>
            <w:tcW w:w="7960" w:type="dxa"/>
            <w:vAlign w:val="bottom"/>
            <w:gridSpan w:val="2"/>
            <w:shd w:val="clear" w:color="auto" w:fill="CFF0FC"/>
          </w:tcPr>
          <w:p>
            <w:pPr>
              <w:ind w:left="140"/>
              <w:spacing w:after="0"/>
              <w:rPr>
                <w:sz w:val="20"/>
                <w:szCs w:val="20"/>
                <w:color w:val="auto"/>
              </w:rPr>
            </w:pPr>
            <w:r>
              <w:rPr>
                <w:rFonts w:ascii="Arial" w:cs="Arial" w:eastAsia="Arial" w:hAnsi="Arial"/>
                <w:sz w:val="20"/>
                <w:szCs w:val="20"/>
                <w:color w:val="auto"/>
              </w:rPr>
              <w:t xml:space="preserve">Ready Mixed Concrete </w:t>
            </w:r>
            <w:r>
              <w:rPr>
                <w:rFonts w:ascii="Arial" w:cs="Arial" w:eastAsia="Arial" w:hAnsi="Arial"/>
                <w:sz w:val="16"/>
                <w:szCs w:val="16"/>
                <w:color w:val="auto"/>
              </w:rPr>
              <w:t>(4)</w:t>
            </w:r>
          </w:p>
        </w:tc>
        <w:tc>
          <w:tcPr>
            <w:tcW w:w="2160" w:type="dxa"/>
            <w:vAlign w:val="bottom"/>
            <w:gridSpan w:val="5"/>
            <w:shd w:val="clear" w:color="auto" w:fill="CFF0FC"/>
          </w:tcPr>
          <w:p>
            <w:pPr>
              <w:jc w:val="center"/>
              <w:ind w:right="500"/>
              <w:spacing w:after="0"/>
              <w:rPr>
                <w:sz w:val="20"/>
                <w:szCs w:val="20"/>
                <w:color w:val="auto"/>
              </w:rPr>
            </w:pPr>
            <w:r>
              <w:rPr>
                <w:rFonts w:ascii="Arial" w:cs="Arial" w:eastAsia="Arial" w:hAnsi="Arial"/>
                <w:sz w:val="20"/>
                <w:szCs w:val="20"/>
                <w:color w:val="auto"/>
                <w:w w:val="90"/>
              </w:rPr>
              <w:t>$95.65/yd³</w:t>
            </w:r>
          </w:p>
        </w:tc>
        <w:tc>
          <w:tcPr>
            <w:tcW w:w="1300" w:type="dxa"/>
            <w:vAlign w:val="bottom"/>
            <w:gridSpan w:val="2"/>
            <w:shd w:val="clear" w:color="auto" w:fill="CFF0FC"/>
          </w:tcPr>
          <w:p>
            <w:pPr>
              <w:jc w:val="center"/>
              <w:ind w:right="400"/>
              <w:spacing w:after="0"/>
              <w:rPr>
                <w:sz w:val="20"/>
                <w:szCs w:val="20"/>
                <w:color w:val="auto"/>
              </w:rPr>
            </w:pPr>
            <w:r>
              <w:rPr>
                <w:rFonts w:ascii="Arial" w:cs="Arial" w:eastAsia="Arial" w:hAnsi="Arial"/>
                <w:sz w:val="20"/>
                <w:szCs w:val="20"/>
                <w:color w:val="auto"/>
                <w:w w:val="90"/>
              </w:rPr>
              <w:t>$86.10/yd³</w:t>
            </w:r>
          </w:p>
        </w:tc>
      </w:tr>
      <w:tr>
        <w:trPr>
          <w:trHeight w:val="666"/>
        </w:trPr>
        <w:tc>
          <w:tcPr>
            <w:tcW w:w="10120" w:type="dxa"/>
            <w:vAlign w:val="bottom"/>
            <w:gridSpan w:val="7"/>
          </w:tcPr>
          <w:p>
            <w:pPr>
              <w:spacing w:after="0"/>
              <w:rPr>
                <w:sz w:val="20"/>
                <w:szCs w:val="20"/>
                <w:color w:val="auto"/>
              </w:rPr>
            </w:pPr>
            <w:r>
              <w:rPr>
                <w:rFonts w:ascii="Arial" w:cs="Arial" w:eastAsia="Arial" w:hAnsi="Arial"/>
                <w:sz w:val="20"/>
                <w:szCs w:val="20"/>
                <w:color w:val="auto"/>
              </w:rPr>
              <w:t>Unit shipments by product line for the Corporation’s aggregates-related downstream product lines are as follows:</w:t>
            </w: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65"/>
        </w:trPr>
        <w:tc>
          <w:tcPr>
            <w:tcW w:w="7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60" w:type="dxa"/>
            <w:vAlign w:val="bottom"/>
            <w:gridSpan w:val="7"/>
          </w:tcPr>
          <w:p>
            <w:pPr>
              <w:jc w:val="center"/>
              <w:ind w:right="340"/>
              <w:spacing w:after="0"/>
              <w:rPr>
                <w:sz w:val="20"/>
                <w:szCs w:val="20"/>
                <w:color w:val="auto"/>
              </w:rPr>
            </w:pPr>
            <w:r>
              <w:rPr>
                <w:rFonts w:ascii="Arial" w:cs="Arial" w:eastAsia="Arial" w:hAnsi="Arial"/>
                <w:sz w:val="20"/>
                <w:szCs w:val="20"/>
                <w:color w:val="auto"/>
                <w:w w:val="89"/>
              </w:rPr>
              <w:t>Three Months Ended</w:t>
            </w:r>
          </w:p>
        </w:tc>
      </w:tr>
      <w:tr>
        <w:trPr>
          <w:trHeight w:val="246"/>
        </w:trPr>
        <w:tc>
          <w:tcPr>
            <w:tcW w:w="77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160" w:type="dxa"/>
            <w:vAlign w:val="bottom"/>
            <w:tcBorders>
              <w:bottom w:val="single" w:sz="8" w:color="auto"/>
            </w:tcBorders>
            <w:gridSpan w:val="5"/>
          </w:tcPr>
          <w:p>
            <w:pPr>
              <w:jc w:val="center"/>
              <w:ind w:left="881"/>
              <w:spacing w:after="0"/>
              <w:rPr>
                <w:sz w:val="20"/>
                <w:szCs w:val="20"/>
                <w:color w:val="auto"/>
              </w:rPr>
            </w:pPr>
            <w:r>
              <w:rPr>
                <w:rFonts w:ascii="Arial" w:cs="Arial" w:eastAsia="Arial" w:hAnsi="Arial"/>
                <w:sz w:val="20"/>
                <w:szCs w:val="20"/>
                <w:color w:val="auto"/>
                <w:w w:val="86"/>
              </w:rPr>
              <w:t>September 30,</w:t>
            </w:r>
          </w:p>
        </w:tc>
        <w:tc>
          <w:tcPr>
            <w:tcW w:w="118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r>
      <w:tr>
        <w:trPr>
          <w:trHeight w:val="237"/>
        </w:trPr>
        <w:tc>
          <w:tcPr>
            <w:tcW w:w="776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621"/>
              <w:spacing w:after="0"/>
              <w:rPr>
                <w:sz w:val="20"/>
                <w:szCs w:val="20"/>
                <w:color w:val="auto"/>
              </w:rPr>
            </w:pPr>
            <w:r>
              <w:rPr>
                <w:rFonts w:ascii="Arial" w:cs="Arial" w:eastAsia="Arial" w:hAnsi="Arial"/>
                <w:sz w:val="20"/>
                <w:szCs w:val="20"/>
                <w:color w:val="auto"/>
              </w:rPr>
              <w:t>2015</w:t>
            </w:r>
          </w:p>
        </w:tc>
        <w:tc>
          <w:tcPr>
            <w:tcW w:w="100" w:type="dxa"/>
            <w:vAlign w:val="bottom"/>
            <w:tcBorders>
              <w:bottom w:val="single" w:sz="8" w:color="CFF0FC"/>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81"/>
              <w:spacing w:after="0"/>
              <w:rPr>
                <w:sz w:val="20"/>
                <w:szCs w:val="20"/>
                <w:color w:val="auto"/>
              </w:rPr>
            </w:pPr>
            <w:r>
              <w:rPr>
                <w:rFonts w:ascii="Arial" w:cs="Arial" w:eastAsia="Arial" w:hAnsi="Arial"/>
                <w:sz w:val="20"/>
                <w:szCs w:val="20"/>
                <w:color w:val="auto"/>
              </w:rPr>
              <w:t>2014</w:t>
            </w:r>
          </w:p>
        </w:tc>
        <w:tc>
          <w:tcPr>
            <w:tcW w:w="120" w:type="dxa"/>
            <w:vAlign w:val="bottom"/>
            <w:tcBorders>
              <w:bottom w:val="single" w:sz="8" w:color="CFF0FC"/>
            </w:tcBorders>
          </w:tcPr>
          <w:p>
            <w:pPr>
              <w:spacing w:after="0"/>
              <w:rPr>
                <w:sz w:val="20"/>
                <w:szCs w:val="20"/>
                <w:color w:val="auto"/>
              </w:rPr>
            </w:pPr>
          </w:p>
        </w:tc>
      </w:tr>
      <w:tr>
        <w:trPr>
          <w:trHeight w:val="237"/>
        </w:trPr>
        <w:tc>
          <w:tcPr>
            <w:tcW w:w="7760" w:type="dxa"/>
            <w:vAlign w:val="bottom"/>
            <w:shd w:val="clear" w:color="auto" w:fill="CFF0FC"/>
          </w:tcPr>
          <w:p>
            <w:pPr>
              <w:spacing w:after="0"/>
              <w:rPr>
                <w:sz w:val="20"/>
                <w:szCs w:val="20"/>
                <w:color w:val="auto"/>
              </w:rPr>
            </w:pPr>
            <w:r>
              <w:rPr>
                <w:rFonts w:ascii="Arial" w:cs="Arial" w:eastAsia="Arial" w:hAnsi="Arial"/>
                <w:sz w:val="20"/>
                <w:szCs w:val="20"/>
                <w:color w:val="auto"/>
              </w:rPr>
              <w:t>Asphalt Product Line (in thousands):</w:t>
            </w:r>
          </w:p>
        </w:tc>
        <w:tc>
          <w:tcPr>
            <w:tcW w:w="200" w:type="dxa"/>
            <w:vAlign w:val="bottom"/>
            <w:shd w:val="clear" w:color="auto" w:fill="CFF0FC"/>
          </w:tcPr>
          <w:p>
            <w:pPr>
              <w:spacing w:after="0"/>
              <w:rPr>
                <w:sz w:val="20"/>
                <w:szCs w:val="20"/>
                <w:color w:val="auto"/>
              </w:rPr>
            </w:pPr>
          </w:p>
        </w:tc>
        <w:tc>
          <w:tcPr>
            <w:tcW w:w="15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r>
      <w:tr>
        <w:trPr>
          <w:trHeight w:val="243"/>
        </w:trPr>
        <w:tc>
          <w:tcPr>
            <w:tcW w:w="7960" w:type="dxa"/>
            <w:vAlign w:val="bottom"/>
            <w:gridSpan w:val="2"/>
          </w:tcPr>
          <w:p>
            <w:pPr>
              <w:ind w:left="260"/>
              <w:spacing w:after="0"/>
              <w:rPr>
                <w:sz w:val="20"/>
                <w:szCs w:val="20"/>
                <w:color w:val="auto"/>
              </w:rPr>
            </w:pPr>
            <w:r>
              <w:rPr>
                <w:rFonts w:ascii="Arial" w:cs="Arial" w:eastAsia="Arial" w:hAnsi="Arial"/>
                <w:sz w:val="20"/>
                <w:szCs w:val="20"/>
                <w:color w:val="auto"/>
              </w:rPr>
              <w:t>Tons to external customers</w:t>
            </w:r>
          </w:p>
        </w:tc>
        <w:tc>
          <w:tcPr>
            <w:tcW w:w="1500" w:type="dxa"/>
            <w:vAlign w:val="bottom"/>
          </w:tcPr>
          <w:p>
            <w:pPr>
              <w:jc w:val="right"/>
              <w:ind w:right="21"/>
              <w:spacing w:after="0"/>
              <w:rPr>
                <w:sz w:val="20"/>
                <w:szCs w:val="20"/>
                <w:color w:val="auto"/>
              </w:rPr>
            </w:pPr>
            <w:r>
              <w:rPr>
                <w:rFonts w:ascii="Arial" w:cs="Arial" w:eastAsia="Arial" w:hAnsi="Arial"/>
                <w:sz w:val="20"/>
                <w:szCs w:val="20"/>
                <w:color w:val="auto"/>
              </w:rPr>
              <w:t>473</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476</w:t>
            </w:r>
          </w:p>
        </w:tc>
        <w:tc>
          <w:tcPr>
            <w:tcW w:w="120" w:type="dxa"/>
            <w:vAlign w:val="bottom"/>
          </w:tcPr>
          <w:p>
            <w:pPr>
              <w:spacing w:after="0"/>
              <w:rPr>
                <w:sz w:val="21"/>
                <w:szCs w:val="21"/>
                <w:color w:val="auto"/>
              </w:rPr>
            </w:pPr>
          </w:p>
        </w:tc>
      </w:tr>
      <w:tr>
        <w:trPr>
          <w:trHeight w:val="243"/>
        </w:trPr>
        <w:tc>
          <w:tcPr>
            <w:tcW w:w="7960" w:type="dxa"/>
            <w:vAlign w:val="bottom"/>
            <w:gridSpan w:val="2"/>
            <w:shd w:val="clear" w:color="auto" w:fill="CFF0FC"/>
          </w:tcPr>
          <w:p>
            <w:pPr>
              <w:ind w:left="260"/>
              <w:spacing w:after="0"/>
              <w:rPr>
                <w:sz w:val="20"/>
                <w:szCs w:val="20"/>
                <w:color w:val="auto"/>
              </w:rPr>
            </w:pPr>
            <w:r>
              <w:rPr>
                <w:rFonts w:ascii="Arial" w:cs="Arial" w:eastAsia="Arial" w:hAnsi="Arial"/>
                <w:sz w:val="20"/>
                <w:szCs w:val="20"/>
                <w:color w:val="auto"/>
              </w:rPr>
              <w:t>Internal tons used in road paving business</w:t>
            </w:r>
          </w:p>
        </w:tc>
        <w:tc>
          <w:tcPr>
            <w:tcW w:w="150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783</w:t>
            </w:r>
          </w:p>
        </w:tc>
        <w:tc>
          <w:tcPr>
            <w:tcW w:w="10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777</w:t>
            </w:r>
          </w:p>
        </w:tc>
        <w:tc>
          <w:tcPr>
            <w:tcW w:w="120" w:type="dxa"/>
            <w:vAlign w:val="bottom"/>
            <w:shd w:val="clear" w:color="auto" w:fill="CFF0FC"/>
          </w:tcPr>
          <w:p>
            <w:pPr>
              <w:spacing w:after="0"/>
              <w:rPr>
                <w:sz w:val="21"/>
                <w:szCs w:val="21"/>
                <w:color w:val="auto"/>
              </w:rPr>
            </w:pPr>
          </w:p>
        </w:tc>
      </w:tr>
      <w:tr>
        <w:trPr>
          <w:trHeight w:val="277"/>
        </w:trPr>
        <w:tc>
          <w:tcPr>
            <w:tcW w:w="7760" w:type="dxa"/>
            <w:vAlign w:val="bottom"/>
            <w:tcBorders>
              <w:bottom w:val="single" w:sz="8" w:color="CFF0FC"/>
            </w:tcBorders>
          </w:tcPr>
          <w:p>
            <w:pPr>
              <w:spacing w:after="0"/>
              <w:rPr>
                <w:sz w:val="20"/>
                <w:szCs w:val="20"/>
                <w:color w:val="auto"/>
              </w:rPr>
            </w:pPr>
            <w:r>
              <w:rPr>
                <w:rFonts w:ascii="Arial" w:cs="Arial" w:eastAsia="Arial" w:hAnsi="Arial"/>
                <w:sz w:val="20"/>
                <w:szCs w:val="20"/>
                <w:color w:val="auto"/>
              </w:rPr>
              <w:t>Total asphalt tons</w:t>
            </w:r>
          </w:p>
        </w:tc>
        <w:tc>
          <w:tcPr>
            <w:tcW w:w="200" w:type="dxa"/>
            <w:vAlign w:val="bottom"/>
            <w:tcBorders>
              <w:top w:val="single" w:sz="8" w:color="auto"/>
              <w:bottom w:val="single" w:sz="8" w:color="auto"/>
            </w:tcBorders>
          </w:tcPr>
          <w:p>
            <w:pPr>
              <w:spacing w:after="0"/>
              <w:rPr>
                <w:sz w:val="24"/>
                <w:szCs w:val="24"/>
                <w:color w:val="auto"/>
              </w:rPr>
            </w:pPr>
          </w:p>
        </w:tc>
        <w:tc>
          <w:tcPr>
            <w:tcW w:w="150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20"/>
                <w:szCs w:val="20"/>
                <w:color w:val="auto"/>
              </w:rPr>
              <w:t>1,256</w:t>
            </w:r>
          </w:p>
        </w:tc>
        <w:tc>
          <w:tcPr>
            <w:tcW w:w="100" w:type="dxa"/>
            <w:vAlign w:val="bottom"/>
            <w:tcBorders>
              <w:bottom w:val="single" w:sz="8" w:color="CFF0FC"/>
            </w:tcBorders>
          </w:tcPr>
          <w:p>
            <w:pPr>
              <w:spacing w:after="0"/>
              <w:rPr>
                <w:sz w:val="24"/>
                <w:szCs w:val="24"/>
                <w:color w:val="auto"/>
              </w:rPr>
            </w:pPr>
          </w:p>
        </w:tc>
        <w:tc>
          <w:tcPr>
            <w:tcW w:w="6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380" w:type="dxa"/>
            <w:vAlign w:val="bottom"/>
            <w:tcBorders>
              <w:top w:val="single" w:sz="8" w:color="auto"/>
              <w:bottom w:val="single" w:sz="8" w:color="auto"/>
            </w:tcBorders>
          </w:tcPr>
          <w:p>
            <w:pPr>
              <w:spacing w:after="0"/>
              <w:rPr>
                <w:sz w:val="24"/>
                <w:szCs w:val="24"/>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1,253</w:t>
            </w:r>
          </w:p>
        </w:tc>
        <w:tc>
          <w:tcPr>
            <w:tcW w:w="120" w:type="dxa"/>
            <w:vAlign w:val="bottom"/>
            <w:tcBorders>
              <w:bottom w:val="single" w:sz="8" w:color="CFF0FC"/>
            </w:tcBorders>
          </w:tcPr>
          <w:p>
            <w:pPr>
              <w:spacing w:after="0"/>
              <w:rPr>
                <w:sz w:val="24"/>
                <w:szCs w:val="24"/>
                <w:color w:val="auto"/>
              </w:rPr>
            </w:pPr>
          </w:p>
        </w:tc>
      </w:tr>
      <w:tr>
        <w:trPr>
          <w:trHeight w:val="224"/>
        </w:trPr>
        <w:tc>
          <w:tcPr>
            <w:tcW w:w="7760" w:type="dxa"/>
            <w:vAlign w:val="bottom"/>
            <w:shd w:val="clear" w:color="auto" w:fill="CFF0FC"/>
          </w:tcPr>
          <w:p>
            <w:pPr>
              <w:spacing w:after="0" w:line="224" w:lineRule="exact"/>
              <w:rPr>
                <w:sz w:val="20"/>
                <w:szCs w:val="20"/>
                <w:color w:val="auto"/>
              </w:rPr>
            </w:pPr>
            <w:r>
              <w:rPr>
                <w:rFonts w:ascii="Arial" w:cs="Arial" w:eastAsia="Arial" w:hAnsi="Arial"/>
                <w:sz w:val="20"/>
                <w:szCs w:val="20"/>
                <w:color w:val="auto"/>
              </w:rPr>
              <w:t>Ready Mixed Concrete (in thousands of cubic yards):</w:t>
            </w:r>
          </w:p>
        </w:tc>
        <w:tc>
          <w:tcPr>
            <w:tcW w:w="20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43"/>
        </w:trPr>
        <w:tc>
          <w:tcPr>
            <w:tcW w:w="7960" w:type="dxa"/>
            <w:vAlign w:val="bottom"/>
            <w:gridSpan w:val="2"/>
          </w:tcPr>
          <w:p>
            <w:pPr>
              <w:ind w:left="260"/>
              <w:spacing w:after="0"/>
              <w:rPr>
                <w:sz w:val="20"/>
                <w:szCs w:val="20"/>
                <w:color w:val="auto"/>
              </w:rPr>
            </w:pPr>
            <w:r>
              <w:rPr>
                <w:rFonts w:ascii="Arial" w:cs="Arial" w:eastAsia="Arial" w:hAnsi="Arial"/>
                <w:sz w:val="20"/>
                <w:szCs w:val="20"/>
                <w:color w:val="auto"/>
              </w:rPr>
              <w:t>Heritage</w:t>
            </w:r>
          </w:p>
        </w:tc>
        <w:tc>
          <w:tcPr>
            <w:tcW w:w="1500" w:type="dxa"/>
            <w:vAlign w:val="bottom"/>
          </w:tcPr>
          <w:p>
            <w:pPr>
              <w:jc w:val="right"/>
              <w:ind w:right="21"/>
              <w:spacing w:after="0"/>
              <w:rPr>
                <w:sz w:val="20"/>
                <w:szCs w:val="20"/>
                <w:color w:val="auto"/>
              </w:rPr>
            </w:pPr>
            <w:r>
              <w:rPr>
                <w:rFonts w:ascii="Arial" w:cs="Arial" w:eastAsia="Arial" w:hAnsi="Arial"/>
                <w:sz w:val="20"/>
                <w:szCs w:val="20"/>
                <w:color w:val="auto"/>
              </w:rPr>
              <w:t>690</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580</w:t>
            </w:r>
          </w:p>
        </w:tc>
        <w:tc>
          <w:tcPr>
            <w:tcW w:w="120" w:type="dxa"/>
            <w:vAlign w:val="bottom"/>
          </w:tcPr>
          <w:p>
            <w:pPr>
              <w:spacing w:after="0"/>
              <w:rPr>
                <w:sz w:val="21"/>
                <w:szCs w:val="21"/>
                <w:color w:val="auto"/>
              </w:rPr>
            </w:pPr>
          </w:p>
        </w:tc>
      </w:tr>
      <w:tr>
        <w:trPr>
          <w:trHeight w:val="243"/>
        </w:trPr>
        <w:tc>
          <w:tcPr>
            <w:tcW w:w="7960" w:type="dxa"/>
            <w:vAlign w:val="bottom"/>
            <w:gridSpan w:val="2"/>
            <w:shd w:val="clear" w:color="auto" w:fill="CFF0FC"/>
          </w:tcPr>
          <w:p>
            <w:pPr>
              <w:ind w:left="260"/>
              <w:spacing w:after="0"/>
              <w:rPr>
                <w:sz w:val="20"/>
                <w:szCs w:val="20"/>
                <w:color w:val="auto"/>
              </w:rPr>
            </w:pPr>
            <w:r>
              <w:rPr>
                <w:rFonts w:ascii="Arial" w:cs="Arial" w:eastAsia="Arial" w:hAnsi="Arial"/>
                <w:sz w:val="20"/>
                <w:szCs w:val="20"/>
                <w:color w:val="auto"/>
              </w:rPr>
              <w:t>Acquisitions</w:t>
            </w:r>
          </w:p>
        </w:tc>
        <w:tc>
          <w:tcPr>
            <w:tcW w:w="150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1,421</w:t>
            </w:r>
          </w:p>
        </w:tc>
        <w:tc>
          <w:tcPr>
            <w:tcW w:w="10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1,466</w:t>
            </w:r>
          </w:p>
        </w:tc>
        <w:tc>
          <w:tcPr>
            <w:tcW w:w="120" w:type="dxa"/>
            <w:vAlign w:val="bottom"/>
            <w:shd w:val="clear" w:color="auto" w:fill="CFF0FC"/>
          </w:tcPr>
          <w:p>
            <w:pPr>
              <w:spacing w:after="0"/>
              <w:rPr>
                <w:sz w:val="21"/>
                <w:szCs w:val="21"/>
                <w:color w:val="auto"/>
              </w:rPr>
            </w:pPr>
          </w:p>
        </w:tc>
      </w:tr>
      <w:tr>
        <w:trPr>
          <w:trHeight w:val="237"/>
        </w:trPr>
        <w:tc>
          <w:tcPr>
            <w:tcW w:w="7760" w:type="dxa"/>
            <w:vAlign w:val="bottom"/>
          </w:tcPr>
          <w:p>
            <w:pPr>
              <w:spacing w:after="0"/>
              <w:rPr>
                <w:sz w:val="20"/>
                <w:szCs w:val="20"/>
                <w:color w:val="auto"/>
              </w:rPr>
            </w:pPr>
            <w:r>
              <w:rPr>
                <w:rFonts w:ascii="Arial" w:cs="Arial" w:eastAsia="Arial" w:hAnsi="Arial"/>
                <w:sz w:val="20"/>
                <w:szCs w:val="20"/>
                <w:color w:val="auto"/>
              </w:rPr>
              <w:t>Total cubic yards</w:t>
            </w:r>
          </w:p>
        </w:tc>
        <w:tc>
          <w:tcPr>
            <w:tcW w:w="200" w:type="dxa"/>
            <w:vAlign w:val="bottom"/>
            <w:tcBorders>
              <w:top w:val="single" w:sz="8" w:color="auto"/>
              <w:bottom w:val="single" w:sz="8" w:color="auto"/>
            </w:tcBorders>
          </w:tcPr>
          <w:p>
            <w:pPr>
              <w:spacing w:after="0"/>
              <w:rPr>
                <w:sz w:val="20"/>
                <w:szCs w:val="20"/>
                <w:color w:val="auto"/>
              </w:rPr>
            </w:pPr>
          </w:p>
        </w:tc>
        <w:tc>
          <w:tcPr>
            <w:tcW w:w="150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20"/>
                <w:szCs w:val="20"/>
                <w:color w:val="auto"/>
              </w:rPr>
              <w:t>2,111</w:t>
            </w:r>
          </w:p>
        </w:tc>
        <w:tc>
          <w:tcPr>
            <w:tcW w:w="100" w:type="dxa"/>
            <w:vAlign w:val="bottom"/>
          </w:tcPr>
          <w:p>
            <w:pPr>
              <w:spacing w:after="0"/>
              <w:rPr>
                <w:sz w:val="20"/>
                <w:szCs w:val="20"/>
                <w:color w:val="auto"/>
              </w:rPr>
            </w:pPr>
          </w:p>
        </w:tc>
        <w:tc>
          <w:tcPr>
            <w:tcW w:w="6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2,046</w:t>
            </w:r>
          </w:p>
        </w:tc>
        <w:tc>
          <w:tcPr>
            <w:tcW w:w="120" w:type="dxa"/>
            <w:vAlign w:val="bottom"/>
          </w:tcPr>
          <w:p>
            <w:pPr>
              <w:spacing w:after="0"/>
              <w:rPr>
                <w:sz w:val="20"/>
                <w:szCs w:val="20"/>
                <w:color w:val="auto"/>
              </w:rPr>
            </w:pPr>
          </w:p>
        </w:tc>
      </w:tr>
      <w:tr>
        <w:trPr>
          <w:trHeight w:val="20"/>
        </w:trPr>
        <w:tc>
          <w:tcPr>
            <w:tcW w:w="77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9"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heritage ready mixed concrete product line reported a 19% increase in shipments and a 9% increase in average selling price, which led to a 29% increase in net sales and a gross margin expansion of 240-basis-points (excluding freight and delivery revenues). For the quarter, the legacy TXI ready mixed concrete operations contributed $137 million of net sales, an increase of 8%. The hot mixed asphalt product line reported a slight increase in average selling price and $27 million of net sales.</w:t>
      </w:r>
    </w:p>
    <w:p>
      <w:pPr>
        <w:spacing w:after="0" w:line="192"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The Aggregates business is significantly affected by erratic weather patterns, seasonal changes and other weather-related conditions. Production and shipment levels for aggregates, asphalt, ready mixed concrete and road paving materials correlate with general construction activity levels, most of which occurs in the spring, summer and fall. Thus, production and shipment levels vary by quarter. Operations concentrated in the northern and midwestern United States generally experience more severe winter weather conditions than operations in the southeast and southwest. Excessive rainfall, and conversely excessive drought, can also jeopardize shipments, production and profitability in all markets served by the Corporation. Because of the potentially significant impact of weather on the Corporation’s operations, current period and year to date results are not indicative of expected performance for other interim periods or the full year.</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38 of 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38" w:name="page39"/>
    <w:bookmarkEnd w:id="38"/>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September 30, 2015</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rPr>
          <w:sz w:val="20"/>
          <w:szCs w:val="20"/>
          <w:color w:val="auto"/>
        </w:rPr>
      </w:pPr>
      <w:r>
        <w:rPr>
          <w:rFonts w:ascii="Arial" w:cs="Arial" w:eastAsia="Arial" w:hAnsi="Arial"/>
          <w:sz w:val="20"/>
          <w:szCs w:val="20"/>
          <w:color w:val="auto"/>
        </w:rPr>
        <w:t>Third Quarter Ended September 30, 2015</w:t>
      </w:r>
    </w:p>
    <w:p>
      <w:pPr>
        <w:jc w:val="center"/>
        <w:spacing w:after="0"/>
        <w:rPr>
          <w:sz w:val="20"/>
          <w:szCs w:val="20"/>
          <w:color w:val="auto"/>
        </w:rPr>
      </w:pPr>
      <w:r>
        <w:rPr>
          <w:rFonts w:ascii="Arial" w:cs="Arial" w:eastAsia="Arial" w:hAnsi="Arial"/>
          <w:sz w:val="20"/>
          <w:szCs w:val="20"/>
          <w:color w:val="auto"/>
        </w:rPr>
        <w:t>(Continued)</w:t>
      </w:r>
    </w:p>
    <w:p>
      <w:pPr>
        <w:spacing w:after="0" w:line="200" w:lineRule="exact"/>
        <w:rPr>
          <w:sz w:val="20"/>
          <w:szCs w:val="20"/>
          <w:color w:val="auto"/>
        </w:rPr>
      </w:pP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During the first half of 2015, weather significantly affected the Corporation’s revenues and results of operations. Namely, severe late winter weather in many markets and the wettest second quarter in Texas in recorded weather history, according to the National Oceanic and Atmospheric Administration (“NOAA”), resulted in the deferral of an estimated $115 million in net sales and $40 million to $50 million in deferred gross profit. In late September/early October 2015, Hurricane Joaquin sat just offshore of the Bahamas for several days delivering flooding rains. Across the southeastern United States, a separate Hurricane Joaquin-influenced weather system delivered torrential rains. Notably, South Carolina, one of the Corporation’s top ten revenue states, experienced over 24 inches of rain over a period of five days. The Corporation’s operations in South Carolina were significantly affected with one quarry in Columbia completely immersed and another operation damaged by earth movement. However, these operations are shipping product out of inventory and continue to move materials by rail and offshore through the Corporation’s long-haul network. The Corporation is self-insured for flood-related losses in its coastal markets and is unable to determine the extent of loss, if any, at this time. Further, significant rainfall in Texas in late October has hampered production efficiencies. Depending on the timing and extent of any weather disruptions, shipments may be delayed to later in the year or deferred until the following year.</w:t>
      </w:r>
    </w:p>
    <w:p>
      <w:pPr>
        <w:spacing w:after="0" w:line="29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Cement Business</w:t>
      </w:r>
    </w:p>
    <w:p>
      <w:pPr>
        <w:spacing w:after="0" w:line="216"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The Cement business is benefitting from continued strength in Texas markets, where pricing advances are proving more impactful than near-term demand dynamics. Average selling price increased 16.3%, reflective of price increases over the past twelve months coupled with the impact of the expiration of legacy TXI cement contracts with below-market pricing. The Corporation expects the remainder of the legacy TXI contracts to roll off by the end of the year. For the quarter, the business generated $110.5 million of net sales and $38.2 million of gross profit. Third-quarter cement gross margin expanded 1,250 basis points to 34.6%, including $5.4 million in planned cement kiln maintenance costs, which are expected to double in the fourth quarter.</w:t>
      </w:r>
    </w:p>
    <w:p>
      <w:pPr>
        <w:spacing w:after="0" w:line="179"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On September 30, 2015, the Corporation sold its California cement operations to CalPortland Cement Company for $420 million. The Corporation recognized a $25.1 million loss on the sale and incurred an additional $3.6 million of related charges.</w:t>
      </w:r>
    </w:p>
    <w:p>
      <w:pPr>
        <w:spacing w:after="0" w:line="177"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Average selling price per-ton for the cement operations for the three months ended September 30, 2015 and 2014 was $99.95 and $85.95,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Cement shipments for the three months ended September 30, 2015 were (tons in thousands):</w:t>
      </w:r>
    </w:p>
    <w:p>
      <w:pPr>
        <w:spacing w:after="0" w:line="243" w:lineRule="exact"/>
        <w:rPr>
          <w:sz w:val="20"/>
          <w:szCs w:val="20"/>
          <w:color w:val="auto"/>
        </w:rPr>
      </w:pPr>
    </w:p>
    <w:p>
      <w:pPr>
        <w:jc w:val="center"/>
        <w:ind w:left="6860"/>
        <w:spacing w:after="0"/>
        <w:rPr>
          <w:sz w:val="20"/>
          <w:szCs w:val="20"/>
          <w:color w:val="auto"/>
        </w:rPr>
      </w:pPr>
      <w:r>
        <w:rPr>
          <w:rFonts w:ascii="Arial" w:cs="Arial" w:eastAsia="Arial" w:hAnsi="Arial"/>
          <w:sz w:val="20"/>
          <w:szCs w:val="20"/>
          <w:color w:val="auto"/>
        </w:rPr>
        <w:t>Three Months Ended</w:t>
      </w:r>
    </w:p>
    <w:p>
      <w:pPr>
        <w:spacing w:after="0" w:line="20" w:lineRule="exact"/>
        <w:rPr>
          <w:sz w:val="20"/>
          <w:szCs w:val="20"/>
          <w:color w:val="auto"/>
        </w:rPr>
      </w:pPr>
    </w:p>
    <w:p>
      <w:pPr>
        <w:jc w:val="center"/>
        <w:ind w:left="6860"/>
        <w:spacing w:after="0"/>
        <w:rPr>
          <w:sz w:val="20"/>
          <w:szCs w:val="20"/>
          <w:color w:val="auto"/>
        </w:rPr>
      </w:pPr>
      <w:r>
        <w:rPr>
          <w:rFonts w:ascii="Arial" w:cs="Arial" w:eastAsia="Arial" w:hAnsi="Arial"/>
          <w:sz w:val="20"/>
          <w:szCs w:val="20"/>
          <w:color w:val="auto"/>
        </w:rPr>
        <w:t>September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000" w:type="dxa"/>
            <w:vAlign w:val="bottom"/>
            <w:tcBorders>
              <w:bottom w:val="single" w:sz="8" w:color="CFF0FC"/>
            </w:tcBorders>
          </w:tcPr>
          <w:p>
            <w:pPr>
              <w:spacing w:after="0"/>
              <w:rPr>
                <w:sz w:val="20"/>
                <w:szCs w:val="20"/>
                <w:color w:val="auto"/>
              </w:rPr>
            </w:pPr>
          </w:p>
        </w:tc>
        <w:tc>
          <w:tcPr>
            <w:tcW w:w="134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20"/>
                <w:szCs w:val="20"/>
                <w:color w:val="auto"/>
              </w:rPr>
              <w:t>2015</w:t>
            </w:r>
          </w:p>
        </w:tc>
        <w:tc>
          <w:tcPr>
            <w:tcW w:w="640" w:type="dxa"/>
            <w:vAlign w:val="bottom"/>
            <w:tcBorders>
              <w:top w:val="single" w:sz="8" w:color="auto"/>
              <w:bottom w:val="single" w:sz="8" w:color="auto"/>
            </w:tcBorders>
          </w:tcPr>
          <w:p>
            <w:pPr>
              <w:spacing w:after="0"/>
              <w:rPr>
                <w:sz w:val="20"/>
                <w:szCs w:val="20"/>
                <w:color w:val="auto"/>
              </w:rPr>
            </w:pPr>
          </w:p>
        </w:tc>
        <w:tc>
          <w:tcPr>
            <w:tcW w:w="320" w:type="dxa"/>
            <w:vAlign w:val="bottom"/>
            <w:tcBorders>
              <w:top w:val="single" w:sz="8" w:color="auto"/>
              <w:bottom w:val="single" w:sz="8" w:color="CFF0FC"/>
            </w:tcBorders>
          </w:tcPr>
          <w:p>
            <w:pPr>
              <w:spacing w:after="0"/>
              <w:rPr>
                <w:sz w:val="20"/>
                <w:szCs w:val="20"/>
                <w:color w:val="auto"/>
              </w:rPr>
            </w:pPr>
          </w:p>
        </w:tc>
        <w:tc>
          <w:tcPr>
            <w:tcW w:w="2000" w:type="dxa"/>
            <w:vAlign w:val="bottom"/>
            <w:tcBorders>
              <w:top w:val="single" w:sz="8" w:color="auto"/>
              <w:bottom w:val="single" w:sz="8" w:color="auto"/>
            </w:tcBorders>
          </w:tcPr>
          <w:p>
            <w:pPr>
              <w:jc w:val="right"/>
              <w:ind w:right="701"/>
              <w:spacing w:after="0"/>
              <w:rPr>
                <w:sz w:val="20"/>
                <w:szCs w:val="20"/>
                <w:color w:val="auto"/>
              </w:rPr>
            </w:pPr>
            <w:r>
              <w:rPr>
                <w:rFonts w:ascii="Arial" w:cs="Arial" w:eastAsia="Arial" w:hAnsi="Arial"/>
                <w:sz w:val="20"/>
                <w:szCs w:val="20"/>
                <w:color w:val="auto"/>
              </w:rPr>
              <w:t>2014</w:t>
            </w:r>
          </w:p>
        </w:tc>
        <w:tc>
          <w:tcPr>
            <w:tcW w:w="120" w:type="dxa"/>
            <w:vAlign w:val="bottom"/>
            <w:tcBorders>
              <w:bottom w:val="single" w:sz="8" w:color="CFF0FC"/>
            </w:tcBorders>
          </w:tcPr>
          <w:p>
            <w:pPr>
              <w:spacing w:after="0"/>
              <w:rPr>
                <w:sz w:val="20"/>
                <w:szCs w:val="20"/>
                <w:color w:val="auto"/>
              </w:rPr>
            </w:pPr>
          </w:p>
        </w:tc>
      </w:tr>
      <w:tr>
        <w:trPr>
          <w:trHeight w:val="237"/>
        </w:trPr>
        <w:tc>
          <w:tcPr>
            <w:tcW w:w="7000" w:type="dxa"/>
            <w:vAlign w:val="bottom"/>
            <w:shd w:val="clear" w:color="auto" w:fill="CFF0FC"/>
          </w:tcPr>
          <w:p>
            <w:pPr>
              <w:spacing w:after="0"/>
              <w:rPr>
                <w:sz w:val="20"/>
                <w:szCs w:val="20"/>
                <w:color w:val="auto"/>
              </w:rPr>
            </w:pPr>
            <w:r>
              <w:rPr>
                <w:rFonts w:ascii="Arial" w:cs="Arial" w:eastAsia="Arial" w:hAnsi="Arial"/>
                <w:sz w:val="20"/>
                <w:szCs w:val="20"/>
                <w:color w:val="auto"/>
              </w:rPr>
              <w:t>Tons to external customers</w:t>
            </w:r>
          </w:p>
        </w:tc>
        <w:tc>
          <w:tcPr>
            <w:tcW w:w="134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1,081</w:t>
            </w:r>
          </w:p>
        </w:tc>
        <w:tc>
          <w:tcPr>
            <w:tcW w:w="320" w:type="dxa"/>
            <w:vAlign w:val="bottom"/>
            <w:shd w:val="clear" w:color="auto" w:fill="CFF0FC"/>
          </w:tcPr>
          <w:p>
            <w:pPr>
              <w:spacing w:after="0"/>
              <w:rPr>
                <w:sz w:val="20"/>
                <w:szCs w:val="20"/>
                <w:color w:val="auto"/>
              </w:rPr>
            </w:pPr>
          </w:p>
        </w:tc>
        <w:tc>
          <w:tcPr>
            <w:tcW w:w="20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1,272</w:t>
            </w:r>
          </w:p>
        </w:tc>
        <w:tc>
          <w:tcPr>
            <w:tcW w:w="120" w:type="dxa"/>
            <w:vAlign w:val="bottom"/>
            <w:shd w:val="clear" w:color="auto" w:fill="CFF0FC"/>
          </w:tcPr>
          <w:p>
            <w:pPr>
              <w:spacing w:after="0"/>
              <w:rPr>
                <w:sz w:val="20"/>
                <w:szCs w:val="20"/>
                <w:color w:val="auto"/>
              </w:rPr>
            </w:pPr>
          </w:p>
        </w:tc>
      </w:tr>
      <w:tr>
        <w:trPr>
          <w:trHeight w:val="243"/>
        </w:trPr>
        <w:tc>
          <w:tcPr>
            <w:tcW w:w="8340" w:type="dxa"/>
            <w:vAlign w:val="bottom"/>
            <w:gridSpan w:val="2"/>
          </w:tcPr>
          <w:p>
            <w:pPr>
              <w:spacing w:after="0"/>
              <w:rPr>
                <w:sz w:val="20"/>
                <w:szCs w:val="20"/>
                <w:color w:val="auto"/>
              </w:rPr>
            </w:pPr>
            <w:r>
              <w:rPr>
                <w:rFonts w:ascii="Arial" w:cs="Arial" w:eastAsia="Arial" w:hAnsi="Arial"/>
                <w:sz w:val="20"/>
                <w:szCs w:val="20"/>
                <w:color w:val="auto"/>
              </w:rPr>
              <w:t>Internal tons used in other product lines</w:t>
            </w:r>
          </w:p>
        </w:tc>
        <w:tc>
          <w:tcPr>
            <w:tcW w:w="640" w:type="dxa"/>
            <w:vAlign w:val="bottom"/>
          </w:tcPr>
          <w:p>
            <w:pPr>
              <w:jc w:val="right"/>
              <w:spacing w:after="0"/>
              <w:rPr>
                <w:sz w:val="20"/>
                <w:szCs w:val="20"/>
                <w:color w:val="auto"/>
              </w:rPr>
            </w:pPr>
            <w:r>
              <w:rPr>
                <w:rFonts w:ascii="Arial" w:cs="Arial" w:eastAsia="Arial" w:hAnsi="Arial"/>
                <w:sz w:val="20"/>
                <w:szCs w:val="20"/>
                <w:color w:val="auto"/>
              </w:rPr>
              <w:t>256</w:t>
            </w:r>
          </w:p>
        </w:tc>
        <w:tc>
          <w:tcPr>
            <w:tcW w:w="320" w:type="dxa"/>
            <w:vAlign w:val="bottom"/>
          </w:tcPr>
          <w:p>
            <w:pPr>
              <w:spacing w:after="0"/>
              <w:rPr>
                <w:sz w:val="21"/>
                <w:szCs w:val="21"/>
                <w:color w:val="auto"/>
              </w:rPr>
            </w:pPr>
          </w:p>
        </w:tc>
        <w:tc>
          <w:tcPr>
            <w:tcW w:w="2000" w:type="dxa"/>
            <w:vAlign w:val="bottom"/>
          </w:tcPr>
          <w:p>
            <w:pPr>
              <w:jc w:val="right"/>
              <w:spacing w:after="0"/>
              <w:rPr>
                <w:sz w:val="20"/>
                <w:szCs w:val="20"/>
                <w:color w:val="auto"/>
              </w:rPr>
            </w:pPr>
            <w:r>
              <w:rPr>
                <w:rFonts w:ascii="Arial" w:cs="Arial" w:eastAsia="Arial" w:hAnsi="Arial"/>
                <w:sz w:val="20"/>
                <w:szCs w:val="20"/>
                <w:color w:val="auto"/>
              </w:rPr>
              <w:t>253</w:t>
            </w:r>
          </w:p>
        </w:tc>
        <w:tc>
          <w:tcPr>
            <w:tcW w:w="120" w:type="dxa"/>
            <w:vAlign w:val="bottom"/>
          </w:tcPr>
          <w:p>
            <w:pPr>
              <w:spacing w:after="0"/>
              <w:rPr>
                <w:sz w:val="21"/>
                <w:szCs w:val="21"/>
                <w:color w:val="auto"/>
              </w:rPr>
            </w:pPr>
          </w:p>
        </w:tc>
      </w:tr>
      <w:tr>
        <w:trPr>
          <w:trHeight w:val="237"/>
        </w:trPr>
        <w:tc>
          <w:tcPr>
            <w:tcW w:w="700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20"/>
                <w:szCs w:val="20"/>
                <w:color w:val="auto"/>
              </w:rPr>
              <w:t>Total cement tons</w:t>
            </w:r>
          </w:p>
        </w:tc>
        <w:tc>
          <w:tcPr>
            <w:tcW w:w="1340" w:type="dxa"/>
            <w:vAlign w:val="bottom"/>
            <w:tcBorders>
              <w:top w:val="single" w:sz="8" w:color="auto"/>
              <w:bottom w:val="single" w:sz="8" w:color="auto"/>
            </w:tcBorders>
            <w:shd w:val="clear" w:color="auto" w:fill="CFF0FC"/>
          </w:tcPr>
          <w:p>
            <w:pPr>
              <w:spacing w:after="0"/>
              <w:rPr>
                <w:sz w:val="20"/>
                <w:szCs w:val="20"/>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1,337</w:t>
            </w:r>
          </w:p>
        </w:tc>
        <w:tc>
          <w:tcPr>
            <w:tcW w:w="320" w:type="dxa"/>
            <w:vAlign w:val="bottom"/>
            <w:tcBorders>
              <w:top w:val="single" w:sz="8" w:color="CFF0FC"/>
              <w:bottom w:val="single" w:sz="8" w:color="CFF0FC"/>
            </w:tcBorders>
            <w:shd w:val="clear" w:color="auto" w:fill="CFF0FC"/>
          </w:tcPr>
          <w:p>
            <w:pPr>
              <w:spacing w:after="0"/>
              <w:rPr>
                <w:sz w:val="20"/>
                <w:szCs w:val="20"/>
                <w:color w:val="auto"/>
              </w:rPr>
            </w:pPr>
          </w:p>
        </w:tc>
        <w:tc>
          <w:tcPr>
            <w:tcW w:w="2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1,525</w:t>
            </w:r>
          </w:p>
        </w:tc>
        <w:tc>
          <w:tcPr>
            <w:tcW w:w="120" w:type="dxa"/>
            <w:vAlign w:val="bottom"/>
            <w:tcBorders>
              <w:top w:val="single" w:sz="8" w:color="CFF0FC"/>
              <w:bottom w:val="single" w:sz="8" w:color="CFF0FC"/>
            </w:tcBorders>
            <w:shd w:val="clear" w:color="auto" w:fill="CFF0FC"/>
          </w:tcPr>
          <w:p>
            <w:pPr>
              <w:spacing w:after="0"/>
              <w:rPr>
                <w:sz w:val="20"/>
                <w:szCs w:val="20"/>
                <w:color w:val="auto"/>
              </w:rPr>
            </w:pPr>
          </w:p>
        </w:tc>
      </w:tr>
      <w:tr>
        <w:trPr>
          <w:trHeight w:val="20"/>
        </w:trPr>
        <w:tc>
          <w:tcPr>
            <w:tcW w:w="70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Over 70%, or 138,000 tons, of the decline in cement shipments during the quarter resulted from the sale of the California cement plant operations. Upon announcement of the sale of those operations, as expected, certain</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39 of 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39" w:name="page40"/>
    <w:bookmarkEnd w:id="39"/>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September 30, 2015</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rPr>
          <w:sz w:val="20"/>
          <w:szCs w:val="20"/>
          <w:color w:val="auto"/>
        </w:rPr>
      </w:pPr>
      <w:r>
        <w:rPr>
          <w:rFonts w:ascii="Arial" w:cs="Arial" w:eastAsia="Arial" w:hAnsi="Arial"/>
          <w:sz w:val="20"/>
          <w:szCs w:val="20"/>
          <w:color w:val="auto"/>
        </w:rPr>
        <w:t>Third Quarter Ended September 30, 2015</w:t>
      </w:r>
    </w:p>
    <w:p>
      <w:pPr>
        <w:jc w:val="center"/>
        <w:spacing w:after="0"/>
        <w:rPr>
          <w:sz w:val="20"/>
          <w:szCs w:val="20"/>
          <w:color w:val="auto"/>
        </w:rPr>
      </w:pPr>
      <w:r>
        <w:rPr>
          <w:rFonts w:ascii="Arial" w:cs="Arial" w:eastAsia="Arial" w:hAnsi="Arial"/>
          <w:sz w:val="20"/>
          <w:szCs w:val="20"/>
          <w:color w:val="auto"/>
        </w:rPr>
        <w:t>(Continued)</w:t>
      </w:r>
    </w:p>
    <w:p>
      <w:pPr>
        <w:spacing w:after="0" w:line="213"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customers realigned their volumes to other suppliers. Excluding the impact of the sale of the California cement operations, cement shipments declined 4% with half resulting from loss of direct shipments into the energy sector and half from the expiration of certain legacy TXI cement contracts, priced well below the then current market and the well-publicized introduction of new cement capacity in Texas.</w:t>
      </w:r>
    </w:p>
    <w:p>
      <w:pPr>
        <w:spacing w:after="0" w:line="152"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Portland Cement Association, or PCA, forecasts continued favorable supply/demand imbalance in Texas over the next several years. Further, the PCA currently forecasts growth each year through 2019.</w:t>
      </w:r>
    </w:p>
    <w:p>
      <w:pPr>
        <w:spacing w:after="0" w:line="28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Magnesia Specialties Business</w:t>
      </w:r>
    </w:p>
    <w:p>
      <w:pPr>
        <w:spacing w:after="0" w:line="216"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Magnesia Specialties continued to deliver strong performance and generated third-quarter net sales of $57.3 million and a gross margin (excluding freight and delivery revenues) of 33.9%. Net sales reflect lower domestic steel production, which is down almost 8% year-to-date versus the comparable period of 2014. Third-quarter earnings from operations were $17.0 million compared with $17.7 million.</w:t>
      </w:r>
    </w:p>
    <w:p>
      <w:pPr>
        <w:spacing w:after="0" w:line="27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Consolidated Operating Results</w:t>
      </w:r>
    </w:p>
    <w:p>
      <w:pPr>
        <w:spacing w:after="0" w:line="108"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Consolidated SG&amp;A was 5.5% of net sales compared with 5.3% in the prior-year quarter. The increase reflects higher pension expenses in 2015. During the third quarter of 2015, the Corporation incurred a loss of $25.1 million on the sale of the California Cement business and $3.6 million of related expenses subsequent to the transaction. Exclusive of these charges, earnings from operations for the quarter were $208.2 million compared with $153.0 million in the prior-year period, which excludes $37.0 million of nonrecurring TXI acquisition-related expenses, net.</w:t>
      </w:r>
    </w:p>
    <w:p>
      <w:pPr>
        <w:spacing w:after="0" w:line="87"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Excluding discrete events, the 2015 estimated effective income tax rate for the year-to-date period was 30%, in line with annual guidance. Income tax expense for the third quarter includes a $3.2 million charge to reserve certain state net operating loss (“NOL”) carry forwards as a result of the California Cement business sale. For the year, the Corporation expects to utilize the $509 million remaining allowable NOL carry forwards acquired with TXI. The Corporation will have fully utilized the approximately $530 million of NOL carry forwards one-year ahead of planned utilization.</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40 of 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0" w:name="page41"/>
    <w:bookmarkEnd w:id="40"/>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September 30, 2015</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rPr>
          <w:sz w:val="20"/>
          <w:szCs w:val="20"/>
          <w:color w:val="auto"/>
        </w:rPr>
      </w:pPr>
      <w:r>
        <w:rPr>
          <w:rFonts w:ascii="Arial" w:cs="Arial" w:eastAsia="Arial" w:hAnsi="Arial"/>
          <w:sz w:val="20"/>
          <w:szCs w:val="20"/>
          <w:color w:val="auto"/>
        </w:rPr>
        <w:t>Third Quarter Ended September 30, 2015</w:t>
      </w:r>
    </w:p>
    <w:p>
      <w:pPr>
        <w:jc w:val="center"/>
        <w:spacing w:after="0"/>
        <w:rPr>
          <w:sz w:val="20"/>
          <w:szCs w:val="20"/>
          <w:color w:val="auto"/>
        </w:rPr>
      </w:pPr>
      <w:r>
        <w:rPr>
          <w:rFonts w:ascii="Arial" w:cs="Arial" w:eastAsia="Arial" w:hAnsi="Arial"/>
          <w:sz w:val="20"/>
          <w:szCs w:val="20"/>
          <w:color w:val="auto"/>
        </w:rPr>
        <w:t>(Continued)</w:t>
      </w:r>
    </w:p>
    <w:p>
      <w:pPr>
        <w:spacing w:after="0" w:line="321"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presents a rollforward of consolidated gross profit (dollars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6400" w:type="dxa"/>
            <w:vAlign w:val="bottom"/>
            <w:gridSpan w:val="3"/>
          </w:tcPr>
          <w:p>
            <w:pPr>
              <w:spacing w:after="0"/>
              <w:rPr>
                <w:sz w:val="20"/>
                <w:szCs w:val="20"/>
                <w:color w:val="auto"/>
              </w:rPr>
            </w:pPr>
            <w:r>
              <w:rPr>
                <w:rFonts w:ascii="Arial" w:cs="Arial" w:eastAsia="Arial" w:hAnsi="Arial"/>
                <w:sz w:val="20"/>
                <w:szCs w:val="20"/>
                <w:color w:val="auto"/>
              </w:rPr>
              <w:t>Consolidated gross profit, quarter ended September 30, 2014</w:t>
            </w:r>
          </w:p>
        </w:tc>
        <w:tc>
          <w:tcPr>
            <w:tcW w:w="15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20" w:type="dxa"/>
            <w:vAlign w:val="bottom"/>
            <w:gridSpan w:val="3"/>
          </w:tcPr>
          <w:p>
            <w:pPr>
              <w:jc w:val="right"/>
              <w:ind w:right="80"/>
              <w:spacing w:after="0"/>
              <w:rPr>
                <w:sz w:val="20"/>
                <w:szCs w:val="20"/>
                <w:color w:val="auto"/>
              </w:rPr>
            </w:pPr>
            <w:r>
              <w:rPr>
                <w:rFonts w:ascii="Arial" w:cs="Arial" w:eastAsia="Arial" w:hAnsi="Arial"/>
                <w:sz w:val="20"/>
                <w:szCs w:val="20"/>
                <w:color w:val="auto"/>
              </w:rPr>
              <w:t>$</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195,593</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38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20"/>
                <w:szCs w:val="20"/>
                <w:color w:val="auto"/>
              </w:rPr>
              <w:t>Heritage aggregates product line:</w:t>
            </w:r>
          </w:p>
        </w:tc>
        <w:tc>
          <w:tcPr>
            <w:tcW w:w="1560" w:type="dxa"/>
            <w:vAlign w:val="bottom"/>
            <w:tcBorders>
              <w:top w:val="single" w:sz="8" w:color="CFF0FC"/>
            </w:tcBorders>
            <w:shd w:val="clear" w:color="auto" w:fill="CFF0FC"/>
          </w:tcPr>
          <w:p>
            <w:pPr>
              <w:spacing w:after="0"/>
              <w:rPr>
                <w:sz w:val="20"/>
                <w:szCs w:val="20"/>
                <w:color w:val="auto"/>
              </w:rPr>
            </w:pPr>
          </w:p>
        </w:tc>
        <w:tc>
          <w:tcPr>
            <w:tcW w:w="340" w:type="dxa"/>
            <w:vAlign w:val="bottom"/>
            <w:tcBorders>
              <w:top w:val="single" w:sz="8" w:color="CFF0FC"/>
            </w:tcBorders>
            <w:shd w:val="clear" w:color="auto" w:fill="CFF0FC"/>
          </w:tcPr>
          <w:p>
            <w:pPr>
              <w:spacing w:after="0"/>
              <w:rPr>
                <w:sz w:val="20"/>
                <w:szCs w:val="20"/>
                <w:color w:val="auto"/>
              </w:rPr>
            </w:pPr>
          </w:p>
        </w:tc>
        <w:tc>
          <w:tcPr>
            <w:tcW w:w="1140" w:type="dxa"/>
            <w:vAlign w:val="bottom"/>
            <w:tcBorders>
              <w:top w:val="single" w:sz="8" w:color="CFF0FC"/>
            </w:tcBorders>
            <w:shd w:val="clear" w:color="auto" w:fill="CFF0FC"/>
          </w:tcPr>
          <w:p>
            <w:pPr>
              <w:spacing w:after="0"/>
              <w:rPr>
                <w:sz w:val="20"/>
                <w:szCs w:val="20"/>
                <w:color w:val="auto"/>
              </w:rPr>
            </w:pPr>
          </w:p>
        </w:tc>
        <w:tc>
          <w:tcPr>
            <w:tcW w:w="80" w:type="dxa"/>
            <w:vAlign w:val="bottom"/>
            <w:tcBorders>
              <w:top w:val="single" w:sz="8" w:color="auto"/>
            </w:tcBorders>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20" w:type="dxa"/>
            <w:vAlign w:val="bottom"/>
            <w:tcBorders>
              <w:top w:val="single" w:sz="8" w:color="auto"/>
            </w:tcBorders>
            <w:shd w:val="clear" w:color="auto" w:fill="CFF0FC"/>
          </w:tcPr>
          <w:p>
            <w:pPr>
              <w:spacing w:after="0"/>
              <w:rPr>
                <w:sz w:val="20"/>
                <w:szCs w:val="20"/>
                <w:color w:val="auto"/>
              </w:rPr>
            </w:pPr>
          </w:p>
        </w:tc>
        <w:tc>
          <w:tcPr>
            <w:tcW w:w="500" w:type="dxa"/>
            <w:vAlign w:val="bottom"/>
            <w:tcBorders>
              <w:top w:val="single" w:sz="8" w:color="auto"/>
            </w:tcBorders>
            <w:shd w:val="clear" w:color="auto" w:fill="CFF0FC"/>
          </w:tcPr>
          <w:p>
            <w:pPr>
              <w:spacing w:after="0"/>
              <w:rPr>
                <w:sz w:val="20"/>
                <w:szCs w:val="20"/>
                <w:color w:val="auto"/>
              </w:rPr>
            </w:pPr>
          </w:p>
        </w:tc>
        <w:tc>
          <w:tcPr>
            <w:tcW w:w="1040" w:type="dxa"/>
            <w:vAlign w:val="bottom"/>
            <w:tcBorders>
              <w:top w:val="single" w:sz="8" w:color="auto"/>
            </w:tcBorders>
            <w:shd w:val="clear" w:color="auto" w:fill="CFF0FC"/>
          </w:tcPr>
          <w:p>
            <w:pPr>
              <w:spacing w:after="0"/>
              <w:rPr>
                <w:sz w:val="20"/>
                <w:szCs w:val="20"/>
                <w:color w:val="auto"/>
              </w:rPr>
            </w:pPr>
          </w:p>
        </w:tc>
        <w:tc>
          <w:tcPr>
            <w:tcW w:w="120" w:type="dxa"/>
            <w:vAlign w:val="bottom"/>
            <w:tcBorders>
              <w:top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380" w:type="dxa"/>
            <w:vAlign w:val="bottom"/>
            <w:gridSpan w:val="2"/>
          </w:tcPr>
          <w:p>
            <w:pPr>
              <w:ind w:left="240"/>
              <w:spacing w:after="0"/>
              <w:rPr>
                <w:sz w:val="20"/>
                <w:szCs w:val="20"/>
                <w:color w:val="auto"/>
              </w:rPr>
            </w:pPr>
            <w:r>
              <w:rPr>
                <w:rFonts w:ascii="Arial" w:cs="Arial" w:eastAsia="Arial" w:hAnsi="Arial"/>
                <w:sz w:val="20"/>
                <w:szCs w:val="20"/>
                <w:color w:val="auto"/>
              </w:rPr>
              <w:t>Volume strength</w:t>
            </w:r>
          </w:p>
        </w:tc>
        <w:tc>
          <w:tcPr>
            <w:tcW w:w="15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21,071</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380" w:type="dxa"/>
            <w:vAlign w:val="bottom"/>
            <w:gridSpan w:val="2"/>
            <w:shd w:val="clear" w:color="auto" w:fill="CFF0FC"/>
          </w:tcPr>
          <w:p>
            <w:pPr>
              <w:ind w:left="240"/>
              <w:spacing w:after="0"/>
              <w:rPr>
                <w:sz w:val="20"/>
                <w:szCs w:val="20"/>
                <w:color w:val="auto"/>
              </w:rPr>
            </w:pPr>
            <w:r>
              <w:rPr>
                <w:rFonts w:ascii="Arial" w:cs="Arial" w:eastAsia="Arial" w:hAnsi="Arial"/>
                <w:sz w:val="20"/>
                <w:szCs w:val="20"/>
                <w:color w:val="auto"/>
              </w:rPr>
              <w:t>Pricing strength</w:t>
            </w:r>
          </w:p>
        </w:tc>
        <w:tc>
          <w:tcPr>
            <w:tcW w:w="15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21,856</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380" w:type="dxa"/>
            <w:vAlign w:val="bottom"/>
            <w:gridSpan w:val="2"/>
          </w:tcPr>
          <w:p>
            <w:pPr>
              <w:ind w:left="240"/>
              <w:spacing w:after="0"/>
              <w:rPr>
                <w:sz w:val="20"/>
                <w:szCs w:val="20"/>
                <w:color w:val="auto"/>
              </w:rPr>
            </w:pPr>
            <w:r>
              <w:rPr>
                <w:rFonts w:ascii="Arial" w:cs="Arial" w:eastAsia="Arial" w:hAnsi="Arial"/>
                <w:sz w:val="20"/>
                <w:szCs w:val="20"/>
                <w:color w:val="auto"/>
              </w:rPr>
              <w:t>Cost increases, net</w:t>
            </w:r>
          </w:p>
        </w:tc>
        <w:tc>
          <w:tcPr>
            <w:tcW w:w="15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20"/>
                <w:szCs w:val="20"/>
                <w:color w:val="auto"/>
              </w:rPr>
              <w:t>(9,969)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38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20"/>
                <w:szCs w:val="20"/>
                <w:color w:val="auto"/>
              </w:rPr>
              <w:t>Increase in heritage aggregates product line gross profit</w:t>
            </w:r>
          </w:p>
        </w:tc>
        <w:tc>
          <w:tcPr>
            <w:tcW w:w="1560" w:type="dxa"/>
            <w:vAlign w:val="bottom"/>
            <w:tcBorders>
              <w:top w:val="single" w:sz="8" w:color="CFF0FC"/>
            </w:tcBorders>
            <w:shd w:val="clear" w:color="auto" w:fill="CFF0FC"/>
          </w:tcPr>
          <w:p>
            <w:pPr>
              <w:spacing w:after="0"/>
              <w:rPr>
                <w:sz w:val="20"/>
                <w:szCs w:val="20"/>
                <w:color w:val="auto"/>
              </w:rPr>
            </w:pPr>
          </w:p>
        </w:tc>
        <w:tc>
          <w:tcPr>
            <w:tcW w:w="340" w:type="dxa"/>
            <w:vAlign w:val="bottom"/>
            <w:tcBorders>
              <w:top w:val="single" w:sz="8" w:color="CFF0FC"/>
            </w:tcBorders>
            <w:shd w:val="clear" w:color="auto" w:fill="CFF0FC"/>
          </w:tcPr>
          <w:p>
            <w:pPr>
              <w:spacing w:after="0"/>
              <w:rPr>
                <w:sz w:val="20"/>
                <w:szCs w:val="20"/>
                <w:color w:val="auto"/>
              </w:rPr>
            </w:pPr>
          </w:p>
        </w:tc>
        <w:tc>
          <w:tcPr>
            <w:tcW w:w="1140" w:type="dxa"/>
            <w:vAlign w:val="bottom"/>
            <w:tcBorders>
              <w:top w:val="single" w:sz="8" w:color="CFF0FC"/>
            </w:tcBorders>
            <w:shd w:val="clear" w:color="auto" w:fill="CFF0FC"/>
          </w:tcPr>
          <w:p>
            <w:pPr>
              <w:spacing w:after="0"/>
              <w:rPr>
                <w:sz w:val="20"/>
                <w:szCs w:val="20"/>
                <w:color w:val="auto"/>
              </w:rPr>
            </w:pPr>
          </w:p>
        </w:tc>
        <w:tc>
          <w:tcPr>
            <w:tcW w:w="80" w:type="dxa"/>
            <w:vAlign w:val="bottom"/>
            <w:tcBorders>
              <w:top w:val="single" w:sz="8" w:color="auto"/>
            </w:tcBorders>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20" w:type="dxa"/>
            <w:vAlign w:val="bottom"/>
            <w:tcBorders>
              <w:top w:val="single" w:sz="8" w:color="auto"/>
            </w:tcBorders>
            <w:shd w:val="clear" w:color="auto" w:fill="CFF0FC"/>
          </w:tcPr>
          <w:p>
            <w:pPr>
              <w:spacing w:after="0"/>
              <w:rPr>
                <w:sz w:val="20"/>
                <w:szCs w:val="20"/>
                <w:color w:val="auto"/>
              </w:rPr>
            </w:pPr>
          </w:p>
        </w:tc>
        <w:tc>
          <w:tcPr>
            <w:tcW w:w="500" w:type="dxa"/>
            <w:vAlign w:val="bottom"/>
            <w:tcBorders>
              <w:top w:val="single" w:sz="8" w:color="auto"/>
            </w:tcBorders>
            <w:shd w:val="clear" w:color="auto" w:fill="CFF0FC"/>
          </w:tcPr>
          <w:p>
            <w:pPr>
              <w:spacing w:after="0"/>
              <w:rPr>
                <w:sz w:val="20"/>
                <w:szCs w:val="20"/>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32,958</w:t>
            </w:r>
          </w:p>
        </w:tc>
        <w:tc>
          <w:tcPr>
            <w:tcW w:w="120" w:type="dxa"/>
            <w:vAlign w:val="bottom"/>
            <w:tcBorders>
              <w:top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380" w:type="dxa"/>
            <w:vAlign w:val="bottom"/>
            <w:gridSpan w:val="2"/>
          </w:tcPr>
          <w:p>
            <w:pPr>
              <w:spacing w:after="0"/>
              <w:rPr>
                <w:sz w:val="20"/>
                <w:szCs w:val="20"/>
                <w:color w:val="auto"/>
              </w:rPr>
            </w:pPr>
            <w:r>
              <w:rPr>
                <w:rFonts w:ascii="Arial" w:cs="Arial" w:eastAsia="Arial" w:hAnsi="Arial"/>
                <w:sz w:val="20"/>
                <w:szCs w:val="20"/>
                <w:color w:val="auto"/>
              </w:rPr>
              <w:t>Heritage aggregates-related downstream product lines</w:t>
            </w:r>
          </w:p>
        </w:tc>
        <w:tc>
          <w:tcPr>
            <w:tcW w:w="15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12,135</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380" w:type="dxa"/>
            <w:vAlign w:val="bottom"/>
            <w:gridSpan w:val="2"/>
            <w:shd w:val="clear" w:color="auto" w:fill="CFF0FC"/>
          </w:tcPr>
          <w:p>
            <w:pPr>
              <w:spacing w:after="0"/>
              <w:rPr>
                <w:sz w:val="20"/>
                <w:szCs w:val="20"/>
                <w:color w:val="auto"/>
              </w:rPr>
            </w:pPr>
            <w:r>
              <w:rPr>
                <w:rFonts w:ascii="Arial" w:cs="Arial" w:eastAsia="Arial" w:hAnsi="Arial"/>
                <w:sz w:val="20"/>
                <w:szCs w:val="20"/>
                <w:color w:val="auto"/>
              </w:rPr>
              <w:t>Acquired Aggregates business operations</w:t>
            </w:r>
          </w:p>
        </w:tc>
        <w:tc>
          <w:tcPr>
            <w:tcW w:w="15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14,529</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380" w:type="dxa"/>
            <w:vAlign w:val="bottom"/>
            <w:gridSpan w:val="2"/>
          </w:tcPr>
          <w:p>
            <w:pPr>
              <w:spacing w:after="0"/>
              <w:rPr>
                <w:sz w:val="20"/>
                <w:szCs w:val="20"/>
                <w:color w:val="auto"/>
              </w:rPr>
            </w:pPr>
            <w:r>
              <w:rPr>
                <w:rFonts w:ascii="Arial" w:cs="Arial" w:eastAsia="Arial" w:hAnsi="Arial"/>
                <w:sz w:val="20"/>
                <w:szCs w:val="20"/>
                <w:color w:val="auto"/>
              </w:rPr>
              <w:t>Increase in Cement</w:t>
            </w:r>
          </w:p>
        </w:tc>
        <w:tc>
          <w:tcPr>
            <w:tcW w:w="15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14,050</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380" w:type="dxa"/>
            <w:vAlign w:val="bottom"/>
            <w:gridSpan w:val="2"/>
            <w:shd w:val="clear" w:color="auto" w:fill="CFF0FC"/>
          </w:tcPr>
          <w:p>
            <w:pPr>
              <w:spacing w:after="0"/>
              <w:rPr>
                <w:sz w:val="20"/>
                <w:szCs w:val="20"/>
                <w:color w:val="auto"/>
              </w:rPr>
            </w:pPr>
            <w:r>
              <w:rPr>
                <w:rFonts w:ascii="Arial" w:cs="Arial" w:eastAsia="Arial" w:hAnsi="Arial"/>
                <w:sz w:val="19"/>
                <w:szCs w:val="19"/>
                <w:color w:val="auto"/>
              </w:rPr>
              <w:t>Decrease in Magnesia Specialties</w:t>
            </w:r>
          </w:p>
        </w:tc>
        <w:tc>
          <w:tcPr>
            <w:tcW w:w="15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20"/>
                <w:szCs w:val="20"/>
                <w:color w:val="auto"/>
              </w:rPr>
              <w:t>(652)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380" w:type="dxa"/>
            <w:vAlign w:val="bottom"/>
            <w:gridSpan w:val="2"/>
          </w:tcPr>
          <w:p>
            <w:pPr>
              <w:spacing w:after="0"/>
              <w:rPr>
                <w:sz w:val="20"/>
                <w:szCs w:val="20"/>
                <w:color w:val="auto"/>
              </w:rPr>
            </w:pPr>
            <w:r>
              <w:rPr>
                <w:rFonts w:ascii="Arial" w:cs="Arial" w:eastAsia="Arial" w:hAnsi="Arial"/>
                <w:sz w:val="20"/>
                <w:szCs w:val="20"/>
                <w:color w:val="auto"/>
              </w:rPr>
              <w:t>Decrease in Corporate</w:t>
            </w:r>
          </w:p>
        </w:tc>
        <w:tc>
          <w:tcPr>
            <w:tcW w:w="15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20"/>
                <w:szCs w:val="20"/>
                <w:color w:val="auto"/>
              </w:rPr>
              <w:t>(6,108)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38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9"/>
                <w:szCs w:val="19"/>
                <w:color w:val="auto"/>
              </w:rPr>
              <w:t>Increase in consolidated gross profit</w:t>
            </w:r>
          </w:p>
        </w:tc>
        <w:tc>
          <w:tcPr>
            <w:tcW w:w="1560" w:type="dxa"/>
            <w:vAlign w:val="bottom"/>
            <w:tcBorders>
              <w:top w:val="single" w:sz="8" w:color="CFF0FC"/>
            </w:tcBorders>
            <w:shd w:val="clear" w:color="auto" w:fill="CFF0FC"/>
          </w:tcPr>
          <w:p>
            <w:pPr>
              <w:spacing w:after="0"/>
              <w:rPr>
                <w:sz w:val="20"/>
                <w:szCs w:val="20"/>
                <w:color w:val="auto"/>
              </w:rPr>
            </w:pPr>
          </w:p>
        </w:tc>
        <w:tc>
          <w:tcPr>
            <w:tcW w:w="340" w:type="dxa"/>
            <w:vAlign w:val="bottom"/>
            <w:tcBorders>
              <w:top w:val="single" w:sz="8" w:color="CFF0FC"/>
            </w:tcBorders>
            <w:shd w:val="clear" w:color="auto" w:fill="CFF0FC"/>
          </w:tcPr>
          <w:p>
            <w:pPr>
              <w:spacing w:after="0"/>
              <w:rPr>
                <w:sz w:val="20"/>
                <w:szCs w:val="20"/>
                <w:color w:val="auto"/>
              </w:rPr>
            </w:pPr>
          </w:p>
        </w:tc>
        <w:tc>
          <w:tcPr>
            <w:tcW w:w="1140" w:type="dxa"/>
            <w:vAlign w:val="bottom"/>
            <w:tcBorders>
              <w:top w:val="single" w:sz="8" w:color="CFF0FC"/>
            </w:tcBorders>
            <w:shd w:val="clear" w:color="auto" w:fill="CFF0FC"/>
          </w:tcPr>
          <w:p>
            <w:pPr>
              <w:spacing w:after="0"/>
              <w:rPr>
                <w:sz w:val="20"/>
                <w:szCs w:val="20"/>
                <w:color w:val="auto"/>
              </w:rPr>
            </w:pPr>
          </w:p>
        </w:tc>
        <w:tc>
          <w:tcPr>
            <w:tcW w:w="80" w:type="dxa"/>
            <w:vAlign w:val="bottom"/>
            <w:tcBorders>
              <w:top w:val="single" w:sz="8" w:color="auto"/>
              <w:bottom w:val="single" w:sz="8" w:color="auto"/>
            </w:tcBorders>
            <w:shd w:val="clear" w:color="auto" w:fill="CFF0FC"/>
          </w:tcPr>
          <w:p>
            <w:pPr>
              <w:spacing w:after="0"/>
              <w:rPr>
                <w:sz w:val="20"/>
                <w:szCs w:val="20"/>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spacing w:after="0"/>
              <w:rPr>
                <w:sz w:val="20"/>
                <w:szCs w:val="20"/>
                <w:color w:val="auto"/>
              </w:rPr>
            </w:pPr>
          </w:p>
        </w:tc>
        <w:tc>
          <w:tcPr>
            <w:tcW w:w="20" w:type="dxa"/>
            <w:vAlign w:val="bottom"/>
            <w:tcBorders>
              <w:top w:val="single" w:sz="8" w:color="auto"/>
              <w:bottom w:val="single" w:sz="8" w:color="auto"/>
            </w:tcBorders>
            <w:shd w:val="clear" w:color="auto" w:fill="CFF0FC"/>
          </w:tcPr>
          <w:p>
            <w:pPr>
              <w:spacing w:after="0"/>
              <w:rPr>
                <w:sz w:val="20"/>
                <w:szCs w:val="20"/>
                <w:color w:val="auto"/>
              </w:rPr>
            </w:pPr>
          </w:p>
        </w:tc>
        <w:tc>
          <w:tcPr>
            <w:tcW w:w="500" w:type="dxa"/>
            <w:vAlign w:val="bottom"/>
            <w:tcBorders>
              <w:top w:val="single" w:sz="8" w:color="auto"/>
              <w:bottom w:val="single" w:sz="8" w:color="auto"/>
            </w:tcBorders>
            <w:shd w:val="clear" w:color="auto" w:fill="CFF0FC"/>
          </w:tcPr>
          <w:p>
            <w:pPr>
              <w:spacing w:after="0"/>
              <w:rPr>
                <w:sz w:val="20"/>
                <w:szCs w:val="20"/>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66,912</w:t>
            </w:r>
          </w:p>
        </w:tc>
        <w:tc>
          <w:tcPr>
            <w:tcW w:w="120" w:type="dxa"/>
            <w:vAlign w:val="bottom"/>
            <w:tcBorders>
              <w:top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400" w:type="dxa"/>
            <w:vAlign w:val="bottom"/>
            <w:gridSpan w:val="3"/>
          </w:tcPr>
          <w:p>
            <w:pPr>
              <w:spacing w:after="0"/>
              <w:rPr>
                <w:sz w:val="20"/>
                <w:szCs w:val="20"/>
                <w:color w:val="auto"/>
              </w:rPr>
            </w:pPr>
            <w:r>
              <w:rPr>
                <w:rFonts w:ascii="Arial" w:cs="Arial" w:eastAsia="Arial" w:hAnsi="Arial"/>
                <w:sz w:val="20"/>
                <w:szCs w:val="20"/>
                <w:color w:val="auto"/>
              </w:rPr>
              <w:t>Consolidated gross profit, quarter ended September 30, 2015</w:t>
            </w:r>
          </w:p>
        </w:tc>
        <w:tc>
          <w:tcPr>
            <w:tcW w:w="1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20"/>
                <w:szCs w:val="20"/>
                <w:color w:val="auto"/>
                <w:w w:val="71"/>
              </w:rPr>
              <w:t>$</w:t>
            </w:r>
          </w:p>
        </w:tc>
        <w:tc>
          <w:tcPr>
            <w:tcW w:w="1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262,505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400" w:type="dxa"/>
            <w:vAlign w:val="bottom"/>
            <w:gridSpan w:val="3"/>
            <w:vMerge w:val="restart"/>
          </w:tcPr>
          <w:p>
            <w:pPr>
              <w:spacing w:after="0"/>
              <w:rPr>
                <w:sz w:val="20"/>
                <w:szCs w:val="20"/>
                <w:color w:val="auto"/>
              </w:rPr>
            </w:pPr>
            <w:r>
              <w:rPr>
                <w:rFonts w:ascii="Arial" w:cs="Arial" w:eastAsia="Arial" w:hAnsi="Arial"/>
                <w:sz w:val="20"/>
                <w:szCs w:val="20"/>
                <w:color w:val="auto"/>
              </w:rPr>
              <w:t>Gross profit (loss) by business is as follows:</w:t>
            </w:r>
          </w:p>
        </w:tc>
        <w:tc>
          <w:tcPr>
            <w:tcW w:w="1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6"/>
        </w:trPr>
        <w:tc>
          <w:tcPr>
            <w:tcW w:w="6400" w:type="dxa"/>
            <w:vAlign w:val="bottom"/>
            <w:gridSpan w:val="3"/>
            <w:vMerge w:val="continue"/>
          </w:tcPr>
          <w:p>
            <w:pPr>
              <w:spacing w:after="0"/>
              <w:rPr>
                <w:sz w:val="24"/>
                <w:szCs w:val="24"/>
                <w:color w:val="auto"/>
              </w:rPr>
            </w:pPr>
          </w:p>
        </w:tc>
        <w:tc>
          <w:tcPr>
            <w:tcW w:w="1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120" w:type="dxa"/>
            <w:vAlign w:val="bottom"/>
            <w:gridSpan w:val="8"/>
          </w:tcPr>
          <w:p>
            <w:pPr>
              <w:jc w:val="center"/>
              <w:ind w:right="480"/>
              <w:spacing w:after="0"/>
              <w:rPr>
                <w:sz w:val="20"/>
                <w:szCs w:val="20"/>
                <w:color w:val="auto"/>
              </w:rPr>
            </w:pPr>
            <w:r>
              <w:rPr>
                <w:rFonts w:ascii="Arial" w:cs="Arial" w:eastAsia="Arial" w:hAnsi="Arial"/>
                <w:sz w:val="19"/>
                <w:szCs w:val="19"/>
                <w:color w:val="auto"/>
                <w:w w:val="90"/>
              </w:rPr>
              <w:t>Three Months Ended</w:t>
            </w: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49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960" w:type="dxa"/>
            <w:vAlign w:val="bottom"/>
            <w:tcBorders>
              <w:bottom w:val="single" w:sz="8" w:color="auto"/>
            </w:tcBorders>
            <w:gridSpan w:val="6"/>
          </w:tcPr>
          <w:p>
            <w:pPr>
              <w:jc w:val="center"/>
              <w:ind w:left="602"/>
              <w:spacing w:after="0"/>
              <w:rPr>
                <w:sz w:val="20"/>
                <w:szCs w:val="20"/>
                <w:color w:val="auto"/>
              </w:rPr>
            </w:pPr>
            <w:r>
              <w:rPr>
                <w:rFonts w:ascii="Arial" w:cs="Arial" w:eastAsia="Arial" w:hAnsi="Arial"/>
                <w:sz w:val="20"/>
                <w:szCs w:val="20"/>
                <w:color w:val="auto"/>
                <w:w w:val="86"/>
              </w:rPr>
              <w:t>September 30,</w:t>
            </w:r>
          </w:p>
        </w:tc>
        <w:tc>
          <w:tcPr>
            <w:tcW w:w="104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49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22"/>
              <w:spacing w:after="0"/>
              <w:rPr>
                <w:sz w:val="20"/>
                <w:szCs w:val="20"/>
                <w:color w:val="auto"/>
              </w:rPr>
            </w:pPr>
            <w:r>
              <w:rPr>
                <w:rFonts w:ascii="Arial" w:cs="Arial" w:eastAsia="Arial" w:hAnsi="Arial"/>
                <w:sz w:val="19"/>
                <w:szCs w:val="19"/>
                <w:color w:val="auto"/>
              </w:rPr>
              <w:t>2015</w:t>
            </w: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01"/>
              <w:spacing w:after="0"/>
              <w:rPr>
                <w:sz w:val="20"/>
                <w:szCs w:val="20"/>
                <w:color w:val="auto"/>
              </w:rPr>
            </w:pPr>
            <w:r>
              <w:rPr>
                <w:rFonts w:ascii="Arial" w:cs="Arial" w:eastAsia="Arial" w:hAnsi="Arial"/>
                <w:sz w:val="19"/>
                <w:szCs w:val="19"/>
                <w:color w:val="auto"/>
                <w:w w:val="99"/>
              </w:rPr>
              <w:t>2014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400" w:type="dxa"/>
            <w:vAlign w:val="bottom"/>
            <w:gridSpan w:val="3"/>
            <w:vMerge w:val="restart"/>
          </w:tcPr>
          <w:p>
            <w:pPr>
              <w:spacing w:after="0"/>
              <w:rPr>
                <w:sz w:val="20"/>
                <w:szCs w:val="20"/>
                <w:color w:val="auto"/>
              </w:rPr>
            </w:pPr>
            <w:r>
              <w:rPr>
                <w:rFonts w:ascii="Arial" w:cs="Arial" w:eastAsia="Arial" w:hAnsi="Arial"/>
                <w:sz w:val="19"/>
                <w:szCs w:val="19"/>
                <w:color w:val="auto"/>
              </w:rPr>
              <w:t>Gross profit (loss):</w:t>
            </w:r>
          </w:p>
        </w:tc>
        <w:tc>
          <w:tcPr>
            <w:tcW w:w="1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0" w:type="dxa"/>
            <w:vAlign w:val="bottom"/>
            <w:gridSpan w:val="7"/>
          </w:tcPr>
          <w:p>
            <w:pPr>
              <w:jc w:val="center"/>
              <w:ind w:right="261"/>
              <w:spacing w:after="0"/>
              <w:rPr>
                <w:sz w:val="20"/>
                <w:szCs w:val="20"/>
                <w:color w:val="auto"/>
              </w:rPr>
            </w:pPr>
            <w:r>
              <w:rPr>
                <w:rFonts w:ascii="Arial" w:cs="Arial" w:eastAsia="Arial" w:hAnsi="Arial"/>
                <w:sz w:val="19"/>
                <w:szCs w:val="19"/>
                <w:i w:val="1"/>
                <w:iCs w:val="1"/>
                <w:color w:val="auto"/>
                <w:w w:val="92"/>
              </w:rPr>
              <w:t>(Dollars in Thousands)</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6400" w:type="dxa"/>
            <w:vAlign w:val="bottom"/>
            <w:gridSpan w:val="3"/>
            <w:vMerge w:val="continue"/>
          </w:tcPr>
          <w:p>
            <w:pPr>
              <w:spacing w:after="0"/>
              <w:rPr>
                <w:sz w:val="15"/>
                <w:szCs w:val="15"/>
                <w:color w:val="auto"/>
              </w:rPr>
            </w:pPr>
          </w:p>
        </w:tc>
        <w:tc>
          <w:tcPr>
            <w:tcW w:w="1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420" w:type="dxa"/>
            <w:vAlign w:val="bottom"/>
            <w:tcBorders>
              <w:top w:val="single" w:sz="8" w:color="auto"/>
            </w:tcBorders>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19"/>
                <w:szCs w:val="19"/>
                <w:color w:val="auto"/>
              </w:rPr>
            </w:pPr>
          </w:p>
        </w:tc>
        <w:tc>
          <w:tcPr>
            <w:tcW w:w="6380" w:type="dxa"/>
            <w:vAlign w:val="bottom"/>
            <w:gridSpan w:val="2"/>
            <w:shd w:val="clear" w:color="auto" w:fill="CFF0FC"/>
          </w:tcPr>
          <w:p>
            <w:pPr>
              <w:spacing w:after="0"/>
              <w:rPr>
                <w:sz w:val="20"/>
                <w:szCs w:val="20"/>
                <w:color w:val="auto"/>
              </w:rPr>
            </w:pPr>
            <w:r>
              <w:rPr>
                <w:rFonts w:ascii="Arial" w:cs="Arial" w:eastAsia="Arial" w:hAnsi="Arial"/>
                <w:sz w:val="19"/>
                <w:szCs w:val="19"/>
                <w:color w:val="auto"/>
              </w:rPr>
              <w:t>Heritage:</w:t>
            </w:r>
          </w:p>
        </w:tc>
        <w:tc>
          <w:tcPr>
            <w:tcW w:w="15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380" w:type="dxa"/>
            <w:vAlign w:val="bottom"/>
            <w:gridSpan w:val="2"/>
          </w:tcPr>
          <w:p>
            <w:pPr>
              <w:ind w:left="480"/>
              <w:spacing w:after="0"/>
              <w:rPr>
                <w:sz w:val="20"/>
                <w:szCs w:val="20"/>
                <w:color w:val="auto"/>
              </w:rPr>
            </w:pPr>
            <w:r>
              <w:rPr>
                <w:rFonts w:ascii="Arial" w:cs="Arial" w:eastAsia="Arial" w:hAnsi="Arial"/>
                <w:sz w:val="19"/>
                <w:szCs w:val="19"/>
                <w:color w:val="auto"/>
              </w:rPr>
              <w:t>Aggregates</w:t>
            </w:r>
          </w:p>
        </w:tc>
        <w:tc>
          <w:tcPr>
            <w:tcW w:w="1900" w:type="dxa"/>
            <w:vAlign w:val="bottom"/>
            <w:gridSpan w:val="2"/>
          </w:tcPr>
          <w:p>
            <w:pPr>
              <w:jc w:val="right"/>
              <w:ind w:right="141"/>
              <w:spacing w:after="0"/>
              <w:rPr>
                <w:sz w:val="20"/>
                <w:szCs w:val="20"/>
                <w:color w:val="auto"/>
              </w:rPr>
            </w:pPr>
            <w:r>
              <w:rPr>
                <w:rFonts w:ascii="Arial" w:cs="Arial" w:eastAsia="Arial" w:hAnsi="Arial"/>
                <w:sz w:val="20"/>
                <w:szCs w:val="20"/>
                <w:color w:val="auto"/>
              </w:rPr>
              <w:t>$</w:t>
            </w:r>
          </w:p>
        </w:tc>
        <w:tc>
          <w:tcPr>
            <w:tcW w:w="1220" w:type="dxa"/>
            <w:vAlign w:val="bottom"/>
            <w:gridSpan w:val="2"/>
          </w:tcPr>
          <w:p>
            <w:pPr>
              <w:jc w:val="right"/>
              <w:spacing w:after="0"/>
              <w:rPr>
                <w:sz w:val="20"/>
                <w:szCs w:val="20"/>
                <w:color w:val="auto"/>
              </w:rPr>
            </w:pPr>
            <w:r>
              <w:rPr>
                <w:rFonts w:ascii="Arial" w:cs="Arial" w:eastAsia="Arial" w:hAnsi="Arial"/>
                <w:sz w:val="20"/>
                <w:szCs w:val="20"/>
                <w:color w:val="auto"/>
              </w:rPr>
              <w:t>151,922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gridSpan w:val="2"/>
          </w:tcPr>
          <w:p>
            <w:pPr>
              <w:jc w:val="right"/>
              <w:ind w:right="343"/>
              <w:spacing w:after="0"/>
              <w:rPr>
                <w:sz w:val="20"/>
                <w:szCs w:val="20"/>
                <w:color w:val="auto"/>
              </w:rPr>
            </w:pPr>
            <w:r>
              <w:rPr>
                <w:rFonts w:ascii="Arial" w:cs="Arial" w:eastAsia="Arial" w:hAnsi="Arial"/>
                <w:sz w:val="20"/>
                <w:szCs w:val="20"/>
                <w:color w:val="auto"/>
                <w:w w:val="71"/>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118,964</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380" w:type="dxa"/>
            <w:vAlign w:val="bottom"/>
            <w:gridSpan w:val="2"/>
            <w:shd w:val="clear" w:color="auto" w:fill="CFF0FC"/>
          </w:tcPr>
          <w:p>
            <w:pPr>
              <w:ind w:left="480"/>
              <w:spacing w:after="0"/>
              <w:rPr>
                <w:sz w:val="20"/>
                <w:szCs w:val="20"/>
                <w:color w:val="auto"/>
              </w:rPr>
            </w:pPr>
            <w:r>
              <w:rPr>
                <w:rFonts w:ascii="Arial" w:cs="Arial" w:eastAsia="Arial" w:hAnsi="Arial"/>
                <w:sz w:val="19"/>
                <w:szCs w:val="19"/>
                <w:color w:val="auto"/>
              </w:rPr>
              <w:t>Asphalt</w:t>
            </w:r>
          </w:p>
        </w:tc>
        <w:tc>
          <w:tcPr>
            <w:tcW w:w="15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10,794</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7,356</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380" w:type="dxa"/>
            <w:vAlign w:val="bottom"/>
            <w:gridSpan w:val="2"/>
          </w:tcPr>
          <w:p>
            <w:pPr>
              <w:ind w:left="480"/>
              <w:spacing w:after="0"/>
              <w:rPr>
                <w:sz w:val="20"/>
                <w:szCs w:val="20"/>
                <w:color w:val="auto"/>
              </w:rPr>
            </w:pPr>
            <w:r>
              <w:rPr>
                <w:rFonts w:ascii="Arial" w:cs="Arial" w:eastAsia="Arial" w:hAnsi="Arial"/>
                <w:sz w:val="19"/>
                <w:szCs w:val="19"/>
                <w:color w:val="auto"/>
              </w:rPr>
              <w:t>Ready Mixed Concrete</w:t>
            </w:r>
          </w:p>
        </w:tc>
        <w:tc>
          <w:tcPr>
            <w:tcW w:w="15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gridSpan w:val="2"/>
          </w:tcPr>
          <w:p>
            <w:pPr>
              <w:jc w:val="right"/>
              <w:spacing w:after="0"/>
              <w:rPr>
                <w:sz w:val="20"/>
                <w:szCs w:val="20"/>
                <w:color w:val="auto"/>
              </w:rPr>
            </w:pPr>
            <w:r>
              <w:rPr>
                <w:rFonts w:ascii="Arial" w:cs="Arial" w:eastAsia="Arial" w:hAnsi="Arial"/>
                <w:sz w:val="20"/>
                <w:szCs w:val="20"/>
                <w:color w:val="auto"/>
              </w:rPr>
              <w:t>13,289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8,958</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380" w:type="dxa"/>
            <w:vAlign w:val="bottom"/>
            <w:gridSpan w:val="2"/>
            <w:shd w:val="clear" w:color="auto" w:fill="CFF0FC"/>
          </w:tcPr>
          <w:p>
            <w:pPr>
              <w:ind w:left="480"/>
              <w:spacing w:after="0"/>
              <w:rPr>
                <w:sz w:val="20"/>
                <w:szCs w:val="20"/>
                <w:color w:val="auto"/>
              </w:rPr>
            </w:pPr>
            <w:r>
              <w:rPr>
                <w:rFonts w:ascii="Arial" w:cs="Arial" w:eastAsia="Arial" w:hAnsi="Arial"/>
                <w:sz w:val="19"/>
                <w:szCs w:val="19"/>
                <w:color w:val="auto"/>
              </w:rPr>
              <w:t>Road Paving</w:t>
            </w:r>
          </w:p>
        </w:tc>
        <w:tc>
          <w:tcPr>
            <w:tcW w:w="1560" w:type="dxa"/>
            <w:vAlign w:val="bottom"/>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20"/>
                <w:szCs w:val="20"/>
                <w:color w:val="auto"/>
              </w:rPr>
              <w:t>11,263</w:t>
            </w:r>
          </w:p>
        </w:tc>
        <w:tc>
          <w:tcPr>
            <w:tcW w:w="100" w:type="dxa"/>
            <w:vAlign w:val="bottom"/>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20" w:type="dxa"/>
            <w:vAlign w:val="bottom"/>
            <w:tcBorders>
              <w:bottom w:val="single" w:sz="8" w:color="auto"/>
            </w:tcBorders>
            <w:shd w:val="clear" w:color="auto" w:fill="CFF0FC"/>
          </w:tcPr>
          <w:p>
            <w:pPr>
              <w:spacing w:after="0"/>
              <w:rPr>
                <w:sz w:val="21"/>
                <w:szCs w:val="21"/>
                <w:color w:val="auto"/>
              </w:rPr>
            </w:pPr>
          </w:p>
        </w:tc>
        <w:tc>
          <w:tcPr>
            <w:tcW w:w="50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6,897</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380" w:type="dxa"/>
            <w:vAlign w:val="bottom"/>
            <w:gridSpan w:val="2"/>
          </w:tcPr>
          <w:p>
            <w:pPr>
              <w:ind w:left="480"/>
              <w:spacing w:after="0"/>
              <w:rPr>
                <w:sz w:val="20"/>
                <w:szCs w:val="20"/>
                <w:color w:val="auto"/>
              </w:rPr>
            </w:pPr>
            <w:r>
              <w:rPr>
                <w:rFonts w:ascii="Arial" w:cs="Arial" w:eastAsia="Arial" w:hAnsi="Arial"/>
                <w:sz w:val="19"/>
                <w:szCs w:val="19"/>
                <w:color w:val="auto"/>
              </w:rPr>
              <w:t>Total Aggregates Business</w:t>
            </w:r>
          </w:p>
        </w:tc>
        <w:tc>
          <w:tcPr>
            <w:tcW w:w="1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gridSpan w:val="2"/>
          </w:tcPr>
          <w:p>
            <w:pPr>
              <w:jc w:val="right"/>
              <w:spacing w:after="0"/>
              <w:rPr>
                <w:sz w:val="20"/>
                <w:szCs w:val="20"/>
                <w:color w:val="auto"/>
              </w:rPr>
            </w:pPr>
            <w:r>
              <w:rPr>
                <w:rFonts w:ascii="Arial" w:cs="Arial" w:eastAsia="Arial" w:hAnsi="Arial"/>
                <w:sz w:val="20"/>
                <w:szCs w:val="20"/>
                <w:color w:val="auto"/>
              </w:rPr>
              <w:t>187,268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142,175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380" w:type="dxa"/>
            <w:vAlign w:val="bottom"/>
            <w:gridSpan w:val="2"/>
            <w:shd w:val="clear" w:color="auto" w:fill="CFF0FC"/>
          </w:tcPr>
          <w:p>
            <w:pPr>
              <w:ind w:left="240"/>
              <w:spacing w:after="0"/>
              <w:rPr>
                <w:sz w:val="20"/>
                <w:szCs w:val="20"/>
                <w:color w:val="auto"/>
              </w:rPr>
            </w:pPr>
            <w:r>
              <w:rPr>
                <w:rFonts w:ascii="Arial" w:cs="Arial" w:eastAsia="Arial" w:hAnsi="Arial"/>
                <w:sz w:val="19"/>
                <w:szCs w:val="19"/>
                <w:color w:val="auto"/>
              </w:rPr>
              <w:t>Magnesia Specialties</w:t>
            </w:r>
          </w:p>
        </w:tc>
        <w:tc>
          <w:tcPr>
            <w:tcW w:w="15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19,391</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20,043</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380" w:type="dxa"/>
            <w:vAlign w:val="bottom"/>
            <w:gridSpan w:val="2"/>
          </w:tcPr>
          <w:p>
            <w:pPr>
              <w:ind w:left="240"/>
              <w:spacing w:after="0"/>
              <w:rPr>
                <w:sz w:val="20"/>
                <w:szCs w:val="20"/>
                <w:color w:val="auto"/>
              </w:rPr>
            </w:pPr>
            <w:r>
              <w:rPr>
                <w:rFonts w:ascii="Arial" w:cs="Arial" w:eastAsia="Arial" w:hAnsi="Arial"/>
                <w:sz w:val="19"/>
                <w:szCs w:val="19"/>
                <w:color w:val="auto"/>
              </w:rPr>
              <w:t>Corporate</w:t>
            </w:r>
          </w:p>
        </w:tc>
        <w:tc>
          <w:tcPr>
            <w:tcW w:w="15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20" w:type="dxa"/>
            <w:vAlign w:val="bottom"/>
            <w:gridSpan w:val="3"/>
          </w:tcPr>
          <w:p>
            <w:pPr>
              <w:jc w:val="right"/>
              <w:ind w:right="40"/>
              <w:spacing w:after="0"/>
              <w:rPr>
                <w:sz w:val="20"/>
                <w:szCs w:val="20"/>
                <w:color w:val="auto"/>
              </w:rPr>
            </w:pPr>
            <w:r>
              <w:rPr>
                <w:rFonts w:ascii="Arial" w:cs="Arial" w:eastAsia="Arial" w:hAnsi="Arial"/>
                <w:sz w:val="20"/>
                <w:szCs w:val="20"/>
                <w:color w:val="auto"/>
              </w:rPr>
              <w:t>(6,537)</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20"/>
                <w:szCs w:val="20"/>
                <w:color w:val="auto"/>
              </w:rPr>
              <w:t>(248)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38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9"/>
                <w:szCs w:val="19"/>
                <w:color w:val="auto"/>
              </w:rPr>
              <w:t>Total Heritage</w:t>
            </w:r>
          </w:p>
        </w:tc>
        <w:tc>
          <w:tcPr>
            <w:tcW w:w="1560" w:type="dxa"/>
            <w:vAlign w:val="bottom"/>
            <w:tcBorders>
              <w:top w:val="single" w:sz="8" w:color="CFF0FC"/>
            </w:tcBorders>
            <w:shd w:val="clear" w:color="auto" w:fill="CFF0FC"/>
          </w:tcPr>
          <w:p>
            <w:pPr>
              <w:spacing w:after="0"/>
              <w:rPr>
                <w:sz w:val="20"/>
                <w:szCs w:val="20"/>
                <w:color w:val="auto"/>
              </w:rPr>
            </w:pPr>
          </w:p>
        </w:tc>
        <w:tc>
          <w:tcPr>
            <w:tcW w:w="340" w:type="dxa"/>
            <w:vAlign w:val="bottom"/>
            <w:tcBorders>
              <w:top w:val="single" w:sz="8" w:color="auto"/>
              <w:bottom w:val="single" w:sz="8" w:color="auto"/>
            </w:tcBorders>
            <w:shd w:val="clear" w:color="auto" w:fill="CFF0FC"/>
          </w:tcPr>
          <w:p>
            <w:pPr>
              <w:spacing w:after="0"/>
              <w:rPr>
                <w:sz w:val="20"/>
                <w:szCs w:val="20"/>
                <w:color w:val="auto"/>
              </w:rPr>
            </w:pPr>
          </w:p>
        </w:tc>
        <w:tc>
          <w:tcPr>
            <w:tcW w:w="12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20"/>
                <w:szCs w:val="20"/>
                <w:color w:val="auto"/>
              </w:rPr>
              <w:t>200,122</w:t>
            </w:r>
          </w:p>
        </w:tc>
        <w:tc>
          <w:tcPr>
            <w:tcW w:w="100" w:type="dxa"/>
            <w:vAlign w:val="bottom"/>
            <w:tcBorders>
              <w:top w:val="single" w:sz="8" w:color="CFF0FC"/>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spacing w:after="0"/>
              <w:rPr>
                <w:sz w:val="20"/>
                <w:szCs w:val="20"/>
                <w:color w:val="auto"/>
              </w:rPr>
            </w:pPr>
          </w:p>
        </w:tc>
        <w:tc>
          <w:tcPr>
            <w:tcW w:w="20" w:type="dxa"/>
            <w:vAlign w:val="bottom"/>
            <w:tcBorders>
              <w:top w:val="single" w:sz="8" w:color="auto"/>
              <w:bottom w:val="single" w:sz="8" w:color="auto"/>
            </w:tcBorders>
            <w:shd w:val="clear" w:color="auto" w:fill="CFF0FC"/>
          </w:tcPr>
          <w:p>
            <w:pPr>
              <w:spacing w:after="0"/>
              <w:rPr>
                <w:sz w:val="20"/>
                <w:szCs w:val="20"/>
                <w:color w:val="auto"/>
              </w:rPr>
            </w:pPr>
          </w:p>
        </w:tc>
        <w:tc>
          <w:tcPr>
            <w:tcW w:w="500" w:type="dxa"/>
            <w:vAlign w:val="bottom"/>
            <w:tcBorders>
              <w:top w:val="single" w:sz="8" w:color="auto"/>
              <w:bottom w:val="single" w:sz="8" w:color="auto"/>
            </w:tcBorders>
            <w:shd w:val="clear" w:color="auto" w:fill="CFF0FC"/>
          </w:tcPr>
          <w:p>
            <w:pPr>
              <w:spacing w:after="0"/>
              <w:rPr>
                <w:sz w:val="20"/>
                <w:szCs w:val="20"/>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161,970</w:t>
            </w:r>
          </w:p>
        </w:tc>
        <w:tc>
          <w:tcPr>
            <w:tcW w:w="120" w:type="dxa"/>
            <w:vAlign w:val="bottom"/>
            <w:tcBorders>
              <w:top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400" w:type="dxa"/>
            <w:vAlign w:val="bottom"/>
            <w:gridSpan w:val="3"/>
          </w:tcPr>
          <w:p>
            <w:pPr>
              <w:spacing w:after="0"/>
              <w:rPr>
                <w:sz w:val="20"/>
                <w:szCs w:val="20"/>
                <w:color w:val="auto"/>
              </w:rPr>
            </w:pPr>
            <w:r>
              <w:rPr>
                <w:rFonts w:ascii="Arial" w:cs="Arial" w:eastAsia="Arial" w:hAnsi="Arial"/>
                <w:sz w:val="19"/>
                <w:szCs w:val="19"/>
                <w:color w:val="auto"/>
              </w:rPr>
              <w:t>Acquisitions:</w:t>
            </w:r>
          </w:p>
        </w:tc>
        <w:tc>
          <w:tcPr>
            <w:tcW w:w="1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380" w:type="dxa"/>
            <w:vAlign w:val="bottom"/>
            <w:gridSpan w:val="2"/>
            <w:shd w:val="clear" w:color="auto" w:fill="CFF0FC"/>
          </w:tcPr>
          <w:p>
            <w:pPr>
              <w:ind w:left="240"/>
              <w:spacing w:after="0"/>
              <w:rPr>
                <w:sz w:val="20"/>
                <w:szCs w:val="20"/>
                <w:color w:val="auto"/>
              </w:rPr>
            </w:pPr>
            <w:r>
              <w:rPr>
                <w:rFonts w:ascii="Arial" w:cs="Arial" w:eastAsia="Arial" w:hAnsi="Arial"/>
                <w:sz w:val="19"/>
                <w:szCs w:val="19"/>
                <w:color w:val="auto"/>
              </w:rPr>
              <w:t>Aggregates</w:t>
            </w:r>
          </w:p>
        </w:tc>
        <w:tc>
          <w:tcPr>
            <w:tcW w:w="15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14,244</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313</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380" w:type="dxa"/>
            <w:vAlign w:val="bottom"/>
            <w:gridSpan w:val="2"/>
          </w:tcPr>
          <w:p>
            <w:pPr>
              <w:ind w:left="240"/>
              <w:spacing w:after="0"/>
              <w:rPr>
                <w:sz w:val="20"/>
                <w:szCs w:val="20"/>
                <w:color w:val="auto"/>
              </w:rPr>
            </w:pPr>
            <w:r>
              <w:rPr>
                <w:rFonts w:ascii="Arial" w:cs="Arial" w:eastAsia="Arial" w:hAnsi="Arial"/>
                <w:sz w:val="19"/>
                <w:szCs w:val="19"/>
                <w:color w:val="auto"/>
              </w:rPr>
              <w:t>Ready Mixed Concrete</w:t>
            </w:r>
          </w:p>
        </w:tc>
        <w:tc>
          <w:tcPr>
            <w:tcW w:w="15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gridSpan w:val="2"/>
          </w:tcPr>
          <w:p>
            <w:pPr>
              <w:jc w:val="right"/>
              <w:spacing w:after="0"/>
              <w:rPr>
                <w:sz w:val="20"/>
                <w:szCs w:val="20"/>
                <w:color w:val="auto"/>
              </w:rPr>
            </w:pPr>
            <w:r>
              <w:rPr>
                <w:rFonts w:ascii="Arial" w:cs="Arial" w:eastAsia="Arial" w:hAnsi="Arial"/>
                <w:sz w:val="20"/>
                <w:szCs w:val="20"/>
                <w:color w:val="auto"/>
              </w:rPr>
              <w:t>10,268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9,670</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380" w:type="dxa"/>
            <w:vAlign w:val="bottom"/>
            <w:gridSpan w:val="2"/>
            <w:shd w:val="clear" w:color="auto" w:fill="CFF0FC"/>
          </w:tcPr>
          <w:p>
            <w:pPr>
              <w:ind w:left="240"/>
              <w:spacing w:after="0"/>
              <w:rPr>
                <w:sz w:val="20"/>
                <w:szCs w:val="20"/>
                <w:color w:val="auto"/>
              </w:rPr>
            </w:pPr>
            <w:r>
              <w:rPr>
                <w:rFonts w:ascii="Arial" w:cs="Arial" w:eastAsia="Arial" w:hAnsi="Arial"/>
                <w:sz w:val="19"/>
                <w:szCs w:val="19"/>
                <w:color w:val="auto"/>
              </w:rPr>
              <w:t>Cement</w:t>
            </w:r>
          </w:p>
        </w:tc>
        <w:tc>
          <w:tcPr>
            <w:tcW w:w="15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38,244</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24,194</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380" w:type="dxa"/>
            <w:vAlign w:val="bottom"/>
            <w:gridSpan w:val="2"/>
          </w:tcPr>
          <w:p>
            <w:pPr>
              <w:ind w:left="240"/>
              <w:spacing w:after="0"/>
              <w:rPr>
                <w:sz w:val="20"/>
                <w:szCs w:val="20"/>
                <w:color w:val="auto"/>
              </w:rPr>
            </w:pPr>
            <w:r>
              <w:rPr>
                <w:rFonts w:ascii="Arial" w:cs="Arial" w:eastAsia="Arial" w:hAnsi="Arial"/>
                <w:sz w:val="19"/>
                <w:szCs w:val="19"/>
                <w:color w:val="auto"/>
              </w:rPr>
              <w:t>Corporate</w:t>
            </w:r>
          </w:p>
        </w:tc>
        <w:tc>
          <w:tcPr>
            <w:tcW w:w="15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20" w:type="dxa"/>
            <w:vAlign w:val="bottom"/>
            <w:gridSpan w:val="3"/>
          </w:tcPr>
          <w:p>
            <w:pPr>
              <w:jc w:val="right"/>
              <w:ind w:right="40"/>
              <w:spacing w:after="0"/>
              <w:rPr>
                <w:sz w:val="20"/>
                <w:szCs w:val="20"/>
                <w:color w:val="auto"/>
              </w:rPr>
            </w:pPr>
            <w:r>
              <w:rPr>
                <w:rFonts w:ascii="Arial" w:cs="Arial" w:eastAsia="Arial" w:hAnsi="Arial"/>
                <w:sz w:val="20"/>
                <w:szCs w:val="20"/>
                <w:color w:val="auto"/>
              </w:rPr>
              <w:t>(373)</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20"/>
                <w:szCs w:val="20"/>
                <w:color w:val="auto"/>
              </w:rPr>
              <w:t>(554)</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38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9"/>
                <w:szCs w:val="19"/>
                <w:color w:val="auto"/>
              </w:rPr>
              <w:t>Total Acquisitions</w:t>
            </w:r>
          </w:p>
        </w:tc>
        <w:tc>
          <w:tcPr>
            <w:tcW w:w="1560" w:type="dxa"/>
            <w:vAlign w:val="bottom"/>
            <w:tcBorders>
              <w:top w:val="single" w:sz="8" w:color="CFF0FC"/>
            </w:tcBorders>
            <w:shd w:val="clear" w:color="auto" w:fill="CFF0FC"/>
          </w:tcPr>
          <w:p>
            <w:pPr>
              <w:spacing w:after="0"/>
              <w:rPr>
                <w:sz w:val="20"/>
                <w:szCs w:val="20"/>
                <w:color w:val="auto"/>
              </w:rPr>
            </w:pPr>
          </w:p>
        </w:tc>
        <w:tc>
          <w:tcPr>
            <w:tcW w:w="340" w:type="dxa"/>
            <w:vAlign w:val="bottom"/>
            <w:tcBorders>
              <w:top w:val="single" w:sz="8" w:color="auto"/>
              <w:bottom w:val="single" w:sz="8" w:color="auto"/>
            </w:tcBorders>
            <w:shd w:val="clear" w:color="auto" w:fill="CFF0FC"/>
          </w:tcPr>
          <w:p>
            <w:pPr>
              <w:spacing w:after="0"/>
              <w:rPr>
                <w:sz w:val="20"/>
                <w:szCs w:val="20"/>
                <w:color w:val="auto"/>
              </w:rPr>
            </w:pPr>
          </w:p>
        </w:tc>
        <w:tc>
          <w:tcPr>
            <w:tcW w:w="12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20"/>
                <w:szCs w:val="20"/>
                <w:color w:val="auto"/>
              </w:rPr>
              <w:t>62,383</w:t>
            </w:r>
          </w:p>
        </w:tc>
        <w:tc>
          <w:tcPr>
            <w:tcW w:w="100" w:type="dxa"/>
            <w:vAlign w:val="bottom"/>
            <w:tcBorders>
              <w:top w:val="single" w:sz="8" w:color="CFF0FC"/>
            </w:tcBorders>
            <w:shd w:val="clear" w:color="auto" w:fill="CFF0FC"/>
          </w:tcPr>
          <w:p>
            <w:pPr>
              <w:spacing w:after="0"/>
              <w:rPr>
                <w:sz w:val="20"/>
                <w:szCs w:val="20"/>
                <w:color w:val="auto"/>
              </w:rPr>
            </w:pPr>
          </w:p>
        </w:tc>
        <w:tc>
          <w:tcPr>
            <w:tcW w:w="120" w:type="dxa"/>
            <w:vAlign w:val="bottom"/>
            <w:tcBorders>
              <w:top w:val="single" w:sz="8" w:color="CFF0FC"/>
            </w:tcBorders>
            <w:shd w:val="clear" w:color="auto" w:fill="CFF0FC"/>
          </w:tcPr>
          <w:p>
            <w:pPr>
              <w:spacing w:after="0"/>
              <w:rPr>
                <w:sz w:val="20"/>
                <w:szCs w:val="20"/>
                <w:color w:val="auto"/>
              </w:rPr>
            </w:pPr>
          </w:p>
        </w:tc>
        <w:tc>
          <w:tcPr>
            <w:tcW w:w="20" w:type="dxa"/>
            <w:vAlign w:val="bottom"/>
            <w:tcBorders>
              <w:top w:val="single" w:sz="8" w:color="CFF0FC"/>
            </w:tcBorders>
            <w:shd w:val="clear" w:color="auto" w:fill="CFF0FC"/>
          </w:tcPr>
          <w:p>
            <w:pPr>
              <w:spacing w:after="0"/>
              <w:rPr>
                <w:sz w:val="20"/>
                <w:szCs w:val="20"/>
                <w:color w:val="auto"/>
              </w:rPr>
            </w:pPr>
          </w:p>
        </w:tc>
        <w:tc>
          <w:tcPr>
            <w:tcW w:w="500" w:type="dxa"/>
            <w:vAlign w:val="bottom"/>
            <w:tcBorders>
              <w:top w:val="single" w:sz="8" w:color="auto"/>
              <w:bottom w:val="single" w:sz="8" w:color="auto"/>
            </w:tcBorders>
            <w:shd w:val="clear" w:color="auto" w:fill="CFF0FC"/>
          </w:tcPr>
          <w:p>
            <w:pPr>
              <w:spacing w:after="0"/>
              <w:rPr>
                <w:sz w:val="20"/>
                <w:szCs w:val="20"/>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33,623</w:t>
            </w:r>
          </w:p>
        </w:tc>
        <w:tc>
          <w:tcPr>
            <w:tcW w:w="120" w:type="dxa"/>
            <w:vAlign w:val="bottom"/>
            <w:tcBorders>
              <w:top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400" w:type="dxa"/>
            <w:vAlign w:val="bottom"/>
            <w:gridSpan w:val="3"/>
          </w:tcPr>
          <w:p>
            <w:pPr>
              <w:spacing w:after="0"/>
              <w:rPr>
                <w:sz w:val="20"/>
                <w:szCs w:val="20"/>
                <w:color w:val="auto"/>
              </w:rPr>
            </w:pPr>
            <w:r>
              <w:rPr>
                <w:rFonts w:ascii="Arial" w:cs="Arial" w:eastAsia="Arial" w:hAnsi="Arial"/>
                <w:sz w:val="19"/>
                <w:szCs w:val="19"/>
                <w:color w:val="auto"/>
              </w:rPr>
              <w:t>Total</w:t>
            </w:r>
          </w:p>
        </w:tc>
        <w:tc>
          <w:tcPr>
            <w:tcW w:w="1560" w:type="dxa"/>
            <w:vAlign w:val="bottom"/>
          </w:tcPr>
          <w:p>
            <w:pPr>
              <w:spacing w:after="0"/>
              <w:rPr>
                <w:sz w:val="20"/>
                <w:szCs w:val="20"/>
                <w:color w:val="auto"/>
              </w:rPr>
            </w:pPr>
          </w:p>
        </w:tc>
        <w:tc>
          <w:tcPr>
            <w:tcW w:w="340" w:type="dxa"/>
            <w:vAlign w:val="bottom"/>
            <w:tcBorders>
              <w:bottom w:val="single" w:sz="8" w:color="auto"/>
            </w:tcBorders>
          </w:tcPr>
          <w:p>
            <w:pPr>
              <w:jc w:val="right"/>
              <w:ind w:right="141"/>
              <w:spacing w:after="0"/>
              <w:rPr>
                <w:sz w:val="20"/>
                <w:szCs w:val="20"/>
                <w:color w:val="auto"/>
              </w:rPr>
            </w:pPr>
            <w:r>
              <w:rPr>
                <w:rFonts w:ascii="Arial" w:cs="Arial" w:eastAsia="Arial" w:hAnsi="Arial"/>
                <w:sz w:val="20"/>
                <w:szCs w:val="20"/>
                <w:color w:val="auto"/>
                <w:w w:val="71"/>
              </w:rPr>
              <w:t>$</w:t>
            </w: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color w:val="auto"/>
              </w:rPr>
              <w:t>262,505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ind w:right="343"/>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195,593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41 of 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1" w:name="page42"/>
    <w:bookmarkEnd w:id="41"/>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September 30, 2015</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rPr>
          <w:sz w:val="20"/>
          <w:szCs w:val="20"/>
          <w:color w:val="auto"/>
        </w:rPr>
      </w:pPr>
      <w:r>
        <w:rPr>
          <w:rFonts w:ascii="Arial" w:cs="Arial" w:eastAsia="Arial" w:hAnsi="Arial"/>
          <w:sz w:val="20"/>
          <w:szCs w:val="20"/>
          <w:color w:val="auto"/>
        </w:rPr>
        <w:t>Third Quarter Ended September 30, 2015</w:t>
      </w:r>
    </w:p>
    <w:p>
      <w:pPr>
        <w:jc w:val="center"/>
        <w:spacing w:after="0"/>
        <w:rPr>
          <w:sz w:val="20"/>
          <w:szCs w:val="20"/>
          <w:color w:val="auto"/>
        </w:rPr>
      </w:pPr>
      <w:r>
        <w:rPr>
          <w:rFonts w:ascii="Arial" w:cs="Arial" w:eastAsia="Arial" w:hAnsi="Arial"/>
          <w:sz w:val="20"/>
          <w:szCs w:val="20"/>
          <w:color w:val="auto"/>
        </w:rPr>
        <w:t>(Continued)</w:t>
      </w:r>
    </w:p>
    <w:p>
      <w:pPr>
        <w:spacing w:after="0" w:line="200" w:lineRule="exact"/>
        <w:rPr>
          <w:sz w:val="20"/>
          <w:szCs w:val="20"/>
          <w:color w:val="auto"/>
        </w:rPr>
      </w:pPr>
    </w:p>
    <w:p>
      <w:pPr>
        <w:spacing w:after="0" w:line="229"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The consolidated heritage gross margin (excluding freight and delivery revenues) for the quarter was 28.1%, a 300-basis-point improvement compared with the prior-year quarter. The prior-year quarter gross profit was reduced by $10.9 million for the write up of inventory acquired with TXI to fair value at the acquisition date and subsequent sale during the three months ended September 30, 2014. The decline in heritage Corporate gross profit is attributable to unfavorable charges related to fixed energy contracts where in the prior-year quarter, these contracts did not exist.</w:t>
      </w:r>
    </w:p>
    <w:p>
      <w:pPr>
        <w:spacing w:after="0" w:line="19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During the quarter, the Corporation incurred acquisition-related expenses of $2.1 million, which is in line with management’s expectations. Earnings from operations for the quarter were $179.5 million compared with $116.0 million in the prior-year quarter.</w:t>
      </w:r>
    </w:p>
    <w:p>
      <w:pPr>
        <w:spacing w:after="0" w:line="177"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Among other items, other operating income and expenses, net, includes gains and losses on the sale of assets; recoveries and writeoffs related to customer accounts receivable; rental, royalty and services income; accretion expense, depreciation expense and gains and losses related to asset retirement obligations. For the third quarter, consolidated other operating income and expenses, net, was an expense of $26.0 million in 2015 and expense of $5.1 million in 2014. Third quarter 2015 reflects $28.7 million of loss and related expenses in connection with the sale of the California cement operations.</w:t>
      </w:r>
    </w:p>
    <w:p>
      <w:pPr>
        <w:spacing w:after="0" w:line="195"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Other nonoperating income and expenses, net, includes foreign currency translation gains and losses, interest and other miscellaneous income and equity adjustments for nonconsolidated affiliates. The $2.6 million increase in other nonoperating income, net, in 2015 primarily reflects higher earnings from nonconsolidated companies compared with 2014.</w:t>
      </w:r>
    </w:p>
    <w:p>
      <w:pPr>
        <w:spacing w:after="0" w:line="186"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Income tax expense for the quarter ended September 30, 2015 includes $3.3 million to establish a valuation allowance for certain state NOL carry forwards as a result of the sale of the California cement operations.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42 of 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2" w:name="page43"/>
    <w:bookmarkEnd w:id="42"/>
    <w:p>
      <w:pPr>
        <w:jc w:val="center"/>
        <w:ind w:right="-19"/>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FORM 10-Q</w:t>
      </w:r>
    </w:p>
    <w:p>
      <w:pPr>
        <w:jc w:val="center"/>
        <w:ind w:right="-19"/>
        <w:spacing w:after="0"/>
        <w:rPr>
          <w:sz w:val="20"/>
          <w:szCs w:val="20"/>
          <w:color w:val="auto"/>
        </w:rPr>
      </w:pPr>
      <w:r>
        <w:rPr>
          <w:rFonts w:ascii="Arial" w:cs="Arial" w:eastAsia="Arial" w:hAnsi="Arial"/>
          <w:sz w:val="20"/>
          <w:szCs w:val="20"/>
          <w:color w:val="auto"/>
        </w:rPr>
        <w:t>For the Quarter Ended September 30, 2015</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RESULTS OF OPERATIONS</w:t>
      </w:r>
    </w:p>
    <w:p>
      <w:pPr>
        <w:jc w:val="center"/>
        <w:ind w:right="-19"/>
        <w:spacing w:after="0"/>
        <w:rPr>
          <w:sz w:val="20"/>
          <w:szCs w:val="20"/>
          <w:color w:val="auto"/>
        </w:rPr>
      </w:pPr>
      <w:r>
        <w:rPr>
          <w:rFonts w:ascii="Arial" w:cs="Arial" w:eastAsia="Arial" w:hAnsi="Arial"/>
          <w:sz w:val="20"/>
          <w:szCs w:val="20"/>
          <w:color w:val="auto"/>
        </w:rPr>
        <w:t>Third Quarter Ended September 30, 2015</w:t>
      </w:r>
    </w:p>
    <w:p>
      <w:pPr>
        <w:jc w:val="center"/>
        <w:ind w:right="-19"/>
        <w:spacing w:after="0"/>
        <w:rPr>
          <w:sz w:val="20"/>
          <w:szCs w:val="20"/>
          <w:color w:val="auto"/>
        </w:rPr>
      </w:pPr>
      <w:r>
        <w:rPr>
          <w:rFonts w:ascii="Arial" w:cs="Arial" w:eastAsia="Arial" w:hAnsi="Arial"/>
          <w:sz w:val="20"/>
          <w:szCs w:val="20"/>
          <w:color w:val="auto"/>
        </w:rPr>
        <w:t>(Continued)</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9"/>
          <w:szCs w:val="19"/>
          <w:color w:val="auto"/>
        </w:rPr>
        <w:t>Significant items for the nine months ended September 30, 2015 (unless noted, all comparisons are versus the prior-year period):</w:t>
      </w:r>
    </w:p>
    <w:p>
      <w:pPr>
        <w:spacing w:after="0" w:line="119" w:lineRule="exact"/>
        <w:rPr>
          <w:sz w:val="20"/>
          <w:szCs w:val="20"/>
          <w:color w:val="auto"/>
        </w:rPr>
      </w:pPr>
    </w:p>
    <w:p>
      <w:pPr>
        <w:ind w:left="760" w:hanging="374"/>
        <w:spacing w:after="0"/>
        <w:tabs>
          <w:tab w:leader="none" w:pos="760" w:val="left"/>
        </w:tabs>
        <w:numPr>
          <w:ilvl w:val="0"/>
          <w:numId w:val="32"/>
        </w:numPr>
        <w:rPr>
          <w:rFonts w:ascii="Arial" w:cs="Arial" w:eastAsia="Arial" w:hAnsi="Arial"/>
          <w:sz w:val="20"/>
          <w:szCs w:val="20"/>
          <w:color w:val="auto"/>
        </w:rPr>
      </w:pPr>
      <w:r>
        <w:rPr>
          <w:rFonts w:ascii="Arial" w:cs="Arial" w:eastAsia="Arial" w:hAnsi="Arial"/>
          <w:sz w:val="20"/>
          <w:szCs w:val="20"/>
          <w:color w:val="auto"/>
        </w:rPr>
        <w:t>Consolidated net sales of $2.5 billion compared with $1.9 billion, an increase of 31%</w:t>
      </w:r>
    </w:p>
    <w:p>
      <w:pPr>
        <w:spacing w:after="0" w:line="53" w:lineRule="exact"/>
        <w:rPr>
          <w:rFonts w:ascii="Arial" w:cs="Arial" w:eastAsia="Arial" w:hAnsi="Arial"/>
          <w:sz w:val="20"/>
          <w:szCs w:val="20"/>
          <w:color w:val="auto"/>
        </w:rPr>
      </w:pPr>
    </w:p>
    <w:p>
      <w:pPr>
        <w:ind w:left="1140" w:right="3140" w:hanging="754"/>
        <w:spacing w:after="0" w:line="285" w:lineRule="auto"/>
        <w:tabs>
          <w:tab w:leader="none" w:pos="762" w:val="left"/>
        </w:tabs>
        <w:numPr>
          <w:ilvl w:val="0"/>
          <w:numId w:val="32"/>
        </w:numPr>
        <w:rPr>
          <w:rFonts w:ascii="Arial" w:cs="Arial" w:eastAsia="Arial" w:hAnsi="Arial"/>
          <w:sz w:val="20"/>
          <w:szCs w:val="20"/>
          <w:color w:val="auto"/>
        </w:rPr>
      </w:pPr>
      <w:r>
        <w:rPr>
          <w:rFonts w:ascii="Arial" w:cs="Arial" w:eastAsia="Arial" w:hAnsi="Arial"/>
          <w:sz w:val="20"/>
          <w:szCs w:val="20"/>
          <w:color w:val="auto"/>
        </w:rPr>
        <w:t xml:space="preserve">Aggregates product line volume increase of 8.9%; aggregates product line price increase of 7.9% </w:t>
      </w:r>
      <w:r>
        <w:rPr>
          <w:rFonts w:ascii="Courier New" w:cs="Courier New" w:eastAsia="Courier New" w:hAnsi="Courier New"/>
          <w:sz w:val="20"/>
          <w:szCs w:val="20"/>
          <w:color w:val="auto"/>
        </w:rPr>
        <w:t xml:space="preserve">o </w:t>
      </w:r>
      <w:r>
        <w:rPr>
          <w:rFonts w:ascii="Arial" w:cs="Arial" w:eastAsia="Arial" w:hAnsi="Arial"/>
          <w:sz w:val="20"/>
          <w:szCs w:val="20"/>
          <w:color w:val="auto"/>
        </w:rPr>
        <w:t>Heritage aggregates produce line volume increase of 2.2%</w:t>
      </w:r>
    </w:p>
    <w:p>
      <w:pPr>
        <w:ind w:left="760" w:hanging="374"/>
        <w:spacing w:after="0"/>
        <w:tabs>
          <w:tab w:leader="none" w:pos="760" w:val="left"/>
        </w:tabs>
        <w:numPr>
          <w:ilvl w:val="0"/>
          <w:numId w:val="32"/>
        </w:numPr>
        <w:rPr>
          <w:rFonts w:ascii="Arial" w:cs="Arial" w:eastAsia="Arial" w:hAnsi="Arial"/>
          <w:sz w:val="20"/>
          <w:szCs w:val="20"/>
          <w:color w:val="auto"/>
        </w:rPr>
      </w:pPr>
      <w:r>
        <w:rPr>
          <w:rFonts w:ascii="Arial" w:cs="Arial" w:eastAsia="Arial" w:hAnsi="Arial"/>
          <w:sz w:val="20"/>
          <w:szCs w:val="20"/>
          <w:color w:val="auto"/>
        </w:rPr>
        <w:t>Cement business net sales of $307.5 million and gross profit of $87.6 million</w:t>
      </w:r>
    </w:p>
    <w:p>
      <w:pPr>
        <w:spacing w:after="0" w:line="53" w:lineRule="exact"/>
        <w:rPr>
          <w:rFonts w:ascii="Arial" w:cs="Arial" w:eastAsia="Arial" w:hAnsi="Arial"/>
          <w:sz w:val="20"/>
          <w:szCs w:val="20"/>
          <w:color w:val="auto"/>
        </w:rPr>
      </w:pPr>
    </w:p>
    <w:p>
      <w:pPr>
        <w:ind w:left="760" w:hanging="374"/>
        <w:spacing w:after="0"/>
        <w:tabs>
          <w:tab w:leader="none" w:pos="760" w:val="left"/>
        </w:tabs>
        <w:numPr>
          <w:ilvl w:val="0"/>
          <w:numId w:val="32"/>
        </w:numPr>
        <w:rPr>
          <w:rFonts w:ascii="Arial" w:cs="Arial" w:eastAsia="Arial" w:hAnsi="Arial"/>
          <w:sz w:val="20"/>
          <w:szCs w:val="20"/>
          <w:color w:val="auto"/>
        </w:rPr>
      </w:pPr>
      <w:r>
        <w:rPr>
          <w:rFonts w:ascii="Arial" w:cs="Arial" w:eastAsia="Arial" w:hAnsi="Arial"/>
          <w:sz w:val="20"/>
          <w:szCs w:val="20"/>
          <w:color w:val="auto"/>
        </w:rPr>
        <w:t>Magnesia Specialties net sales of $176.5 million and earnings from operations of $53.5 million</w:t>
      </w:r>
    </w:p>
    <w:p>
      <w:pPr>
        <w:spacing w:after="0" w:line="53" w:lineRule="exact"/>
        <w:rPr>
          <w:rFonts w:ascii="Arial" w:cs="Arial" w:eastAsia="Arial" w:hAnsi="Arial"/>
          <w:sz w:val="20"/>
          <w:szCs w:val="20"/>
          <w:color w:val="auto"/>
        </w:rPr>
      </w:pPr>
    </w:p>
    <w:p>
      <w:pPr>
        <w:ind w:left="760" w:hanging="374"/>
        <w:spacing w:after="0"/>
        <w:tabs>
          <w:tab w:leader="none" w:pos="760" w:val="left"/>
        </w:tabs>
        <w:numPr>
          <w:ilvl w:val="0"/>
          <w:numId w:val="32"/>
        </w:numPr>
        <w:rPr>
          <w:rFonts w:ascii="Arial" w:cs="Arial" w:eastAsia="Arial" w:hAnsi="Arial"/>
          <w:sz w:val="20"/>
          <w:szCs w:val="20"/>
          <w:color w:val="auto"/>
        </w:rPr>
      </w:pPr>
      <w:r>
        <w:rPr>
          <w:rFonts w:ascii="Arial" w:cs="Arial" w:eastAsia="Arial" w:hAnsi="Arial"/>
          <w:sz w:val="20"/>
          <w:szCs w:val="20"/>
          <w:color w:val="auto"/>
        </w:rPr>
        <w:t>Consolidated gross margin (excluding freight and delivery revenues) of 21.6%, an increase of 280 basis points</w:t>
      </w:r>
    </w:p>
    <w:p>
      <w:pPr>
        <w:spacing w:after="0" w:line="53" w:lineRule="exact"/>
        <w:rPr>
          <w:rFonts w:ascii="Arial" w:cs="Arial" w:eastAsia="Arial" w:hAnsi="Arial"/>
          <w:sz w:val="20"/>
          <w:szCs w:val="20"/>
          <w:color w:val="auto"/>
        </w:rPr>
      </w:pPr>
    </w:p>
    <w:p>
      <w:pPr>
        <w:ind w:left="760" w:hanging="374"/>
        <w:spacing w:after="0"/>
        <w:tabs>
          <w:tab w:leader="none" w:pos="760" w:val="left"/>
        </w:tabs>
        <w:numPr>
          <w:ilvl w:val="0"/>
          <w:numId w:val="32"/>
        </w:numPr>
        <w:rPr>
          <w:rFonts w:ascii="Arial" w:cs="Arial" w:eastAsia="Arial" w:hAnsi="Arial"/>
          <w:sz w:val="20"/>
          <w:szCs w:val="20"/>
          <w:color w:val="auto"/>
        </w:rPr>
      </w:pPr>
      <w:r>
        <w:rPr>
          <w:rFonts w:ascii="Arial" w:cs="Arial" w:eastAsia="Arial" w:hAnsi="Arial"/>
          <w:sz w:val="20"/>
          <w:szCs w:val="20"/>
          <w:color w:val="auto"/>
        </w:rPr>
        <w:t>Consolidated SG&amp;A of $161.1 million, or 6.5% of net sales</w:t>
      </w:r>
    </w:p>
    <w:p>
      <w:pPr>
        <w:spacing w:after="0" w:line="53" w:lineRule="exact"/>
        <w:rPr>
          <w:rFonts w:ascii="Arial" w:cs="Arial" w:eastAsia="Arial" w:hAnsi="Arial"/>
          <w:sz w:val="20"/>
          <w:szCs w:val="20"/>
          <w:color w:val="auto"/>
        </w:rPr>
      </w:pPr>
    </w:p>
    <w:p>
      <w:pPr>
        <w:jc w:val="both"/>
        <w:ind w:left="760" w:hanging="374"/>
        <w:spacing w:after="0" w:line="287" w:lineRule="auto"/>
        <w:tabs>
          <w:tab w:leader="none" w:pos="7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Consolidated adjusted earnings from operations of $371.9 million (which excludes a $25.1 million loss on the sale of the California cement operations and $4.8 million of related expenses) compared with $248.2 million (which excludes $51.9 million of one-time expenses related to the TXI acquisition); reported earnings from operations of $342.1 million compared to $196.3 million</w:t>
      </w:r>
    </w:p>
    <w:p>
      <w:pPr>
        <w:jc w:val="both"/>
        <w:ind w:left="760" w:hanging="374"/>
        <w:spacing w:after="0" w:line="246" w:lineRule="auto"/>
        <w:tabs>
          <w:tab w:leader="none" w:pos="760" w:val="left"/>
        </w:tabs>
        <w:numPr>
          <w:ilvl w:val="0"/>
          <w:numId w:val="32"/>
        </w:numPr>
        <w:rPr>
          <w:rFonts w:ascii="Arial" w:cs="Arial" w:eastAsia="Arial" w:hAnsi="Arial"/>
          <w:sz w:val="20"/>
          <w:szCs w:val="20"/>
          <w:color w:val="auto"/>
        </w:rPr>
      </w:pPr>
      <w:r>
        <w:rPr>
          <w:rFonts w:ascii="Arial" w:cs="Arial" w:eastAsia="Arial" w:hAnsi="Arial"/>
          <w:sz w:val="20"/>
          <w:szCs w:val="20"/>
          <w:color w:val="auto"/>
        </w:rPr>
        <w:t>Earnings per diluted share of $3.34 (which excludes the $0.31 per diluted share impact of the loss on the sale of the California cement operations and related expenses) compared with $2.74 (which excludes the $1.04 per diluted share impact of one-time net expenses related to the TXI acquisition and the impact of selling acquired inventory that was marked up to fair value at the acquisition date); reported earnings per diluted share of $3.03 compared to $1.70</w:t>
      </w:r>
    </w:p>
    <w:p>
      <w:pPr>
        <w:spacing w:after="0" w:line="24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following table presents net sales, gross profit (loss), selling, general and administrative expenses and earnings (loss) from operations data for the Corporation and its reportable segments for the nine months ended September 30, 2015 and 2014. In each case, the data is stated as a percentage of net sales of the Corporation or the relevant segment, as the case may be.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Page 43 of 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3" w:name="page44"/>
    <w:bookmarkEnd w:id="43"/>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September 30, 2015</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rPr>
          <w:sz w:val="20"/>
          <w:szCs w:val="20"/>
          <w:color w:val="auto"/>
        </w:rPr>
      </w:pPr>
      <w:r>
        <w:rPr>
          <w:rFonts w:ascii="Arial" w:cs="Arial" w:eastAsia="Arial" w:hAnsi="Arial"/>
          <w:sz w:val="20"/>
          <w:szCs w:val="20"/>
          <w:color w:val="auto"/>
        </w:rPr>
        <w:t>Third Quarter Ended September 30, 2015</w:t>
      </w:r>
    </w:p>
    <w:p>
      <w:pPr>
        <w:jc w:val="center"/>
        <w:spacing w:after="0"/>
        <w:rPr>
          <w:sz w:val="20"/>
          <w:szCs w:val="20"/>
          <w:color w:val="auto"/>
        </w:rPr>
      </w:pPr>
      <w:r>
        <w:rPr>
          <w:rFonts w:ascii="Arial" w:cs="Arial" w:eastAsia="Arial" w:hAnsi="Arial"/>
          <w:sz w:val="20"/>
          <w:szCs w:val="20"/>
          <w:color w:val="auto"/>
        </w:rPr>
        <w:t>(Continued)</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20" w:type="dxa"/>
            <w:vAlign w:val="bottom"/>
          </w:tcPr>
          <w:p>
            <w:pPr>
              <w:spacing w:after="0"/>
              <w:rPr>
                <w:sz w:val="21"/>
                <w:szCs w:val="21"/>
                <w:color w:val="auto"/>
              </w:rPr>
            </w:pPr>
          </w:p>
        </w:tc>
        <w:tc>
          <w:tcPr>
            <w:tcW w:w="46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500" w:type="dxa"/>
            <w:vAlign w:val="bottom"/>
            <w:tcBorders>
              <w:bottom w:val="single" w:sz="8" w:color="auto"/>
            </w:tcBorders>
            <w:gridSpan w:val="6"/>
          </w:tcPr>
          <w:p>
            <w:pPr>
              <w:jc w:val="center"/>
              <w:ind w:right="620"/>
              <w:spacing w:after="0"/>
              <w:rPr>
                <w:sz w:val="20"/>
                <w:szCs w:val="20"/>
                <w:color w:val="auto"/>
              </w:rPr>
            </w:pPr>
            <w:r>
              <w:rPr>
                <w:rFonts w:ascii="Arial" w:cs="Arial" w:eastAsia="Arial" w:hAnsi="Arial"/>
                <w:sz w:val="20"/>
                <w:szCs w:val="20"/>
                <w:color w:val="auto"/>
                <w:w w:val="89"/>
              </w:rPr>
              <w:t>Nine Months Ended September 30,</w:t>
            </w:r>
          </w:p>
        </w:tc>
        <w:tc>
          <w:tcPr>
            <w:tcW w:w="12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3"/>
          </w:tcPr>
          <w:p>
            <w:pPr>
              <w:jc w:val="right"/>
              <w:ind w:right="60"/>
              <w:spacing w:after="0" w:line="223" w:lineRule="exact"/>
              <w:rPr>
                <w:sz w:val="20"/>
                <w:szCs w:val="20"/>
                <w:color w:val="auto"/>
              </w:rPr>
            </w:pPr>
            <w:r>
              <w:rPr>
                <w:rFonts w:ascii="Arial" w:cs="Arial" w:eastAsia="Arial" w:hAnsi="Arial"/>
                <w:sz w:val="20"/>
                <w:szCs w:val="20"/>
                <w:color w:val="auto"/>
              </w:rPr>
              <w:t>2015</w:t>
            </w:r>
          </w:p>
        </w:tc>
        <w:tc>
          <w:tcPr>
            <w:tcW w:w="138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3"/>
          </w:tcPr>
          <w:p>
            <w:pPr>
              <w:jc w:val="right"/>
              <w:ind w:right="140"/>
              <w:spacing w:after="0" w:line="223" w:lineRule="exact"/>
              <w:rPr>
                <w:sz w:val="20"/>
                <w:szCs w:val="20"/>
                <w:color w:val="auto"/>
              </w:rPr>
            </w:pPr>
            <w:r>
              <w:rPr>
                <w:rFonts w:ascii="Arial" w:cs="Arial" w:eastAsia="Arial" w:hAnsi="Arial"/>
                <w:sz w:val="20"/>
                <w:szCs w:val="20"/>
                <w:color w:val="auto"/>
              </w:rPr>
              <w:t>2014</w:t>
            </w:r>
          </w:p>
        </w:tc>
        <w:tc>
          <w:tcPr>
            <w:tcW w:w="12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jc w:val="right"/>
              <w:ind w:right="461"/>
              <w:spacing w:after="0" w:line="207" w:lineRule="exact"/>
              <w:rPr>
                <w:sz w:val="20"/>
                <w:szCs w:val="20"/>
                <w:color w:val="auto"/>
              </w:rPr>
            </w:pPr>
            <w:r>
              <w:rPr>
                <w:rFonts w:ascii="Arial" w:cs="Arial" w:eastAsia="Arial" w:hAnsi="Arial"/>
                <w:sz w:val="20"/>
                <w:szCs w:val="20"/>
                <w:color w:val="auto"/>
              </w:rPr>
              <w:t>% of</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jc w:val="center"/>
              <w:ind w:right="101"/>
              <w:spacing w:after="0" w:line="207" w:lineRule="exact"/>
              <w:rPr>
                <w:sz w:val="20"/>
                <w:szCs w:val="20"/>
                <w:color w:val="auto"/>
              </w:rPr>
            </w:pPr>
            <w:r>
              <w:rPr>
                <w:rFonts w:ascii="Arial" w:cs="Arial" w:eastAsia="Arial" w:hAnsi="Arial"/>
                <w:sz w:val="20"/>
                <w:szCs w:val="20"/>
                <w:color w:val="auto"/>
                <w:w w:val="94"/>
              </w:rPr>
              <w:t>% of</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46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0" w:type="dxa"/>
            <w:vAlign w:val="bottom"/>
            <w:gridSpan w:val="3"/>
          </w:tcPr>
          <w:p>
            <w:pPr>
              <w:jc w:val="right"/>
              <w:ind w:right="800"/>
              <w:spacing w:after="0"/>
              <w:rPr>
                <w:sz w:val="20"/>
                <w:szCs w:val="20"/>
                <w:color w:val="auto"/>
              </w:rPr>
            </w:pPr>
            <w:r>
              <w:rPr>
                <w:rFonts w:ascii="Arial" w:cs="Arial" w:eastAsia="Arial" w:hAnsi="Arial"/>
                <w:sz w:val="20"/>
                <w:szCs w:val="20"/>
                <w:color w:val="auto"/>
              </w:rPr>
              <w:t>Amount</w:t>
            </w:r>
          </w:p>
        </w:tc>
        <w:tc>
          <w:tcPr>
            <w:tcW w:w="1380" w:type="dxa"/>
            <w:vAlign w:val="bottom"/>
          </w:tcPr>
          <w:p>
            <w:pPr>
              <w:jc w:val="right"/>
              <w:ind w:right="281"/>
              <w:spacing w:after="0"/>
              <w:rPr>
                <w:sz w:val="20"/>
                <w:szCs w:val="20"/>
                <w:color w:val="auto"/>
              </w:rPr>
            </w:pPr>
            <w:r>
              <w:rPr>
                <w:rFonts w:ascii="Arial" w:cs="Arial" w:eastAsia="Arial" w:hAnsi="Arial"/>
                <w:sz w:val="20"/>
                <w:szCs w:val="20"/>
                <w:color w:val="auto"/>
              </w:rPr>
              <w:t>Net Sales</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60" w:type="dxa"/>
            <w:vAlign w:val="bottom"/>
            <w:gridSpan w:val="3"/>
          </w:tcPr>
          <w:p>
            <w:pPr>
              <w:jc w:val="right"/>
              <w:ind w:right="840"/>
              <w:spacing w:after="0"/>
              <w:rPr>
                <w:sz w:val="20"/>
                <w:szCs w:val="20"/>
                <w:color w:val="auto"/>
              </w:rPr>
            </w:pPr>
            <w:r>
              <w:rPr>
                <w:rFonts w:ascii="Arial" w:cs="Arial" w:eastAsia="Arial" w:hAnsi="Arial"/>
                <w:sz w:val="20"/>
                <w:szCs w:val="20"/>
                <w:color w:val="auto"/>
              </w:rPr>
              <w:t>Amount</w:t>
            </w:r>
          </w:p>
        </w:tc>
        <w:tc>
          <w:tcPr>
            <w:tcW w:w="1360" w:type="dxa"/>
            <w:vAlign w:val="bottom"/>
            <w:gridSpan w:val="2"/>
          </w:tcPr>
          <w:p>
            <w:pPr>
              <w:jc w:val="center"/>
              <w:ind w:right="320"/>
              <w:spacing w:after="0"/>
              <w:rPr>
                <w:sz w:val="20"/>
                <w:szCs w:val="20"/>
                <w:color w:val="auto"/>
              </w:rPr>
            </w:pPr>
            <w:r>
              <w:rPr>
                <w:rFonts w:ascii="Arial" w:cs="Arial" w:eastAsia="Arial" w:hAnsi="Arial"/>
                <w:sz w:val="20"/>
                <w:szCs w:val="20"/>
                <w:color w:val="auto"/>
                <w:w w:val="87"/>
              </w:rPr>
              <w:t>Net Sales</w:t>
            </w:r>
          </w:p>
        </w:tc>
        <w:tc>
          <w:tcPr>
            <w:tcW w:w="0" w:type="dxa"/>
            <w:vAlign w:val="bottom"/>
          </w:tcPr>
          <w:p>
            <w:pPr>
              <w:spacing w:after="0"/>
              <w:rPr>
                <w:sz w:val="1"/>
                <w:szCs w:val="1"/>
                <w:color w:val="auto"/>
              </w:rPr>
            </w:pPr>
          </w:p>
        </w:tc>
      </w:tr>
      <w:tr>
        <w:trPr>
          <w:trHeight w:val="244"/>
        </w:trPr>
        <w:tc>
          <w:tcPr>
            <w:tcW w:w="4700" w:type="dxa"/>
            <w:vAlign w:val="bottom"/>
            <w:gridSpan w:val="2"/>
            <w:vMerge w:val="restart"/>
          </w:tcPr>
          <w:p>
            <w:pPr>
              <w:spacing w:after="0"/>
              <w:rPr>
                <w:sz w:val="20"/>
                <w:szCs w:val="20"/>
                <w:color w:val="auto"/>
              </w:rPr>
            </w:pPr>
            <w:r>
              <w:rPr>
                <w:rFonts w:ascii="Arial" w:cs="Arial" w:eastAsia="Arial" w:hAnsi="Arial"/>
                <w:sz w:val="20"/>
                <w:szCs w:val="20"/>
                <w:b w:val="1"/>
                <w:bCs w:val="1"/>
                <w:color w:val="auto"/>
              </w:rPr>
              <w:t>Net sales:</w:t>
            </w:r>
          </w:p>
        </w:tc>
        <w:tc>
          <w:tcPr>
            <w:tcW w:w="26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3500" w:type="dxa"/>
            <w:vAlign w:val="bottom"/>
            <w:tcBorders>
              <w:top w:val="single" w:sz="8" w:color="auto"/>
            </w:tcBorders>
            <w:gridSpan w:val="6"/>
          </w:tcPr>
          <w:p>
            <w:pPr>
              <w:jc w:val="center"/>
              <w:ind w:right="620"/>
              <w:spacing w:after="0"/>
              <w:rPr>
                <w:sz w:val="20"/>
                <w:szCs w:val="20"/>
                <w:color w:val="auto"/>
              </w:rPr>
            </w:pPr>
            <w:r>
              <w:rPr>
                <w:rFonts w:ascii="Arial" w:cs="Arial" w:eastAsia="Arial" w:hAnsi="Arial"/>
                <w:sz w:val="20"/>
                <w:szCs w:val="20"/>
                <w:i w:val="1"/>
                <w:iCs w:val="1"/>
                <w:color w:val="auto"/>
                <w:w w:val="91"/>
              </w:rPr>
              <w:t>(Dollars in Thousands)</w:t>
            </w:r>
          </w:p>
        </w:tc>
        <w:tc>
          <w:tcPr>
            <w:tcW w:w="12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470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80" w:type="dxa"/>
            <w:vAlign w:val="bottom"/>
            <w:shd w:val="clear" w:color="auto" w:fill="CFF0FC"/>
          </w:tcPr>
          <w:p>
            <w:pPr>
              <w:spacing w:after="0"/>
              <w:rPr>
                <w:sz w:val="20"/>
                <w:szCs w:val="20"/>
                <w:color w:val="auto"/>
              </w:rPr>
            </w:pPr>
            <w:r>
              <w:rPr>
                <w:rFonts w:ascii="Arial" w:cs="Arial" w:eastAsia="Arial" w:hAnsi="Arial"/>
                <w:sz w:val="20"/>
                <w:szCs w:val="20"/>
                <w:color w:val="auto"/>
              </w:rPr>
              <w:t>Heritage:</w:t>
            </w:r>
          </w:p>
        </w:tc>
        <w:tc>
          <w:tcPr>
            <w:tcW w:w="26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80" w:type="dxa"/>
            <w:vAlign w:val="bottom"/>
          </w:tcPr>
          <w:p>
            <w:pPr>
              <w:ind w:left="480"/>
              <w:spacing w:after="0"/>
              <w:rPr>
                <w:sz w:val="20"/>
                <w:szCs w:val="20"/>
                <w:color w:val="auto"/>
              </w:rPr>
            </w:pPr>
            <w:r>
              <w:rPr>
                <w:rFonts w:ascii="Arial" w:cs="Arial" w:eastAsia="Arial" w:hAnsi="Arial"/>
                <w:sz w:val="20"/>
                <w:szCs w:val="20"/>
                <w:color w:val="auto"/>
              </w:rPr>
              <w:t>Mid-America Group</w:t>
            </w:r>
          </w:p>
        </w:tc>
        <w:tc>
          <w:tcPr>
            <w:tcW w:w="260" w:type="dxa"/>
            <w:vAlign w:val="bottom"/>
          </w:tcPr>
          <w:p>
            <w:pPr>
              <w:jc w:val="right"/>
              <w:ind w:right="61"/>
              <w:spacing w:after="0"/>
              <w:rPr>
                <w:sz w:val="20"/>
                <w:szCs w:val="20"/>
                <w:color w:val="auto"/>
              </w:rPr>
            </w:pPr>
            <w:r>
              <w:rPr>
                <w:rFonts w:ascii="Arial" w:cs="Arial" w:eastAsia="Arial" w:hAnsi="Arial"/>
                <w:sz w:val="20"/>
                <w:szCs w:val="20"/>
                <w:color w:val="auto"/>
                <w:w w:val="71"/>
              </w:rPr>
              <w:t>$</w:t>
            </w:r>
          </w:p>
        </w:tc>
        <w:tc>
          <w:tcPr>
            <w:tcW w:w="1240" w:type="dxa"/>
            <w:vAlign w:val="bottom"/>
          </w:tcPr>
          <w:p>
            <w:pPr>
              <w:jc w:val="right"/>
              <w:spacing w:after="0"/>
              <w:rPr>
                <w:sz w:val="20"/>
                <w:szCs w:val="20"/>
                <w:color w:val="auto"/>
              </w:rPr>
            </w:pPr>
            <w:r>
              <w:rPr>
                <w:rFonts w:ascii="Arial" w:cs="Arial" w:eastAsia="Arial" w:hAnsi="Arial"/>
                <w:sz w:val="20"/>
                <w:szCs w:val="20"/>
                <w:color w:val="auto"/>
              </w:rPr>
              <w:t>630,776</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460" w:type="dxa"/>
            <w:vAlign w:val="bottom"/>
            <w:gridSpan w:val="2"/>
          </w:tcPr>
          <w:p>
            <w:pPr>
              <w:jc w:val="right"/>
              <w:ind w:right="41"/>
              <w:spacing w:after="0"/>
              <w:rPr>
                <w:sz w:val="20"/>
                <w:szCs w:val="20"/>
                <w:color w:val="auto"/>
              </w:rPr>
            </w:pPr>
            <w:r>
              <w:rPr>
                <w:rFonts w:ascii="Arial" w:cs="Arial" w:eastAsia="Arial" w:hAnsi="Arial"/>
                <w:sz w:val="20"/>
                <w:szCs w:val="20"/>
                <w:color w:val="auto"/>
              </w:rPr>
              <w:t>$</w:t>
            </w:r>
          </w:p>
        </w:tc>
        <w:tc>
          <w:tcPr>
            <w:tcW w:w="1240" w:type="dxa"/>
            <w:vAlign w:val="bottom"/>
          </w:tcPr>
          <w:p>
            <w:pPr>
              <w:jc w:val="right"/>
              <w:spacing w:after="0"/>
              <w:rPr>
                <w:sz w:val="20"/>
                <w:szCs w:val="20"/>
                <w:color w:val="auto"/>
              </w:rPr>
            </w:pPr>
            <w:r>
              <w:rPr>
                <w:rFonts w:ascii="Arial" w:cs="Arial" w:eastAsia="Arial" w:hAnsi="Arial"/>
                <w:sz w:val="20"/>
                <w:szCs w:val="20"/>
                <w:color w:val="auto"/>
              </w:rPr>
              <w:t>569,545</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80" w:type="dxa"/>
            <w:vAlign w:val="bottom"/>
            <w:shd w:val="clear" w:color="auto" w:fill="CFF0FC"/>
          </w:tcPr>
          <w:p>
            <w:pPr>
              <w:ind w:left="480"/>
              <w:spacing w:after="0"/>
              <w:rPr>
                <w:sz w:val="20"/>
                <w:szCs w:val="20"/>
                <w:color w:val="auto"/>
              </w:rPr>
            </w:pPr>
            <w:r>
              <w:rPr>
                <w:rFonts w:ascii="Arial" w:cs="Arial" w:eastAsia="Arial" w:hAnsi="Arial"/>
                <w:sz w:val="20"/>
                <w:szCs w:val="20"/>
                <w:color w:val="auto"/>
              </w:rPr>
              <w:t>Southeast Group</w:t>
            </w:r>
          </w:p>
        </w:tc>
        <w:tc>
          <w:tcPr>
            <w:tcW w:w="2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214,536</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194,148</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80" w:type="dxa"/>
            <w:vAlign w:val="bottom"/>
            <w:tcBorders>
              <w:bottom w:val="single" w:sz="8" w:color="CFF0FC"/>
            </w:tcBorders>
          </w:tcPr>
          <w:p>
            <w:pPr>
              <w:ind w:left="480"/>
              <w:spacing w:after="0"/>
              <w:rPr>
                <w:sz w:val="20"/>
                <w:szCs w:val="20"/>
                <w:color w:val="auto"/>
              </w:rPr>
            </w:pPr>
            <w:r>
              <w:rPr>
                <w:rFonts w:ascii="Arial" w:cs="Arial" w:eastAsia="Arial" w:hAnsi="Arial"/>
                <w:sz w:val="20"/>
                <w:szCs w:val="20"/>
                <w:color w:val="auto"/>
              </w:rPr>
              <w:t>West Group</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723,139</w:t>
            </w:r>
          </w:p>
        </w:tc>
        <w:tc>
          <w:tcPr>
            <w:tcW w:w="2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38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684,350</w:t>
            </w:r>
          </w:p>
        </w:tc>
        <w:tc>
          <w:tcPr>
            <w:tcW w:w="22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12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shd w:val="clear" w:color="auto" w:fill="CFF0FC"/>
          </w:tcPr>
          <w:p>
            <w:pPr>
              <w:ind w:left="240"/>
              <w:spacing w:after="0" w:line="223" w:lineRule="exact"/>
              <w:rPr>
                <w:sz w:val="20"/>
                <w:szCs w:val="20"/>
                <w:color w:val="auto"/>
              </w:rPr>
            </w:pPr>
            <w:r>
              <w:rPr>
                <w:rFonts w:ascii="Arial" w:cs="Arial" w:eastAsia="Arial" w:hAnsi="Arial"/>
                <w:sz w:val="20"/>
                <w:szCs w:val="20"/>
                <w:color w:val="auto"/>
              </w:rPr>
              <w:t>Total Heritage Aggregates Business</w:t>
            </w:r>
          </w:p>
        </w:tc>
        <w:tc>
          <w:tcPr>
            <w:tcW w:w="2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line="223" w:lineRule="exact"/>
              <w:rPr>
                <w:sz w:val="20"/>
                <w:szCs w:val="20"/>
                <w:color w:val="auto"/>
              </w:rPr>
            </w:pPr>
            <w:r>
              <w:rPr>
                <w:rFonts w:ascii="Arial" w:cs="Arial" w:eastAsia="Arial" w:hAnsi="Arial"/>
                <w:sz w:val="20"/>
                <w:szCs w:val="20"/>
                <w:color w:val="auto"/>
              </w:rPr>
              <w:t>1,568,451</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line="223" w:lineRule="exact"/>
              <w:rPr>
                <w:sz w:val="20"/>
                <w:szCs w:val="20"/>
                <w:color w:val="auto"/>
              </w:rPr>
            </w:pPr>
            <w:r>
              <w:rPr>
                <w:rFonts w:ascii="Arial" w:cs="Arial" w:eastAsia="Arial" w:hAnsi="Arial"/>
                <w:sz w:val="20"/>
                <w:szCs w:val="20"/>
                <w:color w:val="auto"/>
              </w:rPr>
              <w:t>100.0</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line="223" w:lineRule="exact"/>
              <w:rPr>
                <w:sz w:val="20"/>
                <w:szCs w:val="20"/>
                <w:color w:val="auto"/>
              </w:rPr>
            </w:pPr>
            <w:r>
              <w:rPr>
                <w:rFonts w:ascii="Arial" w:cs="Arial" w:eastAsia="Arial" w:hAnsi="Arial"/>
                <w:sz w:val="20"/>
                <w:szCs w:val="20"/>
                <w:color w:val="auto"/>
              </w:rPr>
              <w:t>1,448,043</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line="223" w:lineRule="exact"/>
              <w:rPr>
                <w:sz w:val="20"/>
                <w:szCs w:val="20"/>
                <w:color w:val="auto"/>
              </w:rPr>
            </w:pPr>
            <w:r>
              <w:rPr>
                <w:rFonts w:ascii="Arial" w:cs="Arial" w:eastAsia="Arial" w:hAnsi="Arial"/>
                <w:sz w:val="20"/>
                <w:szCs w:val="20"/>
                <w:color w:val="auto"/>
              </w:rPr>
              <w:t>100.0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80" w:type="dxa"/>
            <w:vAlign w:val="bottom"/>
            <w:tcBorders>
              <w:bottom w:val="single" w:sz="8" w:color="CFF0FC"/>
            </w:tcBorders>
          </w:tcPr>
          <w:p>
            <w:pPr>
              <w:ind w:left="240"/>
              <w:spacing w:after="0"/>
              <w:rPr>
                <w:sz w:val="20"/>
                <w:szCs w:val="20"/>
                <w:color w:val="auto"/>
              </w:rPr>
            </w:pPr>
            <w:r>
              <w:rPr>
                <w:rFonts w:ascii="Arial" w:cs="Arial" w:eastAsia="Arial" w:hAnsi="Arial"/>
                <w:sz w:val="20"/>
                <w:szCs w:val="20"/>
                <w:color w:val="auto"/>
              </w:rPr>
              <w:t>Magnesia Specialties</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176,470</w:t>
            </w:r>
          </w:p>
        </w:tc>
        <w:tc>
          <w:tcPr>
            <w:tcW w:w="2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100.0</w:t>
            </w: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177,941</w:t>
            </w:r>
          </w:p>
        </w:tc>
        <w:tc>
          <w:tcPr>
            <w:tcW w:w="2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100.0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shd w:val="clear" w:color="auto" w:fill="CFF0FC"/>
          </w:tcPr>
          <w:p>
            <w:pPr>
              <w:spacing w:after="0" w:line="223" w:lineRule="exact"/>
              <w:rPr>
                <w:sz w:val="20"/>
                <w:szCs w:val="20"/>
                <w:color w:val="auto"/>
              </w:rPr>
            </w:pPr>
            <w:r>
              <w:rPr>
                <w:rFonts w:ascii="Arial" w:cs="Arial" w:eastAsia="Arial" w:hAnsi="Arial"/>
                <w:sz w:val="20"/>
                <w:szCs w:val="20"/>
                <w:color w:val="auto"/>
              </w:rPr>
              <w:t>Total Heritage Consolidated</w:t>
            </w:r>
          </w:p>
        </w:tc>
        <w:tc>
          <w:tcPr>
            <w:tcW w:w="26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line="223" w:lineRule="exact"/>
              <w:rPr>
                <w:sz w:val="20"/>
                <w:szCs w:val="20"/>
                <w:color w:val="auto"/>
              </w:rPr>
            </w:pPr>
            <w:r>
              <w:rPr>
                <w:rFonts w:ascii="Arial" w:cs="Arial" w:eastAsia="Arial" w:hAnsi="Arial"/>
                <w:sz w:val="20"/>
                <w:szCs w:val="20"/>
                <w:color w:val="auto"/>
              </w:rPr>
              <w:t>1,744,921</w:t>
            </w:r>
          </w:p>
        </w:tc>
        <w:tc>
          <w:tcPr>
            <w:tcW w:w="26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line="223" w:lineRule="exact"/>
              <w:rPr>
                <w:sz w:val="20"/>
                <w:szCs w:val="20"/>
                <w:color w:val="auto"/>
              </w:rPr>
            </w:pPr>
            <w:r>
              <w:rPr>
                <w:rFonts w:ascii="Arial" w:cs="Arial" w:eastAsia="Arial" w:hAnsi="Arial"/>
                <w:sz w:val="20"/>
                <w:szCs w:val="20"/>
                <w:color w:val="auto"/>
              </w:rPr>
              <w:t>100.0</w:t>
            </w:r>
          </w:p>
        </w:tc>
        <w:tc>
          <w:tcPr>
            <w:tcW w:w="2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line="223" w:lineRule="exact"/>
              <w:rPr>
                <w:sz w:val="20"/>
                <w:szCs w:val="20"/>
                <w:color w:val="auto"/>
              </w:rPr>
            </w:pPr>
            <w:r>
              <w:rPr>
                <w:rFonts w:ascii="Arial" w:cs="Arial" w:eastAsia="Arial" w:hAnsi="Arial"/>
                <w:sz w:val="20"/>
                <w:szCs w:val="20"/>
                <w:color w:val="auto"/>
              </w:rPr>
              <w:t>1,625,984</w:t>
            </w:r>
          </w:p>
        </w:tc>
        <w:tc>
          <w:tcPr>
            <w:tcW w:w="2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line="223" w:lineRule="exact"/>
              <w:rPr>
                <w:sz w:val="20"/>
                <w:szCs w:val="20"/>
                <w:color w:val="auto"/>
              </w:rPr>
            </w:pPr>
            <w:r>
              <w:rPr>
                <w:rFonts w:ascii="Arial" w:cs="Arial" w:eastAsia="Arial" w:hAnsi="Arial"/>
                <w:sz w:val="20"/>
                <w:szCs w:val="20"/>
                <w:color w:val="auto"/>
              </w:rPr>
              <w:t>100.0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Pr>
          <w:p>
            <w:pPr>
              <w:spacing w:after="0" w:line="223" w:lineRule="exact"/>
              <w:rPr>
                <w:sz w:val="20"/>
                <w:szCs w:val="20"/>
                <w:color w:val="auto"/>
              </w:rPr>
            </w:pPr>
            <w:r>
              <w:rPr>
                <w:rFonts w:ascii="Arial" w:cs="Arial" w:eastAsia="Arial" w:hAnsi="Arial"/>
                <w:sz w:val="20"/>
                <w:szCs w:val="20"/>
                <w:color w:val="auto"/>
              </w:rPr>
              <w:t>Acquisitions:</w:t>
            </w: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80" w:type="dxa"/>
            <w:vAlign w:val="bottom"/>
            <w:shd w:val="clear" w:color="auto" w:fill="CFF0FC"/>
          </w:tcPr>
          <w:p>
            <w:pPr>
              <w:ind w:left="240"/>
              <w:spacing w:after="0"/>
              <w:rPr>
                <w:sz w:val="20"/>
                <w:szCs w:val="20"/>
                <w:color w:val="auto"/>
              </w:rPr>
            </w:pPr>
            <w:r>
              <w:rPr>
                <w:rFonts w:ascii="Arial" w:cs="Arial" w:eastAsia="Arial" w:hAnsi="Arial"/>
                <w:sz w:val="20"/>
                <w:szCs w:val="20"/>
                <w:color w:val="auto"/>
              </w:rPr>
              <w:t>Aggregates Business – Mid-America Group</w:t>
            </w:r>
          </w:p>
        </w:tc>
        <w:tc>
          <w:tcPr>
            <w:tcW w:w="2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1,996</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100.0</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60" w:type="dxa"/>
            <w:vAlign w:val="bottom"/>
            <w:gridSpan w:val="3"/>
            <w:shd w:val="clear" w:color="auto" w:fill="CFF0FC"/>
          </w:tcPr>
          <w:p>
            <w:pPr>
              <w:jc w:val="right"/>
              <w:ind w:right="440"/>
              <w:spacing w:after="0"/>
              <w:rPr>
                <w:sz w:val="20"/>
                <w:szCs w:val="20"/>
                <w:color w:val="auto"/>
              </w:rPr>
            </w:pPr>
            <w:r>
              <w:rPr>
                <w:rFonts w:ascii="Arial" w:cs="Arial" w:eastAsia="Arial" w:hAnsi="Arial"/>
                <w:sz w:val="20"/>
                <w:szCs w:val="20"/>
                <w:color w:val="auto"/>
              </w:rPr>
              <w:t>—</w:t>
            </w:r>
          </w:p>
        </w:tc>
        <w:tc>
          <w:tcPr>
            <w:tcW w:w="1360" w:type="dxa"/>
            <w:vAlign w:val="bottom"/>
            <w:gridSpan w:val="2"/>
            <w:shd w:val="clear" w:color="auto" w:fill="CFF0FC"/>
          </w:tcPr>
          <w:p>
            <w:pPr>
              <w:jc w:val="right"/>
              <w:ind w:right="10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80" w:type="dxa"/>
            <w:vAlign w:val="bottom"/>
          </w:tcPr>
          <w:p>
            <w:pPr>
              <w:ind w:left="240"/>
              <w:spacing w:after="0"/>
              <w:rPr>
                <w:sz w:val="20"/>
                <w:szCs w:val="20"/>
                <w:color w:val="auto"/>
              </w:rPr>
            </w:pPr>
            <w:r>
              <w:rPr>
                <w:rFonts w:ascii="Arial" w:cs="Arial" w:eastAsia="Arial" w:hAnsi="Arial"/>
                <w:sz w:val="20"/>
                <w:szCs w:val="20"/>
                <w:color w:val="auto"/>
              </w:rPr>
              <w:t>Aggregates Business – West Group</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432,936</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100.0</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164,052</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100.0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80" w:type="dxa"/>
            <w:vAlign w:val="bottom"/>
            <w:shd w:val="clear" w:color="auto" w:fill="CFF0FC"/>
          </w:tcPr>
          <w:p>
            <w:pPr>
              <w:ind w:left="240"/>
              <w:spacing w:after="0"/>
              <w:rPr>
                <w:sz w:val="20"/>
                <w:szCs w:val="20"/>
                <w:color w:val="auto"/>
              </w:rPr>
            </w:pPr>
            <w:r>
              <w:rPr>
                <w:rFonts w:ascii="Arial" w:cs="Arial" w:eastAsia="Arial" w:hAnsi="Arial"/>
                <w:sz w:val="20"/>
                <w:szCs w:val="20"/>
                <w:color w:val="auto"/>
              </w:rPr>
              <w:t>Cement</w:t>
            </w:r>
          </w:p>
        </w:tc>
        <w:tc>
          <w:tcPr>
            <w:tcW w:w="26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307,489</w:t>
            </w:r>
          </w:p>
        </w:tc>
        <w:tc>
          <w:tcPr>
            <w:tcW w:w="26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100.0</w:t>
            </w:r>
          </w:p>
        </w:tc>
        <w:tc>
          <w:tcPr>
            <w:tcW w:w="2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109,521</w:t>
            </w:r>
          </w:p>
        </w:tc>
        <w:tc>
          <w:tcPr>
            <w:tcW w:w="2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100.0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Borders>
              <w:bottom w:val="single" w:sz="8" w:color="CFF0FC"/>
            </w:tcBorders>
          </w:tcPr>
          <w:p>
            <w:pPr>
              <w:spacing w:after="0" w:line="223" w:lineRule="exact"/>
              <w:rPr>
                <w:sz w:val="20"/>
                <w:szCs w:val="20"/>
                <w:color w:val="auto"/>
              </w:rPr>
            </w:pPr>
            <w:r>
              <w:rPr>
                <w:rFonts w:ascii="Arial" w:cs="Arial" w:eastAsia="Arial" w:hAnsi="Arial"/>
                <w:sz w:val="20"/>
                <w:szCs w:val="20"/>
                <w:color w:val="auto"/>
              </w:rPr>
              <w:t>Total Acquisitions</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742,421</w:t>
            </w:r>
          </w:p>
        </w:tc>
        <w:tc>
          <w:tcPr>
            <w:tcW w:w="2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100.0</w:t>
            </w: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273,573</w:t>
            </w:r>
          </w:p>
        </w:tc>
        <w:tc>
          <w:tcPr>
            <w:tcW w:w="2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100.0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Borders>
              <w:bottom w:val="single" w:sz="8" w:color="CFF0FC"/>
            </w:tcBorders>
            <w:shd w:val="clear" w:color="auto" w:fill="CFF0FC"/>
          </w:tcPr>
          <w:p>
            <w:pPr>
              <w:spacing w:after="0" w:line="223" w:lineRule="exact"/>
              <w:rPr>
                <w:sz w:val="20"/>
                <w:szCs w:val="20"/>
                <w:color w:val="auto"/>
              </w:rPr>
            </w:pPr>
            <w:r>
              <w:rPr>
                <w:rFonts w:ascii="Arial" w:cs="Arial" w:eastAsia="Arial" w:hAnsi="Arial"/>
                <w:sz w:val="20"/>
                <w:szCs w:val="20"/>
                <w:color w:val="auto"/>
              </w:rPr>
              <w:t>Total</w:t>
            </w:r>
          </w:p>
        </w:tc>
        <w:tc>
          <w:tcPr>
            <w:tcW w:w="260" w:type="dxa"/>
            <w:vAlign w:val="bottom"/>
            <w:tcBorders>
              <w:bottom w:val="single" w:sz="8" w:color="auto"/>
            </w:tcBorders>
            <w:shd w:val="clear" w:color="auto" w:fill="CFF0FC"/>
          </w:tcPr>
          <w:p>
            <w:pPr>
              <w:jc w:val="right"/>
              <w:ind w:right="61"/>
              <w:spacing w:after="0" w:line="223" w:lineRule="exact"/>
              <w:rPr>
                <w:sz w:val="20"/>
                <w:szCs w:val="20"/>
                <w:color w:val="auto"/>
              </w:rPr>
            </w:pPr>
            <w:r>
              <w:rPr>
                <w:rFonts w:ascii="Arial" w:cs="Arial" w:eastAsia="Arial" w:hAnsi="Arial"/>
                <w:sz w:val="20"/>
                <w:szCs w:val="20"/>
                <w:color w:val="auto"/>
                <w:w w:val="71"/>
              </w:rPr>
              <w:t>$</w:t>
            </w:r>
          </w:p>
        </w:tc>
        <w:tc>
          <w:tcPr>
            <w:tcW w:w="1240" w:type="dxa"/>
            <w:vAlign w:val="bottom"/>
            <w:tcBorders>
              <w:bottom w:val="single" w:sz="8" w:color="auto"/>
            </w:tcBorders>
            <w:shd w:val="clear" w:color="auto" w:fill="CFF0FC"/>
          </w:tcPr>
          <w:p>
            <w:pPr>
              <w:jc w:val="right"/>
              <w:spacing w:after="0" w:line="223" w:lineRule="exact"/>
              <w:rPr>
                <w:sz w:val="20"/>
                <w:szCs w:val="20"/>
                <w:color w:val="auto"/>
              </w:rPr>
            </w:pPr>
            <w:r>
              <w:rPr>
                <w:rFonts w:ascii="Arial" w:cs="Arial" w:eastAsia="Arial" w:hAnsi="Arial"/>
                <w:sz w:val="20"/>
                <w:szCs w:val="20"/>
                <w:color w:val="auto"/>
              </w:rPr>
              <w:t>2,487,342</w:t>
            </w:r>
          </w:p>
        </w:tc>
        <w:tc>
          <w:tcPr>
            <w:tcW w:w="2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line="223" w:lineRule="exact"/>
              <w:rPr>
                <w:sz w:val="20"/>
                <w:szCs w:val="20"/>
                <w:color w:val="auto"/>
              </w:rPr>
            </w:pPr>
            <w:r>
              <w:rPr>
                <w:rFonts w:ascii="Arial" w:cs="Arial" w:eastAsia="Arial" w:hAnsi="Arial"/>
                <w:sz w:val="20"/>
                <w:szCs w:val="20"/>
                <w:color w:val="auto"/>
              </w:rPr>
              <w:t>100.0</w:t>
            </w:r>
          </w:p>
        </w:tc>
        <w:tc>
          <w:tcPr>
            <w:tcW w:w="2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41"/>
              <w:spacing w:after="0" w:line="223" w:lineRule="exact"/>
              <w:rPr>
                <w:sz w:val="20"/>
                <w:szCs w:val="20"/>
                <w:color w:val="auto"/>
              </w:rPr>
            </w:pPr>
            <w:r>
              <w:rPr>
                <w:rFonts w:ascii="Arial" w:cs="Arial" w:eastAsia="Arial" w:hAnsi="Arial"/>
                <w:sz w:val="20"/>
                <w:szCs w:val="20"/>
                <w:color w:val="auto"/>
                <w:w w:val="71"/>
              </w:rPr>
              <w:t>$</w:t>
            </w:r>
          </w:p>
        </w:tc>
        <w:tc>
          <w:tcPr>
            <w:tcW w:w="1240" w:type="dxa"/>
            <w:vAlign w:val="bottom"/>
            <w:tcBorders>
              <w:bottom w:val="single" w:sz="8" w:color="auto"/>
            </w:tcBorders>
            <w:shd w:val="clear" w:color="auto" w:fill="CFF0FC"/>
          </w:tcPr>
          <w:p>
            <w:pPr>
              <w:jc w:val="right"/>
              <w:spacing w:after="0" w:line="223" w:lineRule="exact"/>
              <w:rPr>
                <w:sz w:val="20"/>
                <w:szCs w:val="20"/>
                <w:color w:val="auto"/>
              </w:rPr>
            </w:pPr>
            <w:r>
              <w:rPr>
                <w:rFonts w:ascii="Arial" w:cs="Arial" w:eastAsia="Arial" w:hAnsi="Arial"/>
                <w:sz w:val="20"/>
                <w:szCs w:val="20"/>
                <w:color w:val="auto"/>
              </w:rPr>
              <w:t>1,899,557</w:t>
            </w:r>
          </w:p>
        </w:tc>
        <w:tc>
          <w:tcPr>
            <w:tcW w:w="2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line="223" w:lineRule="exact"/>
              <w:rPr>
                <w:sz w:val="20"/>
                <w:szCs w:val="20"/>
                <w:color w:val="auto"/>
              </w:rPr>
            </w:pPr>
            <w:r>
              <w:rPr>
                <w:rFonts w:ascii="Arial" w:cs="Arial" w:eastAsia="Arial" w:hAnsi="Arial"/>
                <w:sz w:val="20"/>
                <w:szCs w:val="20"/>
                <w:color w:val="auto"/>
              </w:rPr>
              <w:t>100.0</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680" w:type="dxa"/>
            <w:vAlign w:val="bottom"/>
            <w:shd w:val="clear" w:color="auto" w:fill="CFF0FC"/>
          </w:tcPr>
          <w:p>
            <w:pPr>
              <w:spacing w:after="0"/>
              <w:rPr>
                <w:sz w:val="20"/>
                <w:szCs w:val="20"/>
                <w:color w:val="auto"/>
              </w:rPr>
            </w:pPr>
            <w:r>
              <w:rPr>
                <w:rFonts w:ascii="Arial" w:cs="Arial" w:eastAsia="Arial" w:hAnsi="Arial"/>
                <w:sz w:val="20"/>
                <w:szCs w:val="20"/>
                <w:b w:val="1"/>
                <w:bCs w:val="1"/>
                <w:color w:val="auto"/>
              </w:rPr>
              <w:t>Gross profit (loss):</w:t>
            </w:r>
          </w:p>
        </w:tc>
        <w:tc>
          <w:tcPr>
            <w:tcW w:w="26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20"/>
                <w:szCs w:val="20"/>
                <w:color w:val="auto"/>
              </w:rPr>
              <w:t>Heritage:</w:t>
            </w: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80" w:type="dxa"/>
            <w:vAlign w:val="bottom"/>
            <w:shd w:val="clear" w:color="auto" w:fill="CFF0FC"/>
          </w:tcPr>
          <w:p>
            <w:pPr>
              <w:ind w:left="480"/>
              <w:spacing w:after="0"/>
              <w:rPr>
                <w:sz w:val="20"/>
                <w:szCs w:val="20"/>
                <w:color w:val="auto"/>
              </w:rPr>
            </w:pPr>
            <w:r>
              <w:rPr>
                <w:rFonts w:ascii="Arial" w:cs="Arial" w:eastAsia="Arial" w:hAnsi="Arial"/>
                <w:sz w:val="20"/>
                <w:szCs w:val="20"/>
                <w:color w:val="auto"/>
              </w:rPr>
              <w:t>Mid-America Group</w:t>
            </w:r>
          </w:p>
        </w:tc>
        <w:tc>
          <w:tcPr>
            <w:tcW w:w="26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w w:val="71"/>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184,529</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29.3</w:t>
            </w:r>
          </w:p>
        </w:tc>
        <w:tc>
          <w:tcPr>
            <w:tcW w:w="460" w:type="dxa"/>
            <w:vAlign w:val="bottom"/>
            <w:gridSpan w:val="2"/>
            <w:shd w:val="clear" w:color="auto" w:fill="CFF0FC"/>
          </w:tcPr>
          <w:p>
            <w:pPr>
              <w:jc w:val="right"/>
              <w:ind w:right="41"/>
              <w:spacing w:after="0"/>
              <w:rPr>
                <w:sz w:val="20"/>
                <w:szCs w:val="20"/>
                <w:color w:val="auto"/>
              </w:rPr>
            </w:pPr>
            <w:r>
              <w:rPr>
                <w:rFonts w:ascii="Arial" w:cs="Arial" w:eastAsia="Arial" w:hAnsi="Arial"/>
                <w:sz w:val="20"/>
                <w:szCs w:val="20"/>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149,975</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26.3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80" w:type="dxa"/>
            <w:vAlign w:val="bottom"/>
          </w:tcPr>
          <w:p>
            <w:pPr>
              <w:ind w:left="480"/>
              <w:spacing w:after="0"/>
              <w:rPr>
                <w:sz w:val="20"/>
                <w:szCs w:val="20"/>
                <w:color w:val="auto"/>
              </w:rPr>
            </w:pPr>
            <w:r>
              <w:rPr>
                <w:rFonts w:ascii="Arial" w:cs="Arial" w:eastAsia="Arial" w:hAnsi="Arial"/>
                <w:sz w:val="20"/>
                <w:szCs w:val="20"/>
                <w:color w:val="auto"/>
              </w:rPr>
              <w:t>Southeast Group</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24,060</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11.2</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4,836</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80" w:type="dxa"/>
            <w:vAlign w:val="bottom"/>
            <w:shd w:val="clear" w:color="auto" w:fill="CFF0FC"/>
          </w:tcPr>
          <w:p>
            <w:pPr>
              <w:ind w:left="480"/>
              <w:spacing w:after="0"/>
              <w:rPr>
                <w:sz w:val="20"/>
                <w:szCs w:val="20"/>
                <w:color w:val="auto"/>
              </w:rPr>
            </w:pPr>
            <w:r>
              <w:rPr>
                <w:rFonts w:ascii="Arial" w:cs="Arial" w:eastAsia="Arial" w:hAnsi="Arial"/>
                <w:sz w:val="20"/>
                <w:szCs w:val="20"/>
                <w:color w:val="auto"/>
              </w:rPr>
              <w:t>West Group</w:t>
            </w:r>
          </w:p>
        </w:tc>
        <w:tc>
          <w:tcPr>
            <w:tcW w:w="26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158,049</w:t>
            </w:r>
          </w:p>
        </w:tc>
        <w:tc>
          <w:tcPr>
            <w:tcW w:w="26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21.9</w:t>
            </w:r>
          </w:p>
        </w:tc>
        <w:tc>
          <w:tcPr>
            <w:tcW w:w="2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106,695</w:t>
            </w:r>
          </w:p>
        </w:tc>
        <w:tc>
          <w:tcPr>
            <w:tcW w:w="2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15.6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Pr>
          <w:p>
            <w:pPr>
              <w:ind w:left="240"/>
              <w:spacing w:after="0" w:line="223" w:lineRule="exact"/>
              <w:rPr>
                <w:sz w:val="20"/>
                <w:szCs w:val="20"/>
                <w:color w:val="auto"/>
              </w:rPr>
            </w:pPr>
            <w:r>
              <w:rPr>
                <w:rFonts w:ascii="Arial" w:cs="Arial" w:eastAsia="Arial" w:hAnsi="Arial"/>
                <w:sz w:val="20"/>
                <w:szCs w:val="20"/>
                <w:color w:val="auto"/>
              </w:rPr>
              <w:t>Total Heritage Aggregates Business</w:t>
            </w:r>
          </w:p>
        </w:tc>
        <w:tc>
          <w:tcPr>
            <w:tcW w:w="260" w:type="dxa"/>
            <w:vAlign w:val="bottom"/>
          </w:tcPr>
          <w:p>
            <w:pPr>
              <w:spacing w:after="0"/>
              <w:rPr>
                <w:sz w:val="19"/>
                <w:szCs w:val="19"/>
                <w:color w:val="auto"/>
              </w:rPr>
            </w:pPr>
          </w:p>
        </w:tc>
        <w:tc>
          <w:tcPr>
            <w:tcW w:w="1240" w:type="dxa"/>
            <w:vAlign w:val="bottom"/>
          </w:tcPr>
          <w:p>
            <w:pPr>
              <w:jc w:val="right"/>
              <w:spacing w:after="0" w:line="223" w:lineRule="exact"/>
              <w:rPr>
                <w:sz w:val="20"/>
                <w:szCs w:val="20"/>
                <w:color w:val="auto"/>
              </w:rPr>
            </w:pPr>
            <w:r>
              <w:rPr>
                <w:rFonts w:ascii="Arial" w:cs="Arial" w:eastAsia="Arial" w:hAnsi="Arial"/>
                <w:sz w:val="20"/>
                <w:szCs w:val="20"/>
                <w:color w:val="auto"/>
              </w:rPr>
              <w:t>366,638</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spacing w:after="0" w:line="223" w:lineRule="exact"/>
              <w:rPr>
                <w:sz w:val="20"/>
                <w:szCs w:val="20"/>
                <w:color w:val="auto"/>
              </w:rPr>
            </w:pPr>
            <w:r>
              <w:rPr>
                <w:rFonts w:ascii="Arial" w:cs="Arial" w:eastAsia="Arial" w:hAnsi="Arial"/>
                <w:sz w:val="20"/>
                <w:szCs w:val="20"/>
                <w:color w:val="auto"/>
              </w:rPr>
              <w:t>23.4</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line="223" w:lineRule="exact"/>
              <w:rPr>
                <w:sz w:val="20"/>
                <w:szCs w:val="20"/>
                <w:color w:val="auto"/>
              </w:rPr>
            </w:pPr>
            <w:r>
              <w:rPr>
                <w:rFonts w:ascii="Arial" w:cs="Arial" w:eastAsia="Arial" w:hAnsi="Arial"/>
                <w:sz w:val="20"/>
                <w:szCs w:val="20"/>
                <w:color w:val="auto"/>
              </w:rPr>
              <w:t>261,506</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line="223" w:lineRule="exact"/>
              <w:rPr>
                <w:sz w:val="20"/>
                <w:szCs w:val="20"/>
                <w:color w:val="auto"/>
              </w:rPr>
            </w:pPr>
            <w:r>
              <w:rPr>
                <w:rFonts w:ascii="Arial" w:cs="Arial" w:eastAsia="Arial" w:hAnsi="Arial"/>
                <w:sz w:val="20"/>
                <w:szCs w:val="20"/>
                <w:color w:val="auto"/>
              </w:rPr>
              <w:t>18.1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80" w:type="dxa"/>
            <w:vAlign w:val="bottom"/>
            <w:shd w:val="clear" w:color="auto" w:fill="CFF0FC"/>
          </w:tcPr>
          <w:p>
            <w:pPr>
              <w:ind w:left="240"/>
              <w:spacing w:after="0"/>
              <w:rPr>
                <w:sz w:val="20"/>
                <w:szCs w:val="20"/>
                <w:color w:val="auto"/>
              </w:rPr>
            </w:pPr>
            <w:r>
              <w:rPr>
                <w:rFonts w:ascii="Arial" w:cs="Arial" w:eastAsia="Arial" w:hAnsi="Arial"/>
                <w:sz w:val="20"/>
                <w:szCs w:val="20"/>
                <w:color w:val="auto"/>
              </w:rPr>
              <w:t>Magnesia Specialties</w:t>
            </w:r>
          </w:p>
        </w:tc>
        <w:tc>
          <w:tcPr>
            <w:tcW w:w="2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60,793</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34.4</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62,192</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35.0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80" w:type="dxa"/>
            <w:vAlign w:val="bottom"/>
          </w:tcPr>
          <w:p>
            <w:pPr>
              <w:ind w:left="240"/>
              <w:spacing w:after="0"/>
              <w:rPr>
                <w:sz w:val="20"/>
                <w:szCs w:val="20"/>
                <w:color w:val="auto"/>
              </w:rPr>
            </w:pPr>
            <w:r>
              <w:rPr>
                <w:rFonts w:ascii="Arial" w:cs="Arial" w:eastAsia="Arial" w:hAnsi="Arial"/>
                <w:sz w:val="20"/>
                <w:szCs w:val="20"/>
                <w:color w:val="auto"/>
              </w:rPr>
              <w:t>Corporate</w:t>
            </w:r>
          </w:p>
        </w:tc>
        <w:tc>
          <w:tcPr>
            <w:tcW w:w="26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20"/>
                <w:szCs w:val="20"/>
                <w:color w:val="auto"/>
              </w:rPr>
              <w:t>(14,835)</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20"/>
                <w:szCs w:val="20"/>
                <w:color w:val="auto"/>
              </w:rPr>
              <w:t>(291)</w:t>
            </w:r>
          </w:p>
        </w:tc>
        <w:tc>
          <w:tcPr>
            <w:tcW w:w="20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Borders>
              <w:top w:val="single" w:sz="8" w:color="CFF0FC"/>
            </w:tcBorders>
            <w:shd w:val="clear" w:color="auto" w:fill="CFF0FC"/>
          </w:tcPr>
          <w:p>
            <w:pPr>
              <w:spacing w:after="0" w:line="223" w:lineRule="exact"/>
              <w:rPr>
                <w:sz w:val="20"/>
                <w:szCs w:val="20"/>
                <w:color w:val="auto"/>
              </w:rPr>
            </w:pPr>
            <w:r>
              <w:rPr>
                <w:rFonts w:ascii="Arial" w:cs="Arial" w:eastAsia="Arial" w:hAnsi="Arial"/>
                <w:sz w:val="20"/>
                <w:szCs w:val="20"/>
                <w:color w:val="auto"/>
              </w:rPr>
              <w:t>Total Heritage Consolidated</w:t>
            </w: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1240" w:type="dxa"/>
            <w:vAlign w:val="bottom"/>
            <w:tcBorders>
              <w:top w:val="single" w:sz="8" w:color="auto"/>
              <w:bottom w:val="single" w:sz="8" w:color="auto"/>
            </w:tcBorders>
            <w:shd w:val="clear" w:color="auto" w:fill="CFF0FC"/>
          </w:tcPr>
          <w:p>
            <w:pPr>
              <w:jc w:val="right"/>
              <w:spacing w:after="0" w:line="223" w:lineRule="exact"/>
              <w:rPr>
                <w:sz w:val="20"/>
                <w:szCs w:val="20"/>
                <w:color w:val="auto"/>
              </w:rPr>
            </w:pPr>
            <w:r>
              <w:rPr>
                <w:rFonts w:ascii="Arial" w:cs="Arial" w:eastAsia="Arial" w:hAnsi="Arial"/>
                <w:sz w:val="20"/>
                <w:szCs w:val="20"/>
                <w:color w:val="auto"/>
              </w:rPr>
              <w:t>412,596</w:t>
            </w:r>
          </w:p>
        </w:tc>
        <w:tc>
          <w:tcPr>
            <w:tcW w:w="2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380" w:type="dxa"/>
            <w:vAlign w:val="bottom"/>
            <w:tcBorders>
              <w:top w:val="single" w:sz="8" w:color="auto"/>
              <w:bottom w:val="single" w:sz="8" w:color="auto"/>
            </w:tcBorders>
            <w:shd w:val="clear" w:color="auto" w:fill="CFF0FC"/>
          </w:tcPr>
          <w:p>
            <w:pPr>
              <w:jc w:val="right"/>
              <w:spacing w:after="0" w:line="223" w:lineRule="exact"/>
              <w:rPr>
                <w:sz w:val="20"/>
                <w:szCs w:val="20"/>
                <w:color w:val="auto"/>
              </w:rPr>
            </w:pPr>
            <w:r>
              <w:rPr>
                <w:rFonts w:ascii="Arial" w:cs="Arial" w:eastAsia="Arial" w:hAnsi="Arial"/>
                <w:sz w:val="20"/>
                <w:szCs w:val="20"/>
                <w:color w:val="auto"/>
              </w:rPr>
              <w:t>23.6</w:t>
            </w: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1240" w:type="dxa"/>
            <w:vAlign w:val="bottom"/>
            <w:tcBorders>
              <w:top w:val="single" w:sz="8" w:color="auto"/>
              <w:bottom w:val="single" w:sz="8" w:color="auto"/>
            </w:tcBorders>
            <w:shd w:val="clear" w:color="auto" w:fill="CFF0FC"/>
          </w:tcPr>
          <w:p>
            <w:pPr>
              <w:jc w:val="right"/>
              <w:spacing w:after="0" w:line="223" w:lineRule="exact"/>
              <w:rPr>
                <w:sz w:val="20"/>
                <w:szCs w:val="20"/>
                <w:color w:val="auto"/>
              </w:rPr>
            </w:pPr>
            <w:r>
              <w:rPr>
                <w:rFonts w:ascii="Arial" w:cs="Arial" w:eastAsia="Arial" w:hAnsi="Arial"/>
                <w:sz w:val="20"/>
                <w:szCs w:val="20"/>
                <w:color w:val="auto"/>
              </w:rPr>
              <w:t>323,407</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260" w:type="dxa"/>
            <w:vAlign w:val="bottom"/>
            <w:tcBorders>
              <w:top w:val="single" w:sz="8" w:color="auto"/>
              <w:bottom w:val="single" w:sz="8" w:color="auto"/>
            </w:tcBorders>
            <w:shd w:val="clear" w:color="auto" w:fill="CFF0FC"/>
          </w:tcPr>
          <w:p>
            <w:pPr>
              <w:jc w:val="right"/>
              <w:spacing w:after="0" w:line="223" w:lineRule="exact"/>
              <w:rPr>
                <w:sz w:val="20"/>
                <w:szCs w:val="20"/>
                <w:color w:val="auto"/>
              </w:rPr>
            </w:pPr>
            <w:r>
              <w:rPr>
                <w:rFonts w:ascii="Arial" w:cs="Arial" w:eastAsia="Arial" w:hAnsi="Arial"/>
                <w:sz w:val="20"/>
                <w:szCs w:val="20"/>
                <w:color w:val="auto"/>
              </w:rPr>
              <w:t>19.9</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Pr>
          <w:p>
            <w:pPr>
              <w:spacing w:after="0" w:line="223" w:lineRule="exact"/>
              <w:rPr>
                <w:sz w:val="20"/>
                <w:szCs w:val="20"/>
                <w:color w:val="auto"/>
              </w:rPr>
            </w:pPr>
            <w:r>
              <w:rPr>
                <w:rFonts w:ascii="Arial" w:cs="Arial" w:eastAsia="Arial" w:hAnsi="Arial"/>
                <w:sz w:val="20"/>
                <w:szCs w:val="20"/>
                <w:color w:val="auto"/>
              </w:rPr>
              <w:t>Acquisitions:</w:t>
            </w: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80" w:type="dxa"/>
            <w:vAlign w:val="bottom"/>
            <w:shd w:val="clear" w:color="auto" w:fill="CFF0FC"/>
          </w:tcPr>
          <w:p>
            <w:pPr>
              <w:ind w:left="240"/>
              <w:spacing w:after="0"/>
              <w:rPr>
                <w:sz w:val="20"/>
                <w:szCs w:val="20"/>
                <w:color w:val="auto"/>
              </w:rPr>
            </w:pPr>
            <w:r>
              <w:rPr>
                <w:rFonts w:ascii="Arial" w:cs="Arial" w:eastAsia="Arial" w:hAnsi="Arial"/>
                <w:sz w:val="20"/>
                <w:szCs w:val="20"/>
                <w:color w:val="auto"/>
              </w:rPr>
              <w:t>Aggregates Business – Mid-America Group</w:t>
            </w:r>
          </w:p>
        </w:tc>
        <w:tc>
          <w:tcPr>
            <w:tcW w:w="2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179</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9.0</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60" w:type="dxa"/>
            <w:vAlign w:val="bottom"/>
            <w:gridSpan w:val="3"/>
            <w:shd w:val="clear" w:color="auto" w:fill="CFF0FC"/>
          </w:tcPr>
          <w:p>
            <w:pPr>
              <w:jc w:val="right"/>
              <w:ind w:right="440"/>
              <w:spacing w:after="0"/>
              <w:rPr>
                <w:sz w:val="20"/>
                <w:szCs w:val="20"/>
                <w:color w:val="auto"/>
              </w:rPr>
            </w:pPr>
            <w:r>
              <w:rPr>
                <w:rFonts w:ascii="Arial" w:cs="Arial" w:eastAsia="Arial" w:hAnsi="Arial"/>
                <w:sz w:val="20"/>
                <w:szCs w:val="20"/>
                <w:color w:val="auto"/>
              </w:rPr>
              <w:t>—</w:t>
            </w:r>
          </w:p>
        </w:tc>
        <w:tc>
          <w:tcPr>
            <w:tcW w:w="1360" w:type="dxa"/>
            <w:vAlign w:val="bottom"/>
            <w:gridSpan w:val="2"/>
            <w:shd w:val="clear" w:color="auto" w:fill="CFF0FC"/>
          </w:tcPr>
          <w:p>
            <w:pPr>
              <w:jc w:val="right"/>
              <w:ind w:right="10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80" w:type="dxa"/>
            <w:vAlign w:val="bottom"/>
          </w:tcPr>
          <w:p>
            <w:pPr>
              <w:ind w:left="240"/>
              <w:spacing w:after="0"/>
              <w:rPr>
                <w:sz w:val="20"/>
                <w:szCs w:val="20"/>
                <w:color w:val="auto"/>
              </w:rPr>
            </w:pPr>
            <w:r>
              <w:rPr>
                <w:rFonts w:ascii="Arial" w:cs="Arial" w:eastAsia="Arial" w:hAnsi="Arial"/>
                <w:sz w:val="20"/>
                <w:szCs w:val="20"/>
                <w:color w:val="auto"/>
              </w:rPr>
              <w:t>Aggregates Business – West Group</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38,192</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8.8</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9,983</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80" w:type="dxa"/>
            <w:vAlign w:val="bottom"/>
            <w:shd w:val="clear" w:color="auto" w:fill="CFF0FC"/>
          </w:tcPr>
          <w:p>
            <w:pPr>
              <w:ind w:left="240"/>
              <w:spacing w:after="0"/>
              <w:rPr>
                <w:sz w:val="20"/>
                <w:szCs w:val="20"/>
                <w:color w:val="auto"/>
              </w:rPr>
            </w:pPr>
            <w:r>
              <w:rPr>
                <w:rFonts w:ascii="Arial" w:cs="Arial" w:eastAsia="Arial" w:hAnsi="Arial"/>
                <w:sz w:val="20"/>
                <w:szCs w:val="20"/>
                <w:color w:val="auto"/>
              </w:rPr>
              <w:t>Cement</w:t>
            </w:r>
          </w:p>
        </w:tc>
        <w:tc>
          <w:tcPr>
            <w:tcW w:w="2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87,644</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28.5</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24,194</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22.1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80" w:type="dxa"/>
            <w:vAlign w:val="bottom"/>
          </w:tcPr>
          <w:p>
            <w:pPr>
              <w:ind w:left="240"/>
              <w:spacing w:after="0"/>
              <w:rPr>
                <w:sz w:val="20"/>
                <w:szCs w:val="20"/>
                <w:color w:val="auto"/>
              </w:rPr>
            </w:pPr>
            <w:r>
              <w:rPr>
                <w:rFonts w:ascii="Arial" w:cs="Arial" w:eastAsia="Arial" w:hAnsi="Arial"/>
                <w:sz w:val="20"/>
                <w:szCs w:val="20"/>
                <w:color w:val="auto"/>
              </w:rPr>
              <w:t>Corporate</w:t>
            </w:r>
          </w:p>
        </w:tc>
        <w:tc>
          <w:tcPr>
            <w:tcW w:w="26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20"/>
                <w:szCs w:val="20"/>
                <w:color w:val="auto"/>
              </w:rPr>
              <w:t>(1,693)</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20"/>
                <w:szCs w:val="20"/>
                <w:color w:val="auto"/>
              </w:rPr>
              <w:t>(554)</w:t>
            </w:r>
          </w:p>
        </w:tc>
        <w:tc>
          <w:tcPr>
            <w:tcW w:w="20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Borders>
              <w:top w:val="single" w:sz="8" w:color="CFF0FC"/>
            </w:tcBorders>
            <w:shd w:val="clear" w:color="auto" w:fill="CFF0FC"/>
          </w:tcPr>
          <w:p>
            <w:pPr>
              <w:spacing w:after="0" w:line="223" w:lineRule="exact"/>
              <w:rPr>
                <w:sz w:val="20"/>
                <w:szCs w:val="20"/>
                <w:color w:val="auto"/>
              </w:rPr>
            </w:pPr>
            <w:r>
              <w:rPr>
                <w:rFonts w:ascii="Arial" w:cs="Arial" w:eastAsia="Arial" w:hAnsi="Arial"/>
                <w:sz w:val="20"/>
                <w:szCs w:val="20"/>
                <w:color w:val="auto"/>
              </w:rPr>
              <w:t>Total Acquisitions</w:t>
            </w: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1240" w:type="dxa"/>
            <w:vAlign w:val="bottom"/>
            <w:tcBorders>
              <w:top w:val="single" w:sz="8" w:color="auto"/>
              <w:bottom w:val="single" w:sz="8" w:color="auto"/>
            </w:tcBorders>
            <w:shd w:val="clear" w:color="auto" w:fill="CFF0FC"/>
          </w:tcPr>
          <w:p>
            <w:pPr>
              <w:jc w:val="right"/>
              <w:spacing w:after="0" w:line="223" w:lineRule="exact"/>
              <w:rPr>
                <w:sz w:val="20"/>
                <w:szCs w:val="20"/>
                <w:color w:val="auto"/>
              </w:rPr>
            </w:pPr>
            <w:r>
              <w:rPr>
                <w:rFonts w:ascii="Arial" w:cs="Arial" w:eastAsia="Arial" w:hAnsi="Arial"/>
                <w:sz w:val="20"/>
                <w:szCs w:val="20"/>
                <w:color w:val="auto"/>
              </w:rPr>
              <w:t>124,322</w:t>
            </w:r>
          </w:p>
        </w:tc>
        <w:tc>
          <w:tcPr>
            <w:tcW w:w="2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380" w:type="dxa"/>
            <w:vAlign w:val="bottom"/>
            <w:tcBorders>
              <w:top w:val="single" w:sz="8" w:color="auto"/>
              <w:bottom w:val="single" w:sz="8" w:color="auto"/>
            </w:tcBorders>
            <w:shd w:val="clear" w:color="auto" w:fill="CFF0FC"/>
          </w:tcPr>
          <w:p>
            <w:pPr>
              <w:jc w:val="right"/>
              <w:spacing w:after="0" w:line="223" w:lineRule="exact"/>
              <w:rPr>
                <w:sz w:val="20"/>
                <w:szCs w:val="20"/>
                <w:color w:val="auto"/>
              </w:rPr>
            </w:pPr>
            <w:r>
              <w:rPr>
                <w:rFonts w:ascii="Arial" w:cs="Arial" w:eastAsia="Arial" w:hAnsi="Arial"/>
                <w:sz w:val="20"/>
                <w:szCs w:val="20"/>
                <w:color w:val="auto"/>
              </w:rPr>
              <w:t>16.7</w:t>
            </w: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1240" w:type="dxa"/>
            <w:vAlign w:val="bottom"/>
            <w:tcBorders>
              <w:top w:val="single" w:sz="8" w:color="auto"/>
              <w:bottom w:val="single" w:sz="8" w:color="auto"/>
            </w:tcBorders>
            <w:shd w:val="clear" w:color="auto" w:fill="CFF0FC"/>
          </w:tcPr>
          <w:p>
            <w:pPr>
              <w:jc w:val="right"/>
              <w:spacing w:after="0" w:line="223" w:lineRule="exact"/>
              <w:rPr>
                <w:sz w:val="20"/>
                <w:szCs w:val="20"/>
                <w:color w:val="auto"/>
              </w:rPr>
            </w:pPr>
            <w:r>
              <w:rPr>
                <w:rFonts w:ascii="Arial" w:cs="Arial" w:eastAsia="Arial" w:hAnsi="Arial"/>
                <w:sz w:val="20"/>
                <w:szCs w:val="20"/>
                <w:color w:val="auto"/>
              </w:rPr>
              <w:t>33,623</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260" w:type="dxa"/>
            <w:vAlign w:val="bottom"/>
            <w:tcBorders>
              <w:top w:val="single" w:sz="8" w:color="auto"/>
              <w:bottom w:val="single" w:sz="8" w:color="auto"/>
            </w:tcBorders>
            <w:shd w:val="clear" w:color="auto" w:fill="CFF0FC"/>
          </w:tcPr>
          <w:p>
            <w:pPr>
              <w:jc w:val="right"/>
              <w:spacing w:after="0" w:line="223" w:lineRule="exact"/>
              <w:rPr>
                <w:sz w:val="20"/>
                <w:szCs w:val="20"/>
                <w:color w:val="auto"/>
              </w:rPr>
            </w:pPr>
            <w:r>
              <w:rPr>
                <w:rFonts w:ascii="Arial" w:cs="Arial" w:eastAsia="Arial" w:hAnsi="Arial"/>
                <w:sz w:val="20"/>
                <w:szCs w:val="20"/>
                <w:color w:val="auto"/>
              </w:rPr>
              <w:t>12.3</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Pr>
          <w:p>
            <w:pPr>
              <w:spacing w:after="0" w:line="223" w:lineRule="exact"/>
              <w:rPr>
                <w:sz w:val="20"/>
                <w:szCs w:val="20"/>
                <w:color w:val="auto"/>
              </w:rPr>
            </w:pPr>
            <w:r>
              <w:rPr>
                <w:rFonts w:ascii="Arial" w:cs="Arial" w:eastAsia="Arial" w:hAnsi="Arial"/>
                <w:sz w:val="20"/>
                <w:szCs w:val="20"/>
                <w:color w:val="auto"/>
              </w:rPr>
              <w:t>Total</w:t>
            </w:r>
          </w:p>
        </w:tc>
        <w:tc>
          <w:tcPr>
            <w:tcW w:w="260" w:type="dxa"/>
            <w:vAlign w:val="bottom"/>
            <w:tcBorders>
              <w:bottom w:val="single" w:sz="8" w:color="auto"/>
            </w:tcBorders>
          </w:tcPr>
          <w:p>
            <w:pPr>
              <w:jc w:val="right"/>
              <w:ind w:right="61"/>
              <w:spacing w:after="0" w:line="223" w:lineRule="exact"/>
              <w:rPr>
                <w:sz w:val="20"/>
                <w:szCs w:val="20"/>
                <w:color w:val="auto"/>
              </w:rPr>
            </w:pPr>
            <w:r>
              <w:rPr>
                <w:rFonts w:ascii="Arial" w:cs="Arial" w:eastAsia="Arial" w:hAnsi="Arial"/>
                <w:sz w:val="20"/>
                <w:szCs w:val="20"/>
                <w:color w:val="auto"/>
                <w:w w:val="71"/>
              </w:rPr>
              <w:t>$</w:t>
            </w:r>
          </w:p>
        </w:tc>
        <w:tc>
          <w:tcPr>
            <w:tcW w:w="124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536,918</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21.6</w:t>
            </w:r>
          </w:p>
        </w:tc>
        <w:tc>
          <w:tcPr>
            <w:tcW w:w="220" w:type="dxa"/>
            <w:vAlign w:val="bottom"/>
          </w:tcPr>
          <w:p>
            <w:pPr>
              <w:spacing w:after="0"/>
              <w:rPr>
                <w:sz w:val="19"/>
                <w:szCs w:val="19"/>
                <w:color w:val="auto"/>
              </w:rPr>
            </w:pPr>
          </w:p>
        </w:tc>
        <w:tc>
          <w:tcPr>
            <w:tcW w:w="240" w:type="dxa"/>
            <w:vAlign w:val="bottom"/>
            <w:tcBorders>
              <w:bottom w:val="single" w:sz="8" w:color="auto"/>
            </w:tcBorders>
          </w:tcPr>
          <w:p>
            <w:pPr>
              <w:jc w:val="right"/>
              <w:ind w:right="41"/>
              <w:spacing w:after="0" w:line="223" w:lineRule="exact"/>
              <w:rPr>
                <w:sz w:val="20"/>
                <w:szCs w:val="20"/>
                <w:color w:val="auto"/>
              </w:rPr>
            </w:pPr>
            <w:r>
              <w:rPr>
                <w:rFonts w:ascii="Arial" w:cs="Arial" w:eastAsia="Arial" w:hAnsi="Arial"/>
                <w:sz w:val="20"/>
                <w:szCs w:val="20"/>
                <w:color w:val="auto"/>
                <w:w w:val="71"/>
              </w:rPr>
              <w:t>$</w:t>
            </w:r>
          </w:p>
        </w:tc>
        <w:tc>
          <w:tcPr>
            <w:tcW w:w="124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357,030</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18.8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44 of 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4" w:name="page45"/>
    <w:bookmarkEnd w:id="44"/>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September 30, 2015</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rPr>
          <w:sz w:val="20"/>
          <w:szCs w:val="20"/>
          <w:color w:val="auto"/>
        </w:rPr>
      </w:pPr>
      <w:r>
        <w:rPr>
          <w:rFonts w:ascii="Arial" w:cs="Arial" w:eastAsia="Arial" w:hAnsi="Arial"/>
          <w:sz w:val="20"/>
          <w:szCs w:val="20"/>
          <w:color w:val="auto"/>
        </w:rPr>
        <w:t>Third Quarter Ended September 30, 2015</w:t>
      </w:r>
    </w:p>
    <w:p>
      <w:pPr>
        <w:jc w:val="center"/>
        <w:spacing w:after="0"/>
        <w:rPr>
          <w:sz w:val="20"/>
          <w:szCs w:val="20"/>
          <w:color w:val="auto"/>
        </w:rPr>
      </w:pPr>
      <w:r>
        <w:rPr>
          <w:rFonts w:ascii="Arial" w:cs="Arial" w:eastAsia="Arial" w:hAnsi="Arial"/>
          <w:sz w:val="20"/>
          <w:szCs w:val="20"/>
          <w:color w:val="auto"/>
        </w:rPr>
        <w:t>(Continued)</w:t>
      </w: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20" w:type="dxa"/>
            <w:vAlign w:val="bottom"/>
          </w:tcPr>
          <w:p>
            <w:pPr>
              <w:spacing w:after="0"/>
              <w:rPr>
                <w:sz w:val="21"/>
                <w:szCs w:val="21"/>
                <w:color w:val="auto"/>
              </w:rPr>
            </w:pPr>
          </w:p>
        </w:tc>
        <w:tc>
          <w:tcPr>
            <w:tcW w:w="4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500" w:type="dxa"/>
            <w:vAlign w:val="bottom"/>
            <w:tcBorders>
              <w:bottom w:val="single" w:sz="8" w:color="auto"/>
            </w:tcBorders>
            <w:gridSpan w:val="7"/>
          </w:tcPr>
          <w:p>
            <w:pPr>
              <w:jc w:val="center"/>
              <w:ind w:right="600"/>
              <w:spacing w:after="0"/>
              <w:rPr>
                <w:sz w:val="20"/>
                <w:szCs w:val="20"/>
                <w:color w:val="auto"/>
              </w:rPr>
            </w:pPr>
            <w:r>
              <w:rPr>
                <w:rFonts w:ascii="Arial" w:cs="Arial" w:eastAsia="Arial" w:hAnsi="Arial"/>
                <w:sz w:val="20"/>
                <w:szCs w:val="20"/>
                <w:color w:val="auto"/>
                <w:w w:val="88"/>
              </w:rPr>
              <w:t>Nine Months Ended September 30,</w:t>
            </w:r>
          </w:p>
        </w:tc>
        <w:tc>
          <w:tcPr>
            <w:tcW w:w="12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3"/>
          </w:tcPr>
          <w:p>
            <w:pPr>
              <w:jc w:val="right"/>
              <w:ind w:right="40"/>
              <w:spacing w:after="0" w:line="223" w:lineRule="exact"/>
              <w:rPr>
                <w:sz w:val="20"/>
                <w:szCs w:val="20"/>
                <w:color w:val="auto"/>
              </w:rPr>
            </w:pPr>
            <w:r>
              <w:rPr>
                <w:rFonts w:ascii="Arial" w:cs="Arial" w:eastAsia="Arial" w:hAnsi="Arial"/>
                <w:sz w:val="20"/>
                <w:szCs w:val="20"/>
                <w:color w:val="auto"/>
              </w:rPr>
              <w:t>2015</w:t>
            </w:r>
          </w:p>
        </w:tc>
        <w:tc>
          <w:tcPr>
            <w:tcW w:w="10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3"/>
          </w:tcPr>
          <w:p>
            <w:pPr>
              <w:jc w:val="right"/>
              <w:ind w:right="140"/>
              <w:spacing w:after="0" w:line="223" w:lineRule="exact"/>
              <w:rPr>
                <w:sz w:val="20"/>
                <w:szCs w:val="20"/>
                <w:color w:val="auto"/>
              </w:rPr>
            </w:pPr>
            <w:r>
              <w:rPr>
                <w:rFonts w:ascii="Arial" w:cs="Arial" w:eastAsia="Arial" w:hAnsi="Arial"/>
                <w:sz w:val="20"/>
                <w:szCs w:val="20"/>
                <w:color w:val="auto"/>
              </w:rPr>
              <w:t>2014</w:t>
            </w:r>
          </w:p>
        </w:tc>
        <w:tc>
          <w:tcPr>
            <w:tcW w:w="12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center"/>
              <w:ind w:left="141"/>
              <w:spacing w:after="0" w:line="207" w:lineRule="exact"/>
              <w:rPr>
                <w:sz w:val="20"/>
                <w:szCs w:val="20"/>
                <w:color w:val="auto"/>
              </w:rPr>
            </w:pPr>
            <w:r>
              <w:rPr>
                <w:rFonts w:ascii="Arial" w:cs="Arial" w:eastAsia="Arial" w:hAnsi="Arial"/>
                <w:sz w:val="20"/>
                <w:szCs w:val="20"/>
                <w:color w:val="auto"/>
                <w:w w:val="94"/>
              </w:rPr>
              <w:t>% of</w:t>
            </w: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jc w:val="center"/>
              <w:ind w:right="101"/>
              <w:spacing w:after="0" w:line="207" w:lineRule="exact"/>
              <w:rPr>
                <w:sz w:val="20"/>
                <w:szCs w:val="20"/>
                <w:color w:val="auto"/>
              </w:rPr>
            </w:pPr>
            <w:r>
              <w:rPr>
                <w:rFonts w:ascii="Arial" w:cs="Arial" w:eastAsia="Arial" w:hAnsi="Arial"/>
                <w:sz w:val="20"/>
                <w:szCs w:val="20"/>
                <w:color w:val="auto"/>
                <w:w w:val="94"/>
              </w:rPr>
              <w:t>% of</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4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0" w:type="dxa"/>
            <w:vAlign w:val="bottom"/>
            <w:gridSpan w:val="3"/>
          </w:tcPr>
          <w:p>
            <w:pPr>
              <w:jc w:val="right"/>
              <w:ind w:right="780"/>
              <w:spacing w:after="0"/>
              <w:rPr>
                <w:sz w:val="20"/>
                <w:szCs w:val="20"/>
                <w:color w:val="auto"/>
              </w:rPr>
            </w:pPr>
            <w:r>
              <w:rPr>
                <w:rFonts w:ascii="Arial" w:cs="Arial" w:eastAsia="Arial" w:hAnsi="Arial"/>
                <w:sz w:val="20"/>
                <w:szCs w:val="20"/>
                <w:color w:val="auto"/>
              </w:rPr>
              <w:t>Amount</w:t>
            </w:r>
          </w:p>
        </w:tc>
        <w:tc>
          <w:tcPr>
            <w:tcW w:w="1020" w:type="dxa"/>
            <w:vAlign w:val="bottom"/>
          </w:tcPr>
          <w:p>
            <w:pPr>
              <w:jc w:val="center"/>
              <w:ind w:left="141"/>
              <w:spacing w:after="0"/>
              <w:rPr>
                <w:sz w:val="20"/>
                <w:szCs w:val="20"/>
                <w:color w:val="auto"/>
              </w:rPr>
            </w:pPr>
            <w:r>
              <w:rPr>
                <w:rFonts w:ascii="Arial" w:cs="Arial" w:eastAsia="Arial" w:hAnsi="Arial"/>
                <w:sz w:val="20"/>
                <w:szCs w:val="20"/>
                <w:color w:val="auto"/>
                <w:w w:val="85"/>
              </w:rPr>
              <w:t>Net Sales</w:t>
            </w:r>
          </w:p>
        </w:tc>
        <w:tc>
          <w:tcPr>
            <w:tcW w:w="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60" w:type="dxa"/>
            <w:vAlign w:val="bottom"/>
            <w:gridSpan w:val="3"/>
          </w:tcPr>
          <w:p>
            <w:pPr>
              <w:jc w:val="right"/>
              <w:ind w:right="840"/>
              <w:spacing w:after="0"/>
              <w:rPr>
                <w:sz w:val="20"/>
                <w:szCs w:val="20"/>
                <w:color w:val="auto"/>
              </w:rPr>
            </w:pPr>
            <w:r>
              <w:rPr>
                <w:rFonts w:ascii="Arial" w:cs="Arial" w:eastAsia="Arial" w:hAnsi="Arial"/>
                <w:sz w:val="20"/>
                <w:szCs w:val="20"/>
                <w:color w:val="auto"/>
              </w:rPr>
              <w:t>Amount</w:t>
            </w:r>
          </w:p>
        </w:tc>
        <w:tc>
          <w:tcPr>
            <w:tcW w:w="1360" w:type="dxa"/>
            <w:vAlign w:val="bottom"/>
            <w:gridSpan w:val="2"/>
          </w:tcPr>
          <w:p>
            <w:pPr>
              <w:jc w:val="center"/>
              <w:ind w:right="320"/>
              <w:spacing w:after="0"/>
              <w:rPr>
                <w:sz w:val="20"/>
                <w:szCs w:val="20"/>
                <w:color w:val="auto"/>
              </w:rPr>
            </w:pPr>
            <w:r>
              <w:rPr>
                <w:rFonts w:ascii="Arial" w:cs="Arial" w:eastAsia="Arial" w:hAnsi="Arial"/>
                <w:sz w:val="20"/>
                <w:szCs w:val="20"/>
                <w:color w:val="auto"/>
                <w:w w:val="87"/>
              </w:rPr>
              <w:t>Net Sales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500" w:type="dxa"/>
            <w:vAlign w:val="bottom"/>
            <w:tcBorders>
              <w:top w:val="single" w:sz="8" w:color="auto"/>
            </w:tcBorders>
            <w:gridSpan w:val="7"/>
          </w:tcPr>
          <w:p>
            <w:pPr>
              <w:jc w:val="center"/>
              <w:ind w:right="600"/>
              <w:spacing w:after="0" w:line="223" w:lineRule="exact"/>
              <w:rPr>
                <w:sz w:val="20"/>
                <w:szCs w:val="20"/>
                <w:color w:val="auto"/>
              </w:rPr>
            </w:pPr>
            <w:r>
              <w:rPr>
                <w:rFonts w:ascii="Arial" w:cs="Arial" w:eastAsia="Arial" w:hAnsi="Arial"/>
                <w:sz w:val="20"/>
                <w:szCs w:val="20"/>
                <w:i w:val="1"/>
                <w:iCs w:val="1"/>
                <w:color w:val="auto"/>
                <w:w w:val="92"/>
              </w:rPr>
              <w:t>(Dollars in Thousands)</w:t>
            </w:r>
          </w:p>
        </w:tc>
        <w:tc>
          <w:tcPr>
            <w:tcW w:w="12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00" w:type="dxa"/>
            <w:vAlign w:val="bottom"/>
            <w:shd w:val="clear" w:color="auto" w:fill="CFF0FC"/>
          </w:tcPr>
          <w:p>
            <w:pPr>
              <w:spacing w:after="0"/>
              <w:rPr>
                <w:sz w:val="20"/>
                <w:szCs w:val="20"/>
                <w:color w:val="auto"/>
              </w:rPr>
            </w:pPr>
            <w:r>
              <w:rPr>
                <w:rFonts w:ascii="Arial" w:cs="Arial" w:eastAsia="Arial" w:hAnsi="Arial"/>
                <w:sz w:val="20"/>
                <w:szCs w:val="20"/>
                <w:b w:val="1"/>
                <w:bCs w:val="1"/>
                <w:color w:val="auto"/>
              </w:rPr>
              <w:t>Selling, general &amp; administrative expenses:</w:t>
            </w:r>
          </w:p>
        </w:tc>
        <w:tc>
          <w:tcPr>
            <w:tcW w:w="4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00" w:type="dxa"/>
            <w:vAlign w:val="bottom"/>
          </w:tcPr>
          <w:p>
            <w:pPr>
              <w:spacing w:after="0"/>
              <w:rPr>
                <w:sz w:val="20"/>
                <w:szCs w:val="20"/>
                <w:color w:val="auto"/>
              </w:rPr>
            </w:pPr>
            <w:r>
              <w:rPr>
                <w:rFonts w:ascii="Arial" w:cs="Arial" w:eastAsia="Arial" w:hAnsi="Arial"/>
                <w:sz w:val="20"/>
                <w:szCs w:val="20"/>
                <w:color w:val="auto"/>
              </w:rPr>
              <w:t>Heritage:</w:t>
            </w: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00" w:type="dxa"/>
            <w:vAlign w:val="bottom"/>
            <w:shd w:val="clear" w:color="auto" w:fill="CFF0FC"/>
          </w:tcPr>
          <w:p>
            <w:pPr>
              <w:ind w:left="480"/>
              <w:spacing w:after="0"/>
              <w:rPr>
                <w:sz w:val="20"/>
                <w:szCs w:val="20"/>
                <w:color w:val="auto"/>
              </w:rPr>
            </w:pPr>
            <w:r>
              <w:rPr>
                <w:rFonts w:ascii="Arial" w:cs="Arial" w:eastAsia="Arial" w:hAnsi="Arial"/>
                <w:sz w:val="20"/>
                <w:szCs w:val="20"/>
                <w:color w:val="auto"/>
              </w:rPr>
              <w:t>Mid-America Group</w:t>
            </w:r>
          </w:p>
        </w:tc>
        <w:tc>
          <w:tcPr>
            <w:tcW w:w="740" w:type="dxa"/>
            <w:vAlign w:val="bottom"/>
            <w:gridSpan w:val="2"/>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39,187</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41"/>
              <w:spacing w:after="0"/>
              <w:rPr>
                <w:sz w:val="20"/>
                <w:szCs w:val="20"/>
                <w:color w:val="auto"/>
              </w:rPr>
            </w:pPr>
            <w:r>
              <w:rPr>
                <w:rFonts w:ascii="Arial" w:cs="Arial" w:eastAsia="Arial" w:hAnsi="Arial"/>
                <w:sz w:val="20"/>
                <w:szCs w:val="20"/>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39,068</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00" w:type="dxa"/>
            <w:vAlign w:val="bottom"/>
          </w:tcPr>
          <w:p>
            <w:pPr>
              <w:ind w:left="480"/>
              <w:spacing w:after="0"/>
              <w:rPr>
                <w:sz w:val="20"/>
                <w:szCs w:val="20"/>
                <w:color w:val="auto"/>
              </w:rPr>
            </w:pPr>
            <w:r>
              <w:rPr>
                <w:rFonts w:ascii="Arial" w:cs="Arial" w:eastAsia="Arial" w:hAnsi="Arial"/>
                <w:sz w:val="20"/>
                <w:szCs w:val="20"/>
                <w:color w:val="auto"/>
              </w:rPr>
              <w:t>Southeast Group</w:t>
            </w: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13,307</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13,221</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00" w:type="dxa"/>
            <w:vAlign w:val="bottom"/>
            <w:shd w:val="clear" w:color="auto" w:fill="CFF0FC"/>
          </w:tcPr>
          <w:p>
            <w:pPr>
              <w:ind w:left="480"/>
              <w:spacing w:after="0"/>
              <w:rPr>
                <w:sz w:val="20"/>
                <w:szCs w:val="20"/>
                <w:color w:val="auto"/>
              </w:rPr>
            </w:pPr>
            <w:r>
              <w:rPr>
                <w:rFonts w:ascii="Arial" w:cs="Arial" w:eastAsia="Arial" w:hAnsi="Arial"/>
                <w:sz w:val="20"/>
                <w:szCs w:val="20"/>
                <w:color w:val="auto"/>
              </w:rPr>
              <w:t>West Group</w:t>
            </w:r>
          </w:p>
        </w:tc>
        <w:tc>
          <w:tcPr>
            <w:tcW w:w="4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34,054</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32,493</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00" w:type="dxa"/>
            <w:vAlign w:val="bottom"/>
          </w:tcPr>
          <w:p>
            <w:pPr>
              <w:ind w:left="240"/>
              <w:spacing w:after="0" w:line="223" w:lineRule="exact"/>
              <w:rPr>
                <w:sz w:val="20"/>
                <w:szCs w:val="20"/>
                <w:color w:val="auto"/>
              </w:rPr>
            </w:pPr>
            <w:r>
              <w:rPr>
                <w:rFonts w:ascii="Arial" w:cs="Arial" w:eastAsia="Arial" w:hAnsi="Arial"/>
                <w:sz w:val="20"/>
                <w:szCs w:val="20"/>
                <w:color w:val="auto"/>
              </w:rPr>
              <w:t>Total Heritage Aggregates Business</w:t>
            </w: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line="223" w:lineRule="exact"/>
              <w:rPr>
                <w:sz w:val="20"/>
                <w:szCs w:val="20"/>
                <w:color w:val="auto"/>
              </w:rPr>
            </w:pPr>
            <w:r>
              <w:rPr>
                <w:rFonts w:ascii="Arial" w:cs="Arial" w:eastAsia="Arial" w:hAnsi="Arial"/>
                <w:sz w:val="20"/>
                <w:szCs w:val="20"/>
                <w:color w:val="auto"/>
              </w:rPr>
              <w:t>86,548</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60" w:type="dxa"/>
            <w:vAlign w:val="bottom"/>
          </w:tcPr>
          <w:p>
            <w:pPr>
              <w:jc w:val="right"/>
              <w:spacing w:after="0" w:line="223" w:lineRule="exact"/>
              <w:rPr>
                <w:sz w:val="20"/>
                <w:szCs w:val="20"/>
                <w:color w:val="auto"/>
              </w:rPr>
            </w:pPr>
            <w:r>
              <w:rPr>
                <w:rFonts w:ascii="Arial" w:cs="Arial" w:eastAsia="Arial" w:hAnsi="Arial"/>
                <w:sz w:val="20"/>
                <w:szCs w:val="20"/>
                <w:color w:val="auto"/>
              </w:rPr>
              <w:t>5.5</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line="223" w:lineRule="exact"/>
              <w:rPr>
                <w:sz w:val="20"/>
                <w:szCs w:val="20"/>
                <w:color w:val="auto"/>
              </w:rPr>
            </w:pPr>
            <w:r>
              <w:rPr>
                <w:rFonts w:ascii="Arial" w:cs="Arial" w:eastAsia="Arial" w:hAnsi="Arial"/>
                <w:sz w:val="20"/>
                <w:szCs w:val="20"/>
                <w:color w:val="auto"/>
              </w:rPr>
              <w:t>84,782</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line="223" w:lineRule="exact"/>
              <w:rPr>
                <w:sz w:val="20"/>
                <w:szCs w:val="20"/>
                <w:color w:val="auto"/>
              </w:rPr>
            </w:pPr>
            <w:r>
              <w:rPr>
                <w:rFonts w:ascii="Arial" w:cs="Arial" w:eastAsia="Arial" w:hAnsi="Arial"/>
                <w:sz w:val="20"/>
                <w:szCs w:val="20"/>
                <w:color w:val="auto"/>
              </w:rPr>
              <w:t>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00" w:type="dxa"/>
            <w:vAlign w:val="bottom"/>
            <w:shd w:val="clear" w:color="auto" w:fill="CFF0FC"/>
          </w:tcPr>
          <w:p>
            <w:pPr>
              <w:ind w:left="240"/>
              <w:spacing w:after="0"/>
              <w:rPr>
                <w:sz w:val="20"/>
                <w:szCs w:val="20"/>
                <w:color w:val="auto"/>
              </w:rPr>
            </w:pPr>
            <w:r>
              <w:rPr>
                <w:rFonts w:ascii="Arial" w:cs="Arial" w:eastAsia="Arial" w:hAnsi="Arial"/>
                <w:sz w:val="20"/>
                <w:szCs w:val="20"/>
                <w:color w:val="auto"/>
              </w:rPr>
              <w:t>Magnesia Specialties</w:t>
            </w:r>
          </w:p>
        </w:tc>
        <w:tc>
          <w:tcPr>
            <w:tcW w:w="4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7,109</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4.0</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7,294</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00" w:type="dxa"/>
            <w:vAlign w:val="bottom"/>
          </w:tcPr>
          <w:p>
            <w:pPr>
              <w:ind w:left="240"/>
              <w:spacing w:after="0"/>
              <w:rPr>
                <w:sz w:val="20"/>
                <w:szCs w:val="20"/>
                <w:color w:val="auto"/>
              </w:rPr>
            </w:pPr>
            <w:r>
              <w:rPr>
                <w:rFonts w:ascii="Arial" w:cs="Arial" w:eastAsia="Arial" w:hAnsi="Arial"/>
                <w:sz w:val="20"/>
                <w:szCs w:val="20"/>
                <w:color w:val="auto"/>
              </w:rPr>
              <w:t>Corporate</w:t>
            </w: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28,649</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11,349</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00" w:type="dxa"/>
            <w:vAlign w:val="bottom"/>
            <w:tcBorders>
              <w:top w:val="single" w:sz="8" w:color="CFF0FC"/>
            </w:tcBorders>
            <w:shd w:val="clear" w:color="auto" w:fill="CFF0FC"/>
          </w:tcPr>
          <w:p>
            <w:pPr>
              <w:spacing w:after="0" w:line="223" w:lineRule="exact"/>
              <w:rPr>
                <w:sz w:val="20"/>
                <w:szCs w:val="20"/>
                <w:color w:val="auto"/>
              </w:rPr>
            </w:pPr>
            <w:r>
              <w:rPr>
                <w:rFonts w:ascii="Arial" w:cs="Arial" w:eastAsia="Arial" w:hAnsi="Arial"/>
                <w:sz w:val="20"/>
                <w:szCs w:val="20"/>
                <w:color w:val="auto"/>
              </w:rPr>
              <w:t>Total Heritage Consolidated</w:t>
            </w:r>
          </w:p>
        </w:tc>
        <w:tc>
          <w:tcPr>
            <w:tcW w:w="4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1260" w:type="dxa"/>
            <w:vAlign w:val="bottom"/>
            <w:tcBorders>
              <w:top w:val="single" w:sz="8" w:color="auto"/>
              <w:bottom w:val="single" w:sz="8" w:color="auto"/>
            </w:tcBorders>
            <w:shd w:val="clear" w:color="auto" w:fill="CFF0FC"/>
          </w:tcPr>
          <w:p>
            <w:pPr>
              <w:jc w:val="right"/>
              <w:spacing w:after="0" w:line="223" w:lineRule="exact"/>
              <w:rPr>
                <w:sz w:val="20"/>
                <w:szCs w:val="20"/>
                <w:color w:val="auto"/>
              </w:rPr>
            </w:pPr>
            <w:r>
              <w:rPr>
                <w:rFonts w:ascii="Arial" w:cs="Arial" w:eastAsia="Arial" w:hAnsi="Arial"/>
                <w:sz w:val="20"/>
                <w:szCs w:val="20"/>
                <w:color w:val="auto"/>
              </w:rPr>
              <w:t>122,306</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spacing w:after="0" w:line="223" w:lineRule="exact"/>
              <w:rPr>
                <w:sz w:val="20"/>
                <w:szCs w:val="20"/>
                <w:color w:val="auto"/>
              </w:rPr>
            </w:pPr>
            <w:r>
              <w:rPr>
                <w:rFonts w:ascii="Arial" w:cs="Arial" w:eastAsia="Arial" w:hAnsi="Arial"/>
                <w:sz w:val="20"/>
                <w:szCs w:val="20"/>
                <w:color w:val="auto"/>
              </w:rPr>
              <w:t>7.0</w:t>
            </w: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1240" w:type="dxa"/>
            <w:vAlign w:val="bottom"/>
            <w:tcBorders>
              <w:top w:val="single" w:sz="8" w:color="auto"/>
              <w:bottom w:val="single" w:sz="8" w:color="auto"/>
            </w:tcBorders>
            <w:shd w:val="clear" w:color="auto" w:fill="CFF0FC"/>
          </w:tcPr>
          <w:p>
            <w:pPr>
              <w:jc w:val="right"/>
              <w:spacing w:after="0" w:line="223" w:lineRule="exact"/>
              <w:rPr>
                <w:sz w:val="20"/>
                <w:szCs w:val="20"/>
                <w:color w:val="auto"/>
              </w:rPr>
            </w:pPr>
            <w:r>
              <w:rPr>
                <w:rFonts w:ascii="Arial" w:cs="Arial" w:eastAsia="Arial" w:hAnsi="Arial"/>
                <w:sz w:val="20"/>
                <w:szCs w:val="20"/>
                <w:color w:val="auto"/>
              </w:rPr>
              <w:t>103,425</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260" w:type="dxa"/>
            <w:vAlign w:val="bottom"/>
            <w:tcBorders>
              <w:top w:val="single" w:sz="8" w:color="auto"/>
              <w:bottom w:val="single" w:sz="8" w:color="auto"/>
            </w:tcBorders>
            <w:shd w:val="clear" w:color="auto" w:fill="CFF0FC"/>
          </w:tcPr>
          <w:p>
            <w:pPr>
              <w:jc w:val="right"/>
              <w:spacing w:after="0" w:line="223" w:lineRule="exact"/>
              <w:rPr>
                <w:sz w:val="20"/>
                <w:szCs w:val="20"/>
                <w:color w:val="auto"/>
              </w:rPr>
            </w:pPr>
            <w:r>
              <w:rPr>
                <w:rFonts w:ascii="Arial" w:cs="Arial" w:eastAsia="Arial" w:hAnsi="Arial"/>
                <w:sz w:val="20"/>
                <w:szCs w:val="20"/>
                <w:color w:val="auto"/>
              </w:rPr>
              <w:t>6.4</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00" w:type="dxa"/>
            <w:vAlign w:val="bottom"/>
          </w:tcPr>
          <w:p>
            <w:pPr>
              <w:spacing w:after="0" w:line="223" w:lineRule="exact"/>
              <w:rPr>
                <w:sz w:val="20"/>
                <w:szCs w:val="20"/>
                <w:color w:val="auto"/>
              </w:rPr>
            </w:pPr>
            <w:r>
              <w:rPr>
                <w:rFonts w:ascii="Arial" w:cs="Arial" w:eastAsia="Arial" w:hAnsi="Arial"/>
                <w:sz w:val="20"/>
                <w:szCs w:val="20"/>
                <w:color w:val="auto"/>
              </w:rPr>
              <w:t>Acquisitions:</w:t>
            </w: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00" w:type="dxa"/>
            <w:vAlign w:val="bottom"/>
            <w:shd w:val="clear" w:color="auto" w:fill="CFF0FC"/>
          </w:tcPr>
          <w:p>
            <w:pPr>
              <w:ind w:left="240"/>
              <w:spacing w:after="0"/>
              <w:rPr>
                <w:sz w:val="20"/>
                <w:szCs w:val="20"/>
                <w:color w:val="auto"/>
              </w:rPr>
            </w:pPr>
            <w:r>
              <w:rPr>
                <w:rFonts w:ascii="Arial" w:cs="Arial" w:eastAsia="Arial" w:hAnsi="Arial"/>
                <w:sz w:val="20"/>
                <w:szCs w:val="20"/>
                <w:color w:val="auto"/>
              </w:rPr>
              <w:t>Aggregates Business – West Group</w:t>
            </w:r>
          </w:p>
        </w:tc>
        <w:tc>
          <w:tcPr>
            <w:tcW w:w="4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14,303</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3.3</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3,403</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00" w:type="dxa"/>
            <w:vAlign w:val="bottom"/>
          </w:tcPr>
          <w:p>
            <w:pPr>
              <w:ind w:left="240"/>
              <w:spacing w:after="0"/>
              <w:rPr>
                <w:sz w:val="20"/>
                <w:szCs w:val="20"/>
                <w:color w:val="auto"/>
              </w:rPr>
            </w:pPr>
            <w:r>
              <w:rPr>
                <w:rFonts w:ascii="Arial" w:cs="Arial" w:eastAsia="Arial" w:hAnsi="Arial"/>
                <w:sz w:val="20"/>
                <w:szCs w:val="20"/>
                <w:color w:val="auto"/>
              </w:rPr>
              <w:t>Cement</w:t>
            </w: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20,131</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20"/>
                <w:szCs w:val="20"/>
                <w:color w:val="auto"/>
              </w:rPr>
              <w:t>6.5</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6,292</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00" w:type="dxa"/>
            <w:vAlign w:val="bottom"/>
            <w:shd w:val="clear" w:color="auto" w:fill="CFF0FC"/>
          </w:tcPr>
          <w:p>
            <w:pPr>
              <w:ind w:left="240"/>
              <w:spacing w:after="0"/>
              <w:rPr>
                <w:sz w:val="20"/>
                <w:szCs w:val="20"/>
                <w:color w:val="auto"/>
              </w:rPr>
            </w:pPr>
            <w:r>
              <w:rPr>
                <w:rFonts w:ascii="Arial" w:cs="Arial" w:eastAsia="Arial" w:hAnsi="Arial"/>
                <w:sz w:val="20"/>
                <w:szCs w:val="20"/>
                <w:color w:val="auto"/>
              </w:rPr>
              <w:t>Corporate</w:t>
            </w:r>
          </w:p>
        </w:tc>
        <w:tc>
          <w:tcPr>
            <w:tcW w:w="4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4,380</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6,119</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0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00" w:type="dxa"/>
            <w:vAlign w:val="bottom"/>
            <w:tcBorders>
              <w:bottom w:val="single" w:sz="8" w:color="CFF0FC"/>
            </w:tcBorders>
          </w:tcPr>
          <w:p>
            <w:pPr>
              <w:spacing w:after="0" w:line="223" w:lineRule="exact"/>
              <w:rPr>
                <w:sz w:val="20"/>
                <w:szCs w:val="20"/>
                <w:color w:val="auto"/>
              </w:rPr>
            </w:pPr>
            <w:r>
              <w:rPr>
                <w:rFonts w:ascii="Arial" w:cs="Arial" w:eastAsia="Arial" w:hAnsi="Arial"/>
                <w:sz w:val="20"/>
                <w:szCs w:val="20"/>
                <w:color w:val="auto"/>
              </w:rPr>
              <w:t>Total Acquisitions</w:t>
            </w:r>
          </w:p>
        </w:tc>
        <w:tc>
          <w:tcPr>
            <w:tcW w:w="48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38,814</w:t>
            </w:r>
          </w:p>
        </w:tc>
        <w:tc>
          <w:tcPr>
            <w:tcW w:w="24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5.2</w:t>
            </w:r>
          </w:p>
        </w:tc>
        <w:tc>
          <w:tcPr>
            <w:tcW w:w="22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15,814</w:t>
            </w:r>
          </w:p>
        </w:tc>
        <w:tc>
          <w:tcPr>
            <w:tcW w:w="22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5.8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00" w:type="dxa"/>
            <w:vAlign w:val="bottom"/>
            <w:tcBorders>
              <w:bottom w:val="single" w:sz="8" w:color="CFF0FC"/>
            </w:tcBorders>
            <w:shd w:val="clear" w:color="auto" w:fill="CFF0FC"/>
          </w:tcPr>
          <w:p>
            <w:pPr>
              <w:spacing w:after="0" w:line="223" w:lineRule="exact"/>
              <w:rPr>
                <w:sz w:val="20"/>
                <w:szCs w:val="20"/>
                <w:color w:val="auto"/>
              </w:rPr>
            </w:pPr>
            <w:r>
              <w:rPr>
                <w:rFonts w:ascii="Arial" w:cs="Arial" w:eastAsia="Arial" w:hAnsi="Arial"/>
                <w:sz w:val="20"/>
                <w:szCs w:val="20"/>
                <w:color w:val="auto"/>
              </w:rPr>
              <w:t>Total</w:t>
            </w:r>
          </w:p>
        </w:tc>
        <w:tc>
          <w:tcPr>
            <w:tcW w:w="4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61"/>
              <w:spacing w:after="0" w:line="223" w:lineRule="exact"/>
              <w:rPr>
                <w:sz w:val="20"/>
                <w:szCs w:val="20"/>
                <w:color w:val="auto"/>
              </w:rPr>
            </w:pPr>
            <w:r>
              <w:rPr>
                <w:rFonts w:ascii="Arial" w:cs="Arial" w:eastAsia="Arial" w:hAnsi="Arial"/>
                <w:sz w:val="20"/>
                <w:szCs w:val="20"/>
                <w:color w:val="auto"/>
                <w:w w:val="71"/>
              </w:rPr>
              <w:t>$</w:t>
            </w:r>
          </w:p>
        </w:tc>
        <w:tc>
          <w:tcPr>
            <w:tcW w:w="1260" w:type="dxa"/>
            <w:vAlign w:val="bottom"/>
            <w:tcBorders>
              <w:bottom w:val="single" w:sz="8" w:color="auto"/>
            </w:tcBorders>
            <w:shd w:val="clear" w:color="auto" w:fill="CFF0FC"/>
          </w:tcPr>
          <w:p>
            <w:pPr>
              <w:jc w:val="right"/>
              <w:spacing w:after="0" w:line="223" w:lineRule="exact"/>
              <w:rPr>
                <w:sz w:val="20"/>
                <w:szCs w:val="20"/>
                <w:color w:val="auto"/>
              </w:rPr>
            </w:pPr>
            <w:r>
              <w:rPr>
                <w:rFonts w:ascii="Arial" w:cs="Arial" w:eastAsia="Arial" w:hAnsi="Arial"/>
                <w:sz w:val="20"/>
                <w:szCs w:val="20"/>
                <w:color w:val="auto"/>
              </w:rPr>
              <w:t>161,120</w:t>
            </w:r>
          </w:p>
        </w:tc>
        <w:tc>
          <w:tcPr>
            <w:tcW w:w="2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spacing w:after="0" w:line="223" w:lineRule="exact"/>
              <w:rPr>
                <w:sz w:val="20"/>
                <w:szCs w:val="20"/>
                <w:color w:val="auto"/>
              </w:rPr>
            </w:pPr>
            <w:r>
              <w:rPr>
                <w:rFonts w:ascii="Arial" w:cs="Arial" w:eastAsia="Arial" w:hAnsi="Arial"/>
                <w:sz w:val="20"/>
                <w:szCs w:val="20"/>
                <w:color w:val="auto"/>
              </w:rPr>
              <w:t>6.5</w:t>
            </w:r>
          </w:p>
        </w:tc>
        <w:tc>
          <w:tcPr>
            <w:tcW w:w="2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41"/>
              <w:spacing w:after="0" w:line="223" w:lineRule="exact"/>
              <w:rPr>
                <w:sz w:val="20"/>
                <w:szCs w:val="20"/>
                <w:color w:val="auto"/>
              </w:rPr>
            </w:pPr>
            <w:r>
              <w:rPr>
                <w:rFonts w:ascii="Arial" w:cs="Arial" w:eastAsia="Arial" w:hAnsi="Arial"/>
                <w:sz w:val="20"/>
                <w:szCs w:val="20"/>
                <w:color w:val="auto"/>
                <w:w w:val="71"/>
              </w:rPr>
              <w:t>$</w:t>
            </w:r>
          </w:p>
        </w:tc>
        <w:tc>
          <w:tcPr>
            <w:tcW w:w="1240" w:type="dxa"/>
            <w:vAlign w:val="bottom"/>
            <w:tcBorders>
              <w:bottom w:val="single" w:sz="8" w:color="auto"/>
            </w:tcBorders>
            <w:shd w:val="clear" w:color="auto" w:fill="CFF0FC"/>
          </w:tcPr>
          <w:p>
            <w:pPr>
              <w:jc w:val="right"/>
              <w:spacing w:after="0" w:line="223" w:lineRule="exact"/>
              <w:rPr>
                <w:sz w:val="20"/>
                <w:szCs w:val="20"/>
                <w:color w:val="auto"/>
              </w:rPr>
            </w:pPr>
            <w:r>
              <w:rPr>
                <w:rFonts w:ascii="Arial" w:cs="Arial" w:eastAsia="Arial" w:hAnsi="Arial"/>
                <w:sz w:val="20"/>
                <w:szCs w:val="20"/>
                <w:color w:val="auto"/>
              </w:rPr>
              <w:t>119,239</w:t>
            </w:r>
          </w:p>
        </w:tc>
        <w:tc>
          <w:tcPr>
            <w:tcW w:w="2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line="223" w:lineRule="exact"/>
              <w:rPr>
                <w:sz w:val="20"/>
                <w:szCs w:val="20"/>
                <w:color w:val="auto"/>
              </w:rPr>
            </w:pPr>
            <w:r>
              <w:rPr>
                <w:rFonts w:ascii="Arial" w:cs="Arial" w:eastAsia="Arial" w:hAnsi="Arial"/>
                <w:sz w:val="20"/>
                <w:szCs w:val="20"/>
                <w:color w:val="auto"/>
              </w:rPr>
              <w:t>6.3</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200" w:type="dxa"/>
            <w:vAlign w:val="bottom"/>
            <w:shd w:val="clear" w:color="auto" w:fill="CFF0FC"/>
          </w:tcPr>
          <w:p>
            <w:pPr>
              <w:spacing w:after="0"/>
              <w:rPr>
                <w:sz w:val="20"/>
                <w:szCs w:val="20"/>
                <w:color w:val="auto"/>
              </w:rPr>
            </w:pPr>
            <w:r>
              <w:rPr>
                <w:rFonts w:ascii="Arial" w:cs="Arial" w:eastAsia="Arial" w:hAnsi="Arial"/>
                <w:sz w:val="20"/>
                <w:szCs w:val="20"/>
                <w:b w:val="1"/>
                <w:bCs w:val="1"/>
                <w:color w:val="auto"/>
              </w:rPr>
              <w:t>Earnings (Loss) from operations:</w:t>
            </w:r>
          </w:p>
        </w:tc>
        <w:tc>
          <w:tcPr>
            <w:tcW w:w="4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00" w:type="dxa"/>
            <w:vAlign w:val="bottom"/>
          </w:tcPr>
          <w:p>
            <w:pPr>
              <w:spacing w:after="0"/>
              <w:rPr>
                <w:sz w:val="20"/>
                <w:szCs w:val="20"/>
                <w:color w:val="auto"/>
              </w:rPr>
            </w:pPr>
            <w:r>
              <w:rPr>
                <w:rFonts w:ascii="Arial" w:cs="Arial" w:eastAsia="Arial" w:hAnsi="Arial"/>
                <w:sz w:val="20"/>
                <w:szCs w:val="20"/>
                <w:color w:val="auto"/>
              </w:rPr>
              <w:t>Heritage:</w:t>
            </w: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00" w:type="dxa"/>
            <w:vAlign w:val="bottom"/>
            <w:shd w:val="clear" w:color="auto" w:fill="CFF0FC"/>
          </w:tcPr>
          <w:p>
            <w:pPr>
              <w:ind w:left="480"/>
              <w:spacing w:after="0"/>
              <w:rPr>
                <w:sz w:val="20"/>
                <w:szCs w:val="20"/>
                <w:color w:val="auto"/>
              </w:rPr>
            </w:pPr>
            <w:r>
              <w:rPr>
                <w:rFonts w:ascii="Arial" w:cs="Arial" w:eastAsia="Arial" w:hAnsi="Arial"/>
                <w:sz w:val="20"/>
                <w:szCs w:val="20"/>
                <w:color w:val="auto"/>
              </w:rPr>
              <w:t>Mid-America Group</w:t>
            </w:r>
          </w:p>
        </w:tc>
        <w:tc>
          <w:tcPr>
            <w:tcW w:w="740" w:type="dxa"/>
            <w:vAlign w:val="bottom"/>
            <w:gridSpan w:val="2"/>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148,207</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41"/>
              <w:spacing w:after="0"/>
              <w:rPr>
                <w:sz w:val="20"/>
                <w:szCs w:val="20"/>
                <w:color w:val="auto"/>
              </w:rPr>
            </w:pPr>
            <w:r>
              <w:rPr>
                <w:rFonts w:ascii="Arial" w:cs="Arial" w:eastAsia="Arial" w:hAnsi="Arial"/>
                <w:sz w:val="20"/>
                <w:szCs w:val="20"/>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116,703</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00" w:type="dxa"/>
            <w:vAlign w:val="bottom"/>
          </w:tcPr>
          <w:p>
            <w:pPr>
              <w:ind w:left="480"/>
              <w:spacing w:after="0"/>
              <w:rPr>
                <w:sz w:val="20"/>
                <w:szCs w:val="20"/>
                <w:color w:val="auto"/>
              </w:rPr>
            </w:pPr>
            <w:r>
              <w:rPr>
                <w:rFonts w:ascii="Arial" w:cs="Arial" w:eastAsia="Arial" w:hAnsi="Arial"/>
                <w:sz w:val="20"/>
                <w:szCs w:val="20"/>
                <w:color w:val="auto"/>
              </w:rPr>
              <w:t>Southeast Group</w:t>
            </w: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10,845</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20"/>
                <w:szCs w:val="20"/>
                <w:color w:val="auto"/>
              </w:rPr>
              <w:t>(7,084)</w:t>
            </w: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00" w:type="dxa"/>
            <w:vAlign w:val="bottom"/>
            <w:shd w:val="clear" w:color="auto" w:fill="CFF0FC"/>
          </w:tcPr>
          <w:p>
            <w:pPr>
              <w:ind w:left="480"/>
              <w:spacing w:after="0"/>
              <w:rPr>
                <w:sz w:val="20"/>
                <w:szCs w:val="20"/>
                <w:color w:val="auto"/>
              </w:rPr>
            </w:pPr>
            <w:r>
              <w:rPr>
                <w:rFonts w:ascii="Arial" w:cs="Arial" w:eastAsia="Arial" w:hAnsi="Arial"/>
                <w:sz w:val="20"/>
                <w:szCs w:val="20"/>
                <w:color w:val="auto"/>
              </w:rPr>
              <w:t>West Group</w:t>
            </w:r>
            <w:r>
              <w:rPr>
                <w:rFonts w:ascii="Arial" w:cs="Arial" w:eastAsia="Arial" w:hAnsi="Arial"/>
                <w:sz w:val="16"/>
                <w:szCs w:val="16"/>
                <w:color w:val="auto"/>
              </w:rPr>
              <w:t>(1)</w:t>
            </w:r>
          </w:p>
        </w:tc>
        <w:tc>
          <w:tcPr>
            <w:tcW w:w="4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126,854</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118,160</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00" w:type="dxa"/>
            <w:vAlign w:val="bottom"/>
          </w:tcPr>
          <w:p>
            <w:pPr>
              <w:ind w:left="240"/>
              <w:spacing w:after="0" w:line="223" w:lineRule="exact"/>
              <w:rPr>
                <w:sz w:val="20"/>
                <w:szCs w:val="20"/>
                <w:color w:val="auto"/>
              </w:rPr>
            </w:pPr>
            <w:r>
              <w:rPr>
                <w:rFonts w:ascii="Arial" w:cs="Arial" w:eastAsia="Arial" w:hAnsi="Arial"/>
                <w:sz w:val="20"/>
                <w:szCs w:val="20"/>
                <w:color w:val="auto"/>
              </w:rPr>
              <w:t>Total Heritage Aggregates Business</w:t>
            </w: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line="223" w:lineRule="exact"/>
              <w:rPr>
                <w:sz w:val="20"/>
                <w:szCs w:val="20"/>
                <w:color w:val="auto"/>
              </w:rPr>
            </w:pPr>
            <w:r>
              <w:rPr>
                <w:rFonts w:ascii="Arial" w:cs="Arial" w:eastAsia="Arial" w:hAnsi="Arial"/>
                <w:sz w:val="20"/>
                <w:szCs w:val="20"/>
                <w:color w:val="auto"/>
              </w:rPr>
              <w:t>285,906</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60" w:type="dxa"/>
            <w:vAlign w:val="bottom"/>
          </w:tcPr>
          <w:p>
            <w:pPr>
              <w:jc w:val="right"/>
              <w:spacing w:after="0" w:line="223" w:lineRule="exact"/>
              <w:rPr>
                <w:sz w:val="20"/>
                <w:szCs w:val="20"/>
                <w:color w:val="auto"/>
              </w:rPr>
            </w:pPr>
            <w:r>
              <w:rPr>
                <w:rFonts w:ascii="Arial" w:cs="Arial" w:eastAsia="Arial" w:hAnsi="Arial"/>
                <w:sz w:val="20"/>
                <w:szCs w:val="20"/>
                <w:color w:val="auto"/>
                <w:w w:val="82"/>
              </w:rPr>
              <w:t>18.2</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line="223" w:lineRule="exact"/>
              <w:rPr>
                <w:sz w:val="20"/>
                <w:szCs w:val="20"/>
                <w:color w:val="auto"/>
              </w:rPr>
            </w:pPr>
            <w:r>
              <w:rPr>
                <w:rFonts w:ascii="Arial" w:cs="Arial" w:eastAsia="Arial" w:hAnsi="Arial"/>
                <w:sz w:val="20"/>
                <w:szCs w:val="20"/>
                <w:color w:val="auto"/>
              </w:rPr>
              <w:t>227,779</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line="223" w:lineRule="exact"/>
              <w:rPr>
                <w:sz w:val="20"/>
                <w:szCs w:val="20"/>
                <w:color w:val="auto"/>
              </w:rPr>
            </w:pPr>
            <w:r>
              <w:rPr>
                <w:rFonts w:ascii="Arial" w:cs="Arial" w:eastAsia="Arial" w:hAnsi="Arial"/>
                <w:sz w:val="20"/>
                <w:szCs w:val="20"/>
                <w:color w:val="auto"/>
              </w:rPr>
              <w:t>15.7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00" w:type="dxa"/>
            <w:vAlign w:val="bottom"/>
            <w:shd w:val="clear" w:color="auto" w:fill="CFF0FC"/>
          </w:tcPr>
          <w:p>
            <w:pPr>
              <w:ind w:left="240"/>
              <w:spacing w:after="0"/>
              <w:rPr>
                <w:sz w:val="20"/>
                <w:szCs w:val="20"/>
                <w:color w:val="auto"/>
              </w:rPr>
            </w:pPr>
            <w:r>
              <w:rPr>
                <w:rFonts w:ascii="Arial" w:cs="Arial" w:eastAsia="Arial" w:hAnsi="Arial"/>
                <w:sz w:val="20"/>
                <w:szCs w:val="20"/>
                <w:color w:val="auto"/>
              </w:rPr>
              <w:t>Magnesia Specialties</w:t>
            </w:r>
          </w:p>
        </w:tc>
        <w:tc>
          <w:tcPr>
            <w:tcW w:w="4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53,537</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2"/>
              </w:rPr>
              <w:t>30.3</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54,976</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30.9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00" w:type="dxa"/>
            <w:vAlign w:val="bottom"/>
          </w:tcPr>
          <w:p>
            <w:pPr>
              <w:ind w:left="240"/>
              <w:spacing w:after="0"/>
              <w:rPr>
                <w:sz w:val="20"/>
                <w:szCs w:val="20"/>
                <w:color w:val="auto"/>
              </w:rPr>
            </w:pPr>
            <w:r>
              <w:rPr>
                <w:rFonts w:ascii="Arial" w:cs="Arial" w:eastAsia="Arial" w:hAnsi="Arial"/>
                <w:sz w:val="20"/>
                <w:szCs w:val="20"/>
                <w:color w:val="auto"/>
              </w:rPr>
              <w:t>Corporate</w:t>
            </w: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20"/>
                <w:szCs w:val="20"/>
                <w:color w:val="auto"/>
              </w:rPr>
              <w:t>(51,924)</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20"/>
                <w:szCs w:val="20"/>
                <w:color w:val="auto"/>
              </w:rPr>
              <w:t>(91,530)</w:t>
            </w:r>
          </w:p>
        </w:tc>
        <w:tc>
          <w:tcPr>
            <w:tcW w:w="20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00" w:type="dxa"/>
            <w:vAlign w:val="bottom"/>
            <w:tcBorders>
              <w:top w:val="single" w:sz="8" w:color="CFF0FC"/>
            </w:tcBorders>
            <w:shd w:val="clear" w:color="auto" w:fill="CFF0FC"/>
          </w:tcPr>
          <w:p>
            <w:pPr>
              <w:spacing w:after="0" w:line="223" w:lineRule="exact"/>
              <w:rPr>
                <w:sz w:val="20"/>
                <w:szCs w:val="20"/>
                <w:color w:val="auto"/>
              </w:rPr>
            </w:pPr>
            <w:r>
              <w:rPr>
                <w:rFonts w:ascii="Arial" w:cs="Arial" w:eastAsia="Arial" w:hAnsi="Arial"/>
                <w:sz w:val="20"/>
                <w:szCs w:val="20"/>
                <w:color w:val="auto"/>
              </w:rPr>
              <w:t>Total Heritage Consolidated</w:t>
            </w:r>
          </w:p>
        </w:tc>
        <w:tc>
          <w:tcPr>
            <w:tcW w:w="4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1260" w:type="dxa"/>
            <w:vAlign w:val="bottom"/>
            <w:tcBorders>
              <w:top w:val="single" w:sz="8" w:color="auto"/>
              <w:bottom w:val="single" w:sz="8" w:color="auto"/>
            </w:tcBorders>
            <w:shd w:val="clear" w:color="auto" w:fill="CFF0FC"/>
          </w:tcPr>
          <w:p>
            <w:pPr>
              <w:jc w:val="right"/>
              <w:spacing w:after="0" w:line="223" w:lineRule="exact"/>
              <w:rPr>
                <w:sz w:val="20"/>
                <w:szCs w:val="20"/>
                <w:color w:val="auto"/>
              </w:rPr>
            </w:pPr>
            <w:r>
              <w:rPr>
                <w:rFonts w:ascii="Arial" w:cs="Arial" w:eastAsia="Arial" w:hAnsi="Arial"/>
                <w:sz w:val="20"/>
                <w:szCs w:val="20"/>
                <w:color w:val="auto"/>
              </w:rPr>
              <w:t>287,519</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spacing w:after="0" w:line="223" w:lineRule="exact"/>
              <w:rPr>
                <w:sz w:val="20"/>
                <w:szCs w:val="20"/>
                <w:color w:val="auto"/>
              </w:rPr>
            </w:pPr>
            <w:r>
              <w:rPr>
                <w:rFonts w:ascii="Arial" w:cs="Arial" w:eastAsia="Arial" w:hAnsi="Arial"/>
                <w:sz w:val="20"/>
                <w:szCs w:val="20"/>
                <w:color w:val="auto"/>
                <w:w w:val="82"/>
              </w:rPr>
              <w:t>16.5</w:t>
            </w: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1240" w:type="dxa"/>
            <w:vAlign w:val="bottom"/>
            <w:tcBorders>
              <w:top w:val="single" w:sz="8" w:color="auto"/>
              <w:bottom w:val="single" w:sz="8" w:color="auto"/>
            </w:tcBorders>
            <w:shd w:val="clear" w:color="auto" w:fill="CFF0FC"/>
          </w:tcPr>
          <w:p>
            <w:pPr>
              <w:jc w:val="right"/>
              <w:spacing w:after="0" w:line="223" w:lineRule="exact"/>
              <w:rPr>
                <w:sz w:val="20"/>
                <w:szCs w:val="20"/>
                <w:color w:val="auto"/>
              </w:rPr>
            </w:pPr>
            <w:r>
              <w:rPr>
                <w:rFonts w:ascii="Arial" w:cs="Arial" w:eastAsia="Arial" w:hAnsi="Arial"/>
                <w:sz w:val="20"/>
                <w:szCs w:val="20"/>
                <w:color w:val="auto"/>
              </w:rPr>
              <w:t>191,225</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260" w:type="dxa"/>
            <w:vAlign w:val="bottom"/>
            <w:tcBorders>
              <w:top w:val="single" w:sz="8" w:color="auto"/>
              <w:bottom w:val="single" w:sz="8" w:color="auto"/>
            </w:tcBorders>
            <w:shd w:val="clear" w:color="auto" w:fill="CFF0FC"/>
          </w:tcPr>
          <w:p>
            <w:pPr>
              <w:jc w:val="right"/>
              <w:spacing w:after="0" w:line="223" w:lineRule="exact"/>
              <w:rPr>
                <w:sz w:val="20"/>
                <w:szCs w:val="20"/>
                <w:color w:val="auto"/>
              </w:rPr>
            </w:pPr>
            <w:r>
              <w:rPr>
                <w:rFonts w:ascii="Arial" w:cs="Arial" w:eastAsia="Arial" w:hAnsi="Arial"/>
                <w:sz w:val="20"/>
                <w:szCs w:val="20"/>
                <w:color w:val="auto"/>
              </w:rPr>
              <w:t>11.8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00" w:type="dxa"/>
            <w:vAlign w:val="bottom"/>
          </w:tcPr>
          <w:p>
            <w:pPr>
              <w:spacing w:after="0" w:line="223" w:lineRule="exact"/>
              <w:rPr>
                <w:sz w:val="20"/>
                <w:szCs w:val="20"/>
                <w:color w:val="auto"/>
              </w:rPr>
            </w:pPr>
            <w:r>
              <w:rPr>
                <w:rFonts w:ascii="Arial" w:cs="Arial" w:eastAsia="Arial" w:hAnsi="Arial"/>
                <w:sz w:val="20"/>
                <w:szCs w:val="20"/>
                <w:color w:val="auto"/>
              </w:rPr>
              <w:t>Acquisitions:</w:t>
            </w: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00" w:type="dxa"/>
            <w:vAlign w:val="bottom"/>
            <w:shd w:val="clear" w:color="auto" w:fill="CFF0FC"/>
          </w:tcPr>
          <w:p>
            <w:pPr>
              <w:ind w:left="240"/>
              <w:spacing w:after="0"/>
              <w:rPr>
                <w:sz w:val="20"/>
                <w:szCs w:val="20"/>
                <w:color w:val="auto"/>
              </w:rPr>
            </w:pPr>
            <w:r>
              <w:rPr>
                <w:rFonts w:ascii="Arial" w:cs="Arial" w:eastAsia="Arial" w:hAnsi="Arial"/>
                <w:sz w:val="20"/>
                <w:szCs w:val="20"/>
                <w:color w:val="auto"/>
              </w:rPr>
              <w:t>Aggregates Business – Mid-America Group</w:t>
            </w:r>
          </w:p>
        </w:tc>
        <w:tc>
          <w:tcPr>
            <w:tcW w:w="4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178</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8.9</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60" w:type="dxa"/>
            <w:vAlign w:val="bottom"/>
            <w:gridSpan w:val="3"/>
            <w:shd w:val="clear" w:color="auto" w:fill="CFF0FC"/>
          </w:tcPr>
          <w:p>
            <w:pPr>
              <w:jc w:val="right"/>
              <w:ind w:right="440"/>
              <w:spacing w:after="0"/>
              <w:rPr>
                <w:sz w:val="20"/>
                <w:szCs w:val="20"/>
                <w:color w:val="auto"/>
              </w:rPr>
            </w:pPr>
            <w:r>
              <w:rPr>
                <w:rFonts w:ascii="Arial" w:cs="Arial" w:eastAsia="Arial" w:hAnsi="Arial"/>
                <w:sz w:val="20"/>
                <w:szCs w:val="20"/>
                <w:color w:val="auto"/>
              </w:rPr>
              <w:t>—</w:t>
            </w:r>
          </w:p>
        </w:tc>
        <w:tc>
          <w:tcPr>
            <w:tcW w:w="1360" w:type="dxa"/>
            <w:vAlign w:val="bottom"/>
            <w:gridSpan w:val="2"/>
            <w:shd w:val="clear" w:color="auto" w:fill="CFF0FC"/>
          </w:tcPr>
          <w:p>
            <w:pPr>
              <w:jc w:val="right"/>
              <w:ind w:right="10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00" w:type="dxa"/>
            <w:vAlign w:val="bottom"/>
          </w:tcPr>
          <w:p>
            <w:pPr>
              <w:ind w:left="240"/>
              <w:spacing w:after="0"/>
              <w:rPr>
                <w:sz w:val="20"/>
                <w:szCs w:val="20"/>
                <w:color w:val="auto"/>
              </w:rPr>
            </w:pPr>
            <w:r>
              <w:rPr>
                <w:rFonts w:ascii="Arial" w:cs="Arial" w:eastAsia="Arial" w:hAnsi="Arial"/>
                <w:sz w:val="20"/>
                <w:szCs w:val="20"/>
                <w:color w:val="auto"/>
              </w:rPr>
              <w:t>Aggregates Business – West Group</w:t>
            </w: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24,347</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20"/>
                <w:szCs w:val="20"/>
                <w:color w:val="auto"/>
              </w:rPr>
              <w:t>5.6</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6,909</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00" w:type="dxa"/>
            <w:vAlign w:val="bottom"/>
            <w:shd w:val="clear" w:color="auto" w:fill="CFF0FC"/>
          </w:tcPr>
          <w:p>
            <w:pPr>
              <w:ind w:left="240"/>
              <w:spacing w:after="0"/>
              <w:rPr>
                <w:sz w:val="20"/>
                <w:szCs w:val="20"/>
                <w:color w:val="auto"/>
              </w:rPr>
            </w:pPr>
            <w:r>
              <w:rPr>
                <w:rFonts w:ascii="Arial" w:cs="Arial" w:eastAsia="Arial" w:hAnsi="Arial"/>
                <w:sz w:val="20"/>
                <w:szCs w:val="20"/>
                <w:color w:val="auto"/>
              </w:rPr>
              <w:t>Cement</w:t>
            </w:r>
            <w:r>
              <w:rPr>
                <w:rFonts w:ascii="Arial" w:cs="Arial" w:eastAsia="Arial" w:hAnsi="Arial"/>
                <w:sz w:val="16"/>
                <w:szCs w:val="16"/>
                <w:color w:val="auto"/>
              </w:rPr>
              <w:t>(2)</w:t>
            </w:r>
          </w:p>
        </w:tc>
        <w:tc>
          <w:tcPr>
            <w:tcW w:w="4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37,455</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2"/>
              </w:rPr>
              <w:t>12.2</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18,278</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16.7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00" w:type="dxa"/>
            <w:vAlign w:val="bottom"/>
          </w:tcPr>
          <w:p>
            <w:pPr>
              <w:ind w:left="240"/>
              <w:spacing w:after="0"/>
              <w:rPr>
                <w:sz w:val="20"/>
                <w:szCs w:val="20"/>
                <w:color w:val="auto"/>
              </w:rPr>
            </w:pPr>
            <w:r>
              <w:rPr>
                <w:rFonts w:ascii="Arial" w:cs="Arial" w:eastAsia="Arial" w:hAnsi="Arial"/>
                <w:sz w:val="20"/>
                <w:szCs w:val="20"/>
                <w:color w:val="auto"/>
              </w:rPr>
              <w:t>Corporate</w:t>
            </w: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20"/>
                <w:szCs w:val="20"/>
                <w:color w:val="auto"/>
              </w:rPr>
              <w:t>(7,447)</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20"/>
                <w:szCs w:val="20"/>
                <w:color w:val="auto"/>
              </w:rPr>
              <w:t>(20,112)</w:t>
            </w:r>
          </w:p>
        </w:tc>
        <w:tc>
          <w:tcPr>
            <w:tcW w:w="20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00" w:type="dxa"/>
            <w:vAlign w:val="bottom"/>
            <w:tcBorders>
              <w:top w:val="single" w:sz="8" w:color="CFF0FC"/>
            </w:tcBorders>
            <w:shd w:val="clear" w:color="auto" w:fill="CFF0FC"/>
          </w:tcPr>
          <w:p>
            <w:pPr>
              <w:spacing w:after="0" w:line="223" w:lineRule="exact"/>
              <w:rPr>
                <w:sz w:val="20"/>
                <w:szCs w:val="20"/>
                <w:color w:val="auto"/>
              </w:rPr>
            </w:pPr>
            <w:r>
              <w:rPr>
                <w:rFonts w:ascii="Arial" w:cs="Arial" w:eastAsia="Arial" w:hAnsi="Arial"/>
                <w:sz w:val="20"/>
                <w:szCs w:val="20"/>
                <w:color w:val="auto"/>
              </w:rPr>
              <w:t>Total Acquisitions</w:t>
            </w:r>
          </w:p>
        </w:tc>
        <w:tc>
          <w:tcPr>
            <w:tcW w:w="4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1260" w:type="dxa"/>
            <w:vAlign w:val="bottom"/>
            <w:tcBorders>
              <w:top w:val="single" w:sz="8" w:color="auto"/>
              <w:bottom w:val="single" w:sz="8" w:color="auto"/>
            </w:tcBorders>
            <w:shd w:val="clear" w:color="auto" w:fill="CFF0FC"/>
          </w:tcPr>
          <w:p>
            <w:pPr>
              <w:jc w:val="right"/>
              <w:spacing w:after="0" w:line="223" w:lineRule="exact"/>
              <w:rPr>
                <w:sz w:val="20"/>
                <w:szCs w:val="20"/>
                <w:color w:val="auto"/>
              </w:rPr>
            </w:pPr>
            <w:r>
              <w:rPr>
                <w:rFonts w:ascii="Arial" w:cs="Arial" w:eastAsia="Arial" w:hAnsi="Arial"/>
                <w:sz w:val="20"/>
                <w:szCs w:val="20"/>
                <w:color w:val="auto"/>
              </w:rPr>
              <w:t>54,533</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spacing w:after="0" w:line="223" w:lineRule="exact"/>
              <w:rPr>
                <w:sz w:val="20"/>
                <w:szCs w:val="20"/>
                <w:color w:val="auto"/>
              </w:rPr>
            </w:pPr>
            <w:r>
              <w:rPr>
                <w:rFonts w:ascii="Arial" w:cs="Arial" w:eastAsia="Arial" w:hAnsi="Arial"/>
                <w:sz w:val="20"/>
                <w:szCs w:val="20"/>
                <w:color w:val="auto"/>
              </w:rPr>
              <w:t>7.3</w:t>
            </w: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1240" w:type="dxa"/>
            <w:vAlign w:val="bottom"/>
            <w:tcBorders>
              <w:top w:val="single" w:sz="8" w:color="auto"/>
              <w:bottom w:val="single" w:sz="8" w:color="auto"/>
            </w:tcBorders>
            <w:shd w:val="clear" w:color="auto" w:fill="CFF0FC"/>
          </w:tcPr>
          <w:p>
            <w:pPr>
              <w:jc w:val="right"/>
              <w:spacing w:after="0" w:line="223" w:lineRule="exact"/>
              <w:rPr>
                <w:sz w:val="20"/>
                <w:szCs w:val="20"/>
                <w:color w:val="auto"/>
              </w:rPr>
            </w:pPr>
            <w:r>
              <w:rPr>
                <w:rFonts w:ascii="Arial" w:cs="Arial" w:eastAsia="Arial" w:hAnsi="Arial"/>
                <w:sz w:val="20"/>
                <w:szCs w:val="20"/>
                <w:color w:val="auto"/>
              </w:rPr>
              <w:t>5,075</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260" w:type="dxa"/>
            <w:vAlign w:val="bottom"/>
            <w:tcBorders>
              <w:top w:val="single" w:sz="8" w:color="auto"/>
              <w:bottom w:val="single" w:sz="8" w:color="auto"/>
            </w:tcBorders>
            <w:shd w:val="clear" w:color="auto" w:fill="CFF0FC"/>
          </w:tcPr>
          <w:p>
            <w:pPr>
              <w:jc w:val="right"/>
              <w:spacing w:after="0" w:line="223" w:lineRule="exact"/>
              <w:rPr>
                <w:sz w:val="20"/>
                <w:szCs w:val="20"/>
                <w:color w:val="auto"/>
              </w:rPr>
            </w:pPr>
            <w:r>
              <w:rPr>
                <w:rFonts w:ascii="Arial" w:cs="Arial" w:eastAsia="Arial" w:hAnsi="Arial"/>
                <w:sz w:val="20"/>
                <w:szCs w:val="20"/>
                <w:color w:val="auto"/>
              </w:rPr>
              <w:t>1.9</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00" w:type="dxa"/>
            <w:vAlign w:val="bottom"/>
          </w:tcPr>
          <w:p>
            <w:pPr>
              <w:spacing w:after="0" w:line="223" w:lineRule="exact"/>
              <w:rPr>
                <w:sz w:val="20"/>
                <w:szCs w:val="20"/>
                <w:color w:val="auto"/>
              </w:rPr>
            </w:pPr>
            <w:r>
              <w:rPr>
                <w:rFonts w:ascii="Arial" w:cs="Arial" w:eastAsia="Arial" w:hAnsi="Arial"/>
                <w:sz w:val="20"/>
                <w:szCs w:val="20"/>
                <w:color w:val="auto"/>
              </w:rPr>
              <w:t>Total</w:t>
            </w:r>
          </w:p>
        </w:tc>
        <w:tc>
          <w:tcPr>
            <w:tcW w:w="480" w:type="dxa"/>
            <w:vAlign w:val="bottom"/>
          </w:tcPr>
          <w:p>
            <w:pPr>
              <w:spacing w:after="0"/>
              <w:rPr>
                <w:sz w:val="19"/>
                <w:szCs w:val="19"/>
                <w:color w:val="auto"/>
              </w:rPr>
            </w:pPr>
          </w:p>
        </w:tc>
        <w:tc>
          <w:tcPr>
            <w:tcW w:w="260" w:type="dxa"/>
            <w:vAlign w:val="bottom"/>
            <w:tcBorders>
              <w:bottom w:val="single" w:sz="8" w:color="auto"/>
            </w:tcBorders>
          </w:tcPr>
          <w:p>
            <w:pPr>
              <w:jc w:val="right"/>
              <w:ind w:right="61"/>
              <w:spacing w:after="0" w:line="223" w:lineRule="exact"/>
              <w:rPr>
                <w:sz w:val="20"/>
                <w:szCs w:val="20"/>
                <w:color w:val="auto"/>
              </w:rPr>
            </w:pPr>
            <w:r>
              <w:rPr>
                <w:rFonts w:ascii="Arial" w:cs="Arial" w:eastAsia="Arial" w:hAnsi="Arial"/>
                <w:sz w:val="20"/>
                <w:szCs w:val="20"/>
                <w:color w:val="auto"/>
                <w:w w:val="71"/>
              </w:rPr>
              <w:t>$</w:t>
            </w:r>
          </w:p>
        </w:tc>
        <w:tc>
          <w:tcPr>
            <w:tcW w:w="126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342,052</w:t>
            </w: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w w:val="82"/>
              </w:rPr>
              <w:t>13.8</w:t>
            </w:r>
          </w:p>
        </w:tc>
        <w:tc>
          <w:tcPr>
            <w:tcW w:w="220" w:type="dxa"/>
            <w:vAlign w:val="bottom"/>
          </w:tcPr>
          <w:p>
            <w:pPr>
              <w:spacing w:after="0"/>
              <w:rPr>
                <w:sz w:val="19"/>
                <w:szCs w:val="19"/>
                <w:color w:val="auto"/>
              </w:rPr>
            </w:pPr>
          </w:p>
        </w:tc>
        <w:tc>
          <w:tcPr>
            <w:tcW w:w="240" w:type="dxa"/>
            <w:vAlign w:val="bottom"/>
            <w:tcBorders>
              <w:bottom w:val="single" w:sz="8" w:color="auto"/>
            </w:tcBorders>
          </w:tcPr>
          <w:p>
            <w:pPr>
              <w:jc w:val="right"/>
              <w:ind w:right="41"/>
              <w:spacing w:after="0" w:line="223" w:lineRule="exact"/>
              <w:rPr>
                <w:sz w:val="20"/>
                <w:szCs w:val="20"/>
                <w:color w:val="auto"/>
              </w:rPr>
            </w:pPr>
            <w:r>
              <w:rPr>
                <w:rFonts w:ascii="Arial" w:cs="Arial" w:eastAsia="Arial" w:hAnsi="Arial"/>
                <w:sz w:val="20"/>
                <w:szCs w:val="20"/>
                <w:color w:val="auto"/>
                <w:w w:val="71"/>
              </w:rPr>
              <w:t>$</w:t>
            </w:r>
          </w:p>
        </w:tc>
        <w:tc>
          <w:tcPr>
            <w:tcW w:w="124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196,300</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10.3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5" w:lineRule="exact"/>
        <w:rPr>
          <w:sz w:val="20"/>
          <w:szCs w:val="20"/>
          <w:color w:val="auto"/>
        </w:rPr>
      </w:pPr>
    </w:p>
    <w:p>
      <w:pPr>
        <w:ind w:left="200" w:hanging="192"/>
        <w:spacing w:after="0"/>
        <w:tabs>
          <w:tab w:leader="none" w:pos="200" w:val="left"/>
        </w:tabs>
        <w:numPr>
          <w:ilvl w:val="0"/>
          <w:numId w:val="33"/>
        </w:numPr>
        <w:rPr>
          <w:rFonts w:ascii="Arial" w:cs="Arial" w:eastAsia="Arial" w:hAnsi="Arial"/>
          <w:sz w:val="13"/>
          <w:szCs w:val="13"/>
          <w:color w:val="auto"/>
        </w:rPr>
      </w:pPr>
      <w:r>
        <w:rPr>
          <w:rFonts w:ascii="Arial" w:cs="Arial" w:eastAsia="Arial" w:hAnsi="Arial"/>
          <w:sz w:val="15"/>
          <w:szCs w:val="15"/>
          <w:color w:val="auto"/>
        </w:rPr>
        <w:t>West Group results for the nine months ended September 30, 2014 reflect $40,756,000 of nonrecurring earnings, net.</w:t>
      </w:r>
    </w:p>
    <w:p>
      <w:pPr>
        <w:spacing w:after="0" w:line="1" w:lineRule="exact"/>
        <w:rPr>
          <w:rFonts w:ascii="Arial" w:cs="Arial" w:eastAsia="Arial" w:hAnsi="Arial"/>
          <w:sz w:val="13"/>
          <w:szCs w:val="13"/>
          <w:color w:val="auto"/>
        </w:rPr>
      </w:pPr>
    </w:p>
    <w:p>
      <w:pPr>
        <w:ind w:left="200" w:hanging="189"/>
        <w:spacing w:after="0"/>
        <w:tabs>
          <w:tab w:leader="none" w:pos="200" w:val="left"/>
        </w:tabs>
        <w:numPr>
          <w:ilvl w:val="0"/>
          <w:numId w:val="33"/>
        </w:numPr>
        <w:rPr>
          <w:rFonts w:ascii="Arial" w:cs="Arial" w:eastAsia="Arial" w:hAnsi="Arial"/>
          <w:sz w:val="12"/>
          <w:szCs w:val="12"/>
          <w:color w:val="auto"/>
        </w:rPr>
      </w:pPr>
      <w:r>
        <w:rPr>
          <w:rFonts w:ascii="Arial" w:cs="Arial" w:eastAsia="Arial" w:hAnsi="Arial"/>
          <w:sz w:val="14"/>
          <w:szCs w:val="14"/>
          <w:color w:val="auto"/>
        </w:rPr>
        <w:t>Cement segment results for the nine months ended September 30, 2015 includes the loss on the sale of the California cement operations and related expenses of $29,888,000.</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45 of 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5" w:name="page46"/>
    <w:bookmarkEnd w:id="45"/>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September 30, 2015</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rPr>
          <w:sz w:val="20"/>
          <w:szCs w:val="20"/>
          <w:color w:val="auto"/>
        </w:rPr>
      </w:pPr>
      <w:r>
        <w:rPr>
          <w:rFonts w:ascii="Arial" w:cs="Arial" w:eastAsia="Arial" w:hAnsi="Arial"/>
          <w:sz w:val="20"/>
          <w:szCs w:val="20"/>
          <w:color w:val="auto"/>
        </w:rPr>
        <w:t>Third Quarter Ended September 30, 2015</w:t>
      </w:r>
    </w:p>
    <w:p>
      <w:pPr>
        <w:jc w:val="center"/>
        <w:spacing w:after="0"/>
        <w:rPr>
          <w:sz w:val="20"/>
          <w:szCs w:val="20"/>
          <w:color w:val="auto"/>
        </w:rPr>
      </w:pPr>
      <w:r>
        <w:rPr>
          <w:rFonts w:ascii="Arial" w:cs="Arial" w:eastAsia="Arial" w:hAnsi="Arial"/>
          <w:sz w:val="20"/>
          <w:szCs w:val="20"/>
          <w:color w:val="auto"/>
        </w:rPr>
        <w:t>(Continued)</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20"/>
          <w:szCs w:val="20"/>
          <w:color w:val="auto"/>
        </w:rPr>
        <w:t>Net sales by product line for the Aggregates business are follows: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5040" w:type="dxa"/>
            <w:vAlign w:val="bottom"/>
          </w:tcPr>
          <w:p>
            <w:pPr>
              <w:spacing w:after="0"/>
              <w:rPr>
                <w:sz w:val="21"/>
                <w:szCs w:val="21"/>
                <w:color w:val="auto"/>
              </w:rPr>
            </w:pPr>
          </w:p>
        </w:tc>
        <w:tc>
          <w:tcPr>
            <w:tcW w:w="29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120" w:type="dxa"/>
            <w:vAlign w:val="bottom"/>
            <w:gridSpan w:val="5"/>
          </w:tcPr>
          <w:p>
            <w:pPr>
              <w:jc w:val="center"/>
              <w:ind w:right="480"/>
              <w:spacing w:after="0"/>
              <w:rPr>
                <w:sz w:val="20"/>
                <w:szCs w:val="20"/>
                <w:color w:val="auto"/>
              </w:rPr>
            </w:pPr>
            <w:r>
              <w:rPr>
                <w:rFonts w:ascii="Arial" w:cs="Arial" w:eastAsia="Arial" w:hAnsi="Arial"/>
                <w:sz w:val="20"/>
                <w:szCs w:val="20"/>
                <w:color w:val="auto"/>
                <w:w w:val="91"/>
              </w:rPr>
              <w:t>Nine Months Ended</w:t>
            </w:r>
          </w:p>
        </w:tc>
      </w:tr>
      <w:tr>
        <w:trPr>
          <w:trHeight w:val="340"/>
        </w:trPr>
        <w:tc>
          <w:tcPr>
            <w:tcW w:w="50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3"/>
          </w:tcPr>
          <w:p>
            <w:pPr>
              <w:jc w:val="center"/>
              <w:ind w:left="601"/>
              <w:spacing w:after="0"/>
              <w:rPr>
                <w:sz w:val="20"/>
                <w:szCs w:val="20"/>
                <w:color w:val="auto"/>
              </w:rPr>
            </w:pPr>
            <w:r>
              <w:rPr>
                <w:rFonts w:ascii="Arial" w:cs="Arial" w:eastAsia="Arial" w:hAnsi="Arial"/>
                <w:sz w:val="20"/>
                <w:szCs w:val="20"/>
                <w:color w:val="auto"/>
                <w:w w:val="86"/>
              </w:rPr>
              <w:t>September 30,</w:t>
            </w:r>
          </w:p>
        </w:tc>
        <w:tc>
          <w:tcPr>
            <w:tcW w:w="10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37"/>
        </w:trPr>
        <w:tc>
          <w:tcPr>
            <w:tcW w:w="504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81"/>
              <w:spacing w:after="0"/>
              <w:rPr>
                <w:sz w:val="20"/>
                <w:szCs w:val="20"/>
                <w:color w:val="auto"/>
              </w:rPr>
            </w:pPr>
            <w:r>
              <w:rPr>
                <w:rFonts w:ascii="Arial" w:cs="Arial" w:eastAsia="Arial" w:hAnsi="Arial"/>
                <w:sz w:val="20"/>
                <w:szCs w:val="20"/>
                <w:color w:val="auto"/>
              </w:rPr>
              <w:t>2015</w:t>
            </w:r>
          </w:p>
        </w:tc>
        <w:tc>
          <w:tcPr>
            <w:tcW w:w="2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501"/>
              <w:spacing w:after="0"/>
              <w:rPr>
                <w:sz w:val="20"/>
                <w:szCs w:val="20"/>
                <w:color w:val="auto"/>
              </w:rPr>
            </w:pPr>
            <w:r>
              <w:rPr>
                <w:rFonts w:ascii="Arial" w:cs="Arial" w:eastAsia="Arial" w:hAnsi="Arial"/>
                <w:sz w:val="20"/>
                <w:szCs w:val="20"/>
                <w:color w:val="auto"/>
                <w:w w:val="94"/>
              </w:rPr>
              <w:t>2014</w:t>
            </w:r>
          </w:p>
        </w:tc>
        <w:tc>
          <w:tcPr>
            <w:tcW w:w="120" w:type="dxa"/>
            <w:vAlign w:val="bottom"/>
          </w:tcPr>
          <w:p>
            <w:pPr>
              <w:spacing w:after="0"/>
              <w:rPr>
                <w:sz w:val="20"/>
                <w:szCs w:val="20"/>
                <w:color w:val="auto"/>
              </w:rPr>
            </w:pPr>
          </w:p>
        </w:tc>
      </w:tr>
      <w:tr>
        <w:trPr>
          <w:trHeight w:val="237"/>
        </w:trPr>
        <w:tc>
          <w:tcPr>
            <w:tcW w:w="504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0" w:type="dxa"/>
            <w:vAlign w:val="bottom"/>
            <w:gridSpan w:val="4"/>
          </w:tcPr>
          <w:p>
            <w:pPr>
              <w:jc w:val="center"/>
              <w:ind w:right="261"/>
              <w:spacing w:after="0"/>
              <w:rPr>
                <w:sz w:val="20"/>
                <w:szCs w:val="20"/>
                <w:color w:val="auto"/>
              </w:rPr>
            </w:pPr>
            <w:r>
              <w:rPr>
                <w:rFonts w:ascii="Arial" w:cs="Arial" w:eastAsia="Arial" w:hAnsi="Arial"/>
                <w:sz w:val="20"/>
                <w:szCs w:val="20"/>
                <w:i w:val="1"/>
                <w:iCs w:val="1"/>
                <w:color w:val="auto"/>
                <w:w w:val="91"/>
              </w:rPr>
              <w:t>(Dollars in Thousands)</w:t>
            </w:r>
          </w:p>
        </w:tc>
        <w:tc>
          <w:tcPr>
            <w:tcW w:w="120" w:type="dxa"/>
            <w:vAlign w:val="bottom"/>
          </w:tcPr>
          <w:p>
            <w:pPr>
              <w:spacing w:after="0"/>
              <w:rPr>
                <w:sz w:val="20"/>
                <w:szCs w:val="20"/>
                <w:color w:val="auto"/>
              </w:rPr>
            </w:pPr>
          </w:p>
        </w:tc>
      </w:tr>
      <w:tr>
        <w:trPr>
          <w:trHeight w:val="243"/>
        </w:trPr>
        <w:tc>
          <w:tcPr>
            <w:tcW w:w="5040" w:type="dxa"/>
            <w:vAlign w:val="bottom"/>
            <w:shd w:val="clear" w:color="auto" w:fill="CFF0FC"/>
          </w:tcPr>
          <w:p>
            <w:pPr>
              <w:spacing w:after="0"/>
              <w:rPr>
                <w:sz w:val="20"/>
                <w:szCs w:val="20"/>
                <w:color w:val="auto"/>
              </w:rPr>
            </w:pPr>
            <w:r>
              <w:rPr>
                <w:rFonts w:ascii="Arial" w:cs="Arial" w:eastAsia="Arial" w:hAnsi="Arial"/>
                <w:sz w:val="20"/>
                <w:szCs w:val="20"/>
                <w:b w:val="1"/>
                <w:bCs w:val="1"/>
                <w:color w:val="auto"/>
              </w:rPr>
              <w:t>Net sales:</w:t>
            </w:r>
          </w:p>
        </w:tc>
        <w:tc>
          <w:tcPr>
            <w:tcW w:w="29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r>
      <w:tr>
        <w:trPr>
          <w:trHeight w:val="243"/>
        </w:trPr>
        <w:tc>
          <w:tcPr>
            <w:tcW w:w="5040" w:type="dxa"/>
            <w:vAlign w:val="bottom"/>
          </w:tcPr>
          <w:p>
            <w:pPr>
              <w:spacing w:after="0"/>
              <w:rPr>
                <w:sz w:val="20"/>
                <w:szCs w:val="20"/>
                <w:color w:val="auto"/>
              </w:rPr>
            </w:pPr>
            <w:r>
              <w:rPr>
                <w:rFonts w:ascii="Arial" w:cs="Arial" w:eastAsia="Arial" w:hAnsi="Arial"/>
                <w:sz w:val="20"/>
                <w:szCs w:val="20"/>
                <w:color w:val="auto"/>
              </w:rPr>
              <w:t>Heritage:</w:t>
            </w:r>
          </w:p>
        </w:tc>
        <w:tc>
          <w:tcPr>
            <w:tcW w:w="29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43"/>
        </w:trPr>
        <w:tc>
          <w:tcPr>
            <w:tcW w:w="50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Aggregates</w:t>
            </w:r>
          </w:p>
        </w:tc>
        <w:tc>
          <w:tcPr>
            <w:tcW w:w="3260" w:type="dxa"/>
            <w:vAlign w:val="bottom"/>
            <w:gridSpan w:val="2"/>
            <w:shd w:val="clear" w:color="auto" w:fill="CFF0FC"/>
          </w:tcPr>
          <w:p>
            <w:pPr>
              <w:jc w:val="right"/>
              <w:ind w:right="141"/>
              <w:spacing w:after="0"/>
              <w:rPr>
                <w:sz w:val="20"/>
                <w:szCs w:val="20"/>
                <w:color w:val="auto"/>
              </w:rPr>
            </w:pPr>
            <w:r>
              <w:rPr>
                <w:rFonts w:ascii="Arial" w:cs="Arial" w:eastAsia="Arial" w:hAnsi="Arial"/>
                <w:sz w:val="20"/>
                <w:szCs w:val="20"/>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1,230,139</w:t>
            </w:r>
          </w:p>
        </w:tc>
        <w:tc>
          <w:tcPr>
            <w:tcW w:w="740" w:type="dxa"/>
            <w:vAlign w:val="bottom"/>
            <w:gridSpan w:val="2"/>
            <w:shd w:val="clear" w:color="auto" w:fill="CFF0FC"/>
          </w:tcPr>
          <w:p>
            <w:pPr>
              <w:jc w:val="right"/>
              <w:ind w:right="321"/>
              <w:spacing w:after="0"/>
              <w:rPr>
                <w:sz w:val="20"/>
                <w:szCs w:val="20"/>
                <w:color w:val="auto"/>
              </w:rPr>
            </w:pPr>
            <w:r>
              <w:rPr>
                <w:rFonts w:ascii="Arial" w:cs="Arial" w:eastAsia="Arial" w:hAnsi="Arial"/>
                <w:sz w:val="20"/>
                <w:szCs w:val="20"/>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1,127,879</w:t>
            </w:r>
          </w:p>
        </w:tc>
        <w:tc>
          <w:tcPr>
            <w:tcW w:w="120" w:type="dxa"/>
            <w:vAlign w:val="bottom"/>
            <w:shd w:val="clear" w:color="auto" w:fill="CFF0FC"/>
          </w:tcPr>
          <w:p>
            <w:pPr>
              <w:spacing w:after="0"/>
              <w:rPr>
                <w:sz w:val="21"/>
                <w:szCs w:val="21"/>
                <w:color w:val="auto"/>
              </w:rPr>
            </w:pPr>
          </w:p>
        </w:tc>
      </w:tr>
      <w:tr>
        <w:trPr>
          <w:trHeight w:val="243"/>
        </w:trPr>
        <w:tc>
          <w:tcPr>
            <w:tcW w:w="5040" w:type="dxa"/>
            <w:vAlign w:val="bottom"/>
          </w:tcPr>
          <w:p>
            <w:pPr>
              <w:ind w:left="260"/>
              <w:spacing w:after="0"/>
              <w:rPr>
                <w:sz w:val="20"/>
                <w:szCs w:val="20"/>
                <w:color w:val="auto"/>
              </w:rPr>
            </w:pPr>
            <w:r>
              <w:rPr>
                <w:rFonts w:ascii="Arial" w:cs="Arial" w:eastAsia="Arial" w:hAnsi="Arial"/>
                <w:sz w:val="20"/>
                <w:szCs w:val="20"/>
                <w:color w:val="auto"/>
              </w:rPr>
              <w:t>Asphalt</w:t>
            </w:r>
          </w:p>
        </w:tc>
        <w:tc>
          <w:tcPr>
            <w:tcW w:w="29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55,358</w:t>
            </w:r>
          </w:p>
        </w:tc>
        <w:tc>
          <w:tcPr>
            <w:tcW w:w="2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59,998</w:t>
            </w:r>
          </w:p>
        </w:tc>
        <w:tc>
          <w:tcPr>
            <w:tcW w:w="120" w:type="dxa"/>
            <w:vAlign w:val="bottom"/>
          </w:tcPr>
          <w:p>
            <w:pPr>
              <w:spacing w:after="0"/>
              <w:rPr>
                <w:sz w:val="21"/>
                <w:szCs w:val="21"/>
                <w:color w:val="auto"/>
              </w:rPr>
            </w:pPr>
          </w:p>
        </w:tc>
      </w:tr>
      <w:tr>
        <w:trPr>
          <w:trHeight w:val="243"/>
        </w:trPr>
        <w:tc>
          <w:tcPr>
            <w:tcW w:w="50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Ready Mixed Concrete</w:t>
            </w:r>
          </w:p>
        </w:tc>
        <w:tc>
          <w:tcPr>
            <w:tcW w:w="29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165,681</w:t>
            </w:r>
          </w:p>
        </w:tc>
        <w:tc>
          <w:tcPr>
            <w:tcW w:w="22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146,864</w:t>
            </w:r>
          </w:p>
        </w:tc>
        <w:tc>
          <w:tcPr>
            <w:tcW w:w="120" w:type="dxa"/>
            <w:vAlign w:val="bottom"/>
            <w:shd w:val="clear" w:color="auto" w:fill="CFF0FC"/>
          </w:tcPr>
          <w:p>
            <w:pPr>
              <w:spacing w:after="0"/>
              <w:rPr>
                <w:sz w:val="21"/>
                <w:szCs w:val="21"/>
                <w:color w:val="auto"/>
              </w:rPr>
            </w:pPr>
          </w:p>
        </w:tc>
      </w:tr>
      <w:tr>
        <w:trPr>
          <w:trHeight w:val="243"/>
        </w:trPr>
        <w:tc>
          <w:tcPr>
            <w:tcW w:w="5040" w:type="dxa"/>
            <w:vAlign w:val="bottom"/>
            <w:tcBorders>
              <w:bottom w:val="single" w:sz="8" w:color="CFF0FC"/>
            </w:tcBorders>
          </w:tcPr>
          <w:p>
            <w:pPr>
              <w:ind w:left="260"/>
              <w:spacing w:after="0"/>
              <w:rPr>
                <w:sz w:val="20"/>
                <w:szCs w:val="20"/>
                <w:color w:val="auto"/>
              </w:rPr>
            </w:pPr>
            <w:r>
              <w:rPr>
                <w:rFonts w:ascii="Arial" w:cs="Arial" w:eastAsia="Arial" w:hAnsi="Arial"/>
                <w:sz w:val="20"/>
                <w:szCs w:val="20"/>
                <w:color w:val="auto"/>
              </w:rPr>
              <w:t>Road Paving</w:t>
            </w:r>
          </w:p>
        </w:tc>
        <w:tc>
          <w:tcPr>
            <w:tcW w:w="2920" w:type="dxa"/>
            <w:vAlign w:val="bottom"/>
            <w:tcBorders>
              <w:bottom w:val="single" w:sz="8" w:color="CFF0FC"/>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117,273</w:t>
            </w:r>
          </w:p>
        </w:tc>
        <w:tc>
          <w:tcPr>
            <w:tcW w:w="220" w:type="dxa"/>
            <w:vAlign w:val="bottom"/>
            <w:tcBorders>
              <w:bottom w:val="single" w:sz="8" w:color="CFF0FC"/>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113,302</w:t>
            </w:r>
          </w:p>
        </w:tc>
        <w:tc>
          <w:tcPr>
            <w:tcW w:w="120" w:type="dxa"/>
            <w:vAlign w:val="bottom"/>
            <w:tcBorders>
              <w:bottom w:val="single" w:sz="8" w:color="CFF0FC"/>
            </w:tcBorders>
          </w:tcPr>
          <w:p>
            <w:pPr>
              <w:spacing w:after="0"/>
              <w:rPr>
                <w:sz w:val="21"/>
                <w:szCs w:val="21"/>
                <w:color w:val="auto"/>
              </w:rPr>
            </w:pPr>
          </w:p>
        </w:tc>
      </w:tr>
      <w:tr>
        <w:trPr>
          <w:trHeight w:val="237"/>
        </w:trPr>
        <w:tc>
          <w:tcPr>
            <w:tcW w:w="5040" w:type="dxa"/>
            <w:vAlign w:val="bottom"/>
            <w:shd w:val="clear" w:color="auto" w:fill="CFF0FC"/>
          </w:tcPr>
          <w:p>
            <w:pPr>
              <w:spacing w:after="0"/>
              <w:rPr>
                <w:sz w:val="20"/>
                <w:szCs w:val="20"/>
                <w:color w:val="auto"/>
              </w:rPr>
            </w:pPr>
            <w:r>
              <w:rPr>
                <w:rFonts w:ascii="Arial" w:cs="Arial" w:eastAsia="Arial" w:hAnsi="Arial"/>
                <w:sz w:val="20"/>
                <w:szCs w:val="20"/>
                <w:color w:val="auto"/>
              </w:rPr>
              <w:t>Total Heritage</w:t>
            </w:r>
          </w:p>
        </w:tc>
        <w:tc>
          <w:tcPr>
            <w:tcW w:w="292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1,568,451</w:t>
            </w:r>
          </w:p>
        </w:tc>
        <w:tc>
          <w:tcPr>
            <w:tcW w:w="22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1,448,043</w:t>
            </w:r>
          </w:p>
        </w:tc>
        <w:tc>
          <w:tcPr>
            <w:tcW w:w="120" w:type="dxa"/>
            <w:vAlign w:val="bottom"/>
            <w:shd w:val="clear" w:color="auto" w:fill="CFF0FC"/>
          </w:tcPr>
          <w:p>
            <w:pPr>
              <w:spacing w:after="0"/>
              <w:rPr>
                <w:sz w:val="20"/>
                <w:szCs w:val="20"/>
                <w:color w:val="auto"/>
              </w:rPr>
            </w:pPr>
          </w:p>
        </w:tc>
      </w:tr>
      <w:tr>
        <w:trPr>
          <w:trHeight w:val="243"/>
        </w:trPr>
        <w:tc>
          <w:tcPr>
            <w:tcW w:w="5040" w:type="dxa"/>
            <w:vAlign w:val="bottom"/>
            <w:tcBorders>
              <w:bottom w:val="single" w:sz="8" w:color="CFF0FC"/>
            </w:tcBorders>
          </w:tcPr>
          <w:p>
            <w:pPr>
              <w:spacing w:after="0"/>
              <w:rPr>
                <w:sz w:val="20"/>
                <w:szCs w:val="20"/>
                <w:color w:val="auto"/>
              </w:rPr>
            </w:pPr>
            <w:r>
              <w:rPr>
                <w:rFonts w:ascii="Arial" w:cs="Arial" w:eastAsia="Arial" w:hAnsi="Arial"/>
                <w:sz w:val="20"/>
                <w:szCs w:val="20"/>
                <w:color w:val="auto"/>
              </w:rPr>
              <w:t>Acquisitions</w:t>
            </w:r>
          </w:p>
        </w:tc>
        <w:tc>
          <w:tcPr>
            <w:tcW w:w="2920" w:type="dxa"/>
            <w:vAlign w:val="bottom"/>
            <w:tcBorders>
              <w:bottom w:val="single" w:sz="8" w:color="CFF0FC"/>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434,932</w:t>
            </w:r>
          </w:p>
        </w:tc>
        <w:tc>
          <w:tcPr>
            <w:tcW w:w="220" w:type="dxa"/>
            <w:vAlign w:val="bottom"/>
            <w:tcBorders>
              <w:bottom w:val="single" w:sz="8" w:color="CFF0FC"/>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164,052</w:t>
            </w:r>
          </w:p>
        </w:tc>
        <w:tc>
          <w:tcPr>
            <w:tcW w:w="120" w:type="dxa"/>
            <w:vAlign w:val="bottom"/>
            <w:tcBorders>
              <w:bottom w:val="single" w:sz="8" w:color="CFF0FC"/>
            </w:tcBorders>
          </w:tcPr>
          <w:p>
            <w:pPr>
              <w:spacing w:after="0"/>
              <w:rPr>
                <w:sz w:val="21"/>
                <w:szCs w:val="21"/>
                <w:color w:val="auto"/>
              </w:rPr>
            </w:pPr>
          </w:p>
        </w:tc>
      </w:tr>
      <w:tr>
        <w:trPr>
          <w:trHeight w:val="237"/>
        </w:trPr>
        <w:tc>
          <w:tcPr>
            <w:tcW w:w="50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Total Aggregates Business</w:t>
            </w:r>
          </w:p>
        </w:tc>
        <w:tc>
          <w:tcPr>
            <w:tcW w:w="292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jc w:val="right"/>
              <w:ind w:right="141"/>
              <w:spacing w:after="0"/>
              <w:rPr>
                <w:sz w:val="20"/>
                <w:szCs w:val="20"/>
                <w:color w:val="auto"/>
              </w:rPr>
            </w:pPr>
            <w:r>
              <w:rPr>
                <w:rFonts w:ascii="Arial" w:cs="Arial" w:eastAsia="Arial" w:hAnsi="Arial"/>
                <w:sz w:val="20"/>
                <w:szCs w:val="20"/>
                <w:color w:val="auto"/>
                <w:w w:val="71"/>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2,003,383</w:t>
            </w:r>
          </w:p>
        </w:tc>
        <w:tc>
          <w:tcPr>
            <w:tcW w:w="220" w:type="dxa"/>
            <w:vAlign w:val="bottom"/>
            <w:tcBorders>
              <w:bottom w:val="single" w:sz="8" w:color="CFF0FC"/>
            </w:tcBorders>
            <w:shd w:val="clear" w:color="auto" w:fill="CFF0FC"/>
          </w:tcPr>
          <w:p>
            <w:pPr>
              <w:spacing w:after="0"/>
              <w:rPr>
                <w:sz w:val="20"/>
                <w:szCs w:val="20"/>
                <w:color w:val="auto"/>
              </w:rPr>
            </w:pPr>
          </w:p>
        </w:tc>
        <w:tc>
          <w:tcPr>
            <w:tcW w:w="520" w:type="dxa"/>
            <w:vAlign w:val="bottom"/>
            <w:tcBorders>
              <w:bottom w:val="single" w:sz="8" w:color="auto"/>
            </w:tcBorders>
            <w:shd w:val="clear" w:color="auto" w:fill="CFF0FC"/>
          </w:tcPr>
          <w:p>
            <w:pPr>
              <w:jc w:val="right"/>
              <w:ind w:right="321"/>
              <w:spacing w:after="0"/>
              <w:rPr>
                <w:sz w:val="20"/>
                <w:szCs w:val="20"/>
                <w:color w:val="auto"/>
              </w:rPr>
            </w:pPr>
            <w:r>
              <w:rPr>
                <w:rFonts w:ascii="Arial" w:cs="Arial" w:eastAsia="Arial" w:hAnsi="Arial"/>
                <w:sz w:val="20"/>
                <w:szCs w:val="20"/>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1,612,095</w:t>
            </w:r>
          </w:p>
        </w:tc>
        <w:tc>
          <w:tcPr>
            <w:tcW w:w="120" w:type="dxa"/>
            <w:vAlign w:val="bottom"/>
            <w:tcBorders>
              <w:bottom w:val="single" w:sz="8" w:color="CFF0FC"/>
            </w:tcBorders>
            <w:shd w:val="clear" w:color="auto" w:fill="CFF0FC"/>
          </w:tcPr>
          <w:p>
            <w:pPr>
              <w:spacing w:after="0"/>
              <w:rPr>
                <w:sz w:val="20"/>
                <w:szCs w:val="20"/>
                <w:color w:val="auto"/>
              </w:rPr>
            </w:pPr>
          </w:p>
        </w:tc>
      </w:tr>
      <w:tr>
        <w:trPr>
          <w:trHeight w:val="20"/>
        </w:trPr>
        <w:tc>
          <w:tcPr>
            <w:tcW w:w="504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07"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tables present volume and pricing data and shipments data for the aggregates product line.</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640" w:type="dxa"/>
            <w:vAlign w:val="bottom"/>
          </w:tcPr>
          <w:p>
            <w:pPr>
              <w:spacing w:after="0"/>
              <w:rPr>
                <w:sz w:val="21"/>
                <w:szCs w:val="21"/>
                <w:color w:val="auto"/>
              </w:rPr>
            </w:pPr>
          </w:p>
        </w:tc>
        <w:tc>
          <w:tcPr>
            <w:tcW w:w="3120" w:type="dxa"/>
            <w:vAlign w:val="bottom"/>
            <w:gridSpan w:val="4"/>
          </w:tcPr>
          <w:p>
            <w:pPr>
              <w:ind w:left="1000"/>
              <w:spacing w:after="0"/>
              <w:rPr>
                <w:sz w:val="20"/>
                <w:szCs w:val="20"/>
                <w:color w:val="auto"/>
              </w:rPr>
            </w:pPr>
            <w:r>
              <w:rPr>
                <w:rFonts w:ascii="Arial" w:cs="Arial" w:eastAsia="Arial" w:hAnsi="Arial"/>
                <w:sz w:val="20"/>
                <w:szCs w:val="20"/>
                <w:color w:val="auto"/>
              </w:rPr>
              <w:t>Nine Months Ended</w:t>
            </w:r>
          </w:p>
        </w:tc>
        <w:tc>
          <w:tcPr>
            <w:tcW w:w="48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246"/>
        </w:trPr>
        <w:tc>
          <w:tcPr>
            <w:tcW w:w="7640" w:type="dxa"/>
            <w:vAlign w:val="bottom"/>
          </w:tcPr>
          <w:p>
            <w:pPr>
              <w:spacing w:after="0"/>
              <w:rPr>
                <w:sz w:val="21"/>
                <w:szCs w:val="21"/>
                <w:color w:val="auto"/>
              </w:rPr>
            </w:pPr>
          </w:p>
        </w:tc>
        <w:tc>
          <w:tcPr>
            <w:tcW w:w="3120" w:type="dxa"/>
            <w:vAlign w:val="bottom"/>
            <w:tcBorders>
              <w:bottom w:val="single" w:sz="8" w:color="auto"/>
            </w:tcBorders>
            <w:gridSpan w:val="4"/>
          </w:tcPr>
          <w:p>
            <w:pPr>
              <w:ind w:left="1000"/>
              <w:spacing w:after="0"/>
              <w:rPr>
                <w:sz w:val="20"/>
                <w:szCs w:val="20"/>
                <w:color w:val="auto"/>
              </w:rPr>
            </w:pPr>
            <w:r>
              <w:rPr>
                <w:rFonts w:ascii="Arial" w:cs="Arial" w:eastAsia="Arial" w:hAnsi="Arial"/>
                <w:sz w:val="20"/>
                <w:szCs w:val="20"/>
                <w:color w:val="auto"/>
              </w:rPr>
              <w:t>September 30, 2015</w:t>
            </w:r>
          </w:p>
        </w:tc>
        <w:tc>
          <w:tcPr>
            <w:tcW w:w="48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r>
      <w:tr>
        <w:trPr>
          <w:trHeight w:val="237"/>
        </w:trPr>
        <w:tc>
          <w:tcPr>
            <w:tcW w:w="7640" w:type="dxa"/>
            <w:vAlign w:val="bottom"/>
            <w:tcBorders>
              <w:bottom w:val="single" w:sz="8" w:color="CFF0FC"/>
            </w:tcBorders>
          </w:tcPr>
          <w:p>
            <w:pPr>
              <w:spacing w:after="0"/>
              <w:rPr>
                <w:sz w:val="20"/>
                <w:szCs w:val="20"/>
                <w:color w:val="auto"/>
              </w:rPr>
            </w:pPr>
          </w:p>
        </w:tc>
        <w:tc>
          <w:tcPr>
            <w:tcW w:w="1160" w:type="dxa"/>
            <w:vAlign w:val="bottom"/>
            <w:tcBorders>
              <w:bottom w:val="single" w:sz="8" w:color="auto"/>
            </w:tcBorders>
          </w:tcPr>
          <w:p>
            <w:pPr>
              <w:ind w:left="460"/>
              <w:spacing w:after="0"/>
              <w:rPr>
                <w:sz w:val="20"/>
                <w:szCs w:val="20"/>
                <w:color w:val="auto"/>
              </w:rPr>
            </w:pPr>
            <w:r>
              <w:rPr>
                <w:rFonts w:ascii="Arial" w:cs="Arial" w:eastAsia="Arial" w:hAnsi="Arial"/>
                <w:sz w:val="20"/>
                <w:szCs w:val="20"/>
                <w:color w:val="auto"/>
              </w:rPr>
              <w:t>Volume</w:t>
            </w:r>
          </w:p>
        </w:tc>
        <w:tc>
          <w:tcPr>
            <w:tcW w:w="400" w:type="dxa"/>
            <w:vAlign w:val="bottom"/>
            <w:tcBorders>
              <w:bottom w:val="single" w:sz="8" w:color="auto"/>
            </w:tcBorders>
          </w:tcPr>
          <w:p>
            <w:pPr>
              <w:spacing w:after="0"/>
              <w:rPr>
                <w:sz w:val="20"/>
                <w:szCs w:val="20"/>
                <w:color w:val="auto"/>
              </w:rPr>
            </w:pPr>
          </w:p>
        </w:tc>
        <w:tc>
          <w:tcPr>
            <w:tcW w:w="340" w:type="dxa"/>
            <w:vAlign w:val="bottom"/>
            <w:tcBorders>
              <w:bottom w:val="single" w:sz="8" w:color="CFF0FC"/>
            </w:tcBorders>
          </w:tcPr>
          <w:p>
            <w:pPr>
              <w:spacing w:after="0"/>
              <w:rPr>
                <w:sz w:val="20"/>
                <w:szCs w:val="20"/>
                <w:color w:val="auto"/>
              </w:rPr>
            </w:pPr>
          </w:p>
        </w:tc>
        <w:tc>
          <w:tcPr>
            <w:tcW w:w="1220" w:type="dxa"/>
            <w:vAlign w:val="bottom"/>
            <w:tcBorders>
              <w:bottom w:val="single" w:sz="8" w:color="auto"/>
            </w:tcBorders>
          </w:tcPr>
          <w:p>
            <w:pPr>
              <w:ind w:left="560"/>
              <w:spacing w:after="0"/>
              <w:rPr>
                <w:sz w:val="20"/>
                <w:szCs w:val="20"/>
                <w:color w:val="auto"/>
              </w:rPr>
            </w:pPr>
            <w:r>
              <w:rPr>
                <w:rFonts w:ascii="Arial" w:cs="Arial" w:eastAsia="Arial" w:hAnsi="Arial"/>
                <w:sz w:val="20"/>
                <w:szCs w:val="20"/>
                <w:color w:val="auto"/>
              </w:rPr>
              <w:t>Pricing</w:t>
            </w:r>
          </w:p>
        </w:tc>
        <w:tc>
          <w:tcPr>
            <w:tcW w:w="480" w:type="dxa"/>
            <w:vAlign w:val="bottom"/>
            <w:tcBorders>
              <w:bottom w:val="single" w:sz="8" w:color="auto"/>
            </w:tcBorders>
          </w:tcPr>
          <w:p>
            <w:pPr>
              <w:spacing w:after="0"/>
              <w:rPr>
                <w:sz w:val="20"/>
                <w:szCs w:val="20"/>
                <w:color w:val="auto"/>
              </w:rPr>
            </w:pPr>
          </w:p>
        </w:tc>
        <w:tc>
          <w:tcPr>
            <w:tcW w:w="180" w:type="dxa"/>
            <w:vAlign w:val="bottom"/>
            <w:tcBorders>
              <w:bottom w:val="single" w:sz="8" w:color="CFF0FC"/>
            </w:tcBorders>
          </w:tcPr>
          <w:p>
            <w:pPr>
              <w:spacing w:after="0"/>
              <w:rPr>
                <w:sz w:val="20"/>
                <w:szCs w:val="20"/>
                <w:color w:val="auto"/>
              </w:rPr>
            </w:pPr>
          </w:p>
        </w:tc>
      </w:tr>
      <w:tr>
        <w:trPr>
          <w:trHeight w:val="237"/>
        </w:trPr>
        <w:tc>
          <w:tcPr>
            <w:tcW w:w="7640" w:type="dxa"/>
            <w:vAlign w:val="bottom"/>
            <w:shd w:val="clear" w:color="auto" w:fill="CFF0FC"/>
          </w:tcPr>
          <w:p>
            <w:pPr>
              <w:spacing w:after="0"/>
              <w:rPr>
                <w:sz w:val="20"/>
                <w:szCs w:val="20"/>
                <w:color w:val="auto"/>
              </w:rPr>
            </w:pPr>
            <w:r>
              <w:rPr>
                <w:rFonts w:ascii="Arial" w:cs="Arial" w:eastAsia="Arial" w:hAnsi="Arial"/>
                <w:sz w:val="20"/>
                <w:szCs w:val="20"/>
                <w:b w:val="1"/>
                <w:bCs w:val="1"/>
                <w:color w:val="auto"/>
              </w:rPr>
              <w:t xml:space="preserve">Volume/Pricing Variance </w:t>
            </w:r>
            <w:r>
              <w:rPr>
                <w:rFonts w:ascii="Arial" w:cs="Arial" w:eastAsia="Arial" w:hAnsi="Arial"/>
                <w:sz w:val="16"/>
                <w:szCs w:val="16"/>
                <w:color w:val="auto"/>
              </w:rPr>
              <w:t>(1)</w:t>
            </w:r>
          </w:p>
        </w:tc>
        <w:tc>
          <w:tcPr>
            <w:tcW w:w="116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r>
      <w:tr>
        <w:trPr>
          <w:trHeight w:val="243"/>
        </w:trPr>
        <w:tc>
          <w:tcPr>
            <w:tcW w:w="8800" w:type="dxa"/>
            <w:vAlign w:val="bottom"/>
            <w:gridSpan w:val="2"/>
          </w:tcPr>
          <w:p>
            <w:pPr>
              <w:spacing w:after="0"/>
              <w:rPr>
                <w:sz w:val="20"/>
                <w:szCs w:val="20"/>
                <w:color w:val="auto"/>
              </w:rPr>
            </w:pPr>
            <w:r>
              <w:rPr>
                <w:rFonts w:ascii="Arial" w:cs="Arial" w:eastAsia="Arial" w:hAnsi="Arial"/>
                <w:sz w:val="20"/>
                <w:szCs w:val="20"/>
                <w:color w:val="auto"/>
              </w:rPr>
              <w:t xml:space="preserve">Heritage Aggregates Product Line </w:t>
            </w:r>
            <w:r>
              <w:rPr>
                <w:rFonts w:ascii="Arial" w:cs="Arial" w:eastAsia="Arial" w:hAnsi="Arial"/>
                <w:sz w:val="16"/>
                <w:szCs w:val="16"/>
                <w:color w:val="auto"/>
              </w:rPr>
              <w:t>(2)</w:t>
            </w:r>
            <w:r>
              <w:rPr>
                <w:rFonts w:ascii="Arial" w:cs="Arial" w:eastAsia="Arial" w:hAnsi="Arial"/>
                <w:sz w:val="20"/>
                <w:szCs w:val="20"/>
                <w:color w:val="auto"/>
              </w:rPr>
              <w:t>:</w:t>
            </w:r>
          </w:p>
        </w:tc>
        <w:tc>
          <w:tcPr>
            <w:tcW w:w="4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243"/>
        </w:trPr>
        <w:tc>
          <w:tcPr>
            <w:tcW w:w="8800" w:type="dxa"/>
            <w:vAlign w:val="bottom"/>
            <w:gridSpan w:val="2"/>
            <w:shd w:val="clear" w:color="auto" w:fill="CFF0FC"/>
          </w:tcPr>
          <w:p>
            <w:pPr>
              <w:ind w:left="260"/>
              <w:spacing w:after="0"/>
              <w:rPr>
                <w:sz w:val="20"/>
                <w:szCs w:val="20"/>
                <w:color w:val="auto"/>
              </w:rPr>
            </w:pPr>
            <w:r>
              <w:rPr>
                <w:rFonts w:ascii="Arial" w:cs="Arial" w:eastAsia="Arial" w:hAnsi="Arial"/>
                <w:sz w:val="20"/>
                <w:szCs w:val="20"/>
                <w:color w:val="auto"/>
              </w:rPr>
              <w:t>Mid-America Group</w:t>
            </w:r>
          </w:p>
        </w:tc>
        <w:tc>
          <w:tcPr>
            <w:tcW w:w="740" w:type="dxa"/>
            <w:vAlign w:val="bottom"/>
            <w:gridSpan w:val="2"/>
            <w:shd w:val="clear" w:color="auto" w:fill="CFF0FC"/>
          </w:tcPr>
          <w:p>
            <w:pPr>
              <w:jc w:val="right"/>
              <w:ind w:right="160"/>
              <w:spacing w:after="0"/>
              <w:rPr>
                <w:sz w:val="20"/>
                <w:szCs w:val="20"/>
                <w:color w:val="auto"/>
              </w:rPr>
            </w:pPr>
            <w:r>
              <w:rPr>
                <w:rFonts w:ascii="Arial" w:cs="Arial" w:eastAsia="Arial" w:hAnsi="Arial"/>
                <w:sz w:val="20"/>
                <w:szCs w:val="20"/>
                <w:color w:val="auto"/>
              </w:rPr>
              <w:t>5.9%</w:t>
            </w:r>
          </w:p>
        </w:tc>
        <w:tc>
          <w:tcPr>
            <w:tcW w:w="1220" w:type="dxa"/>
            <w:vAlign w:val="bottom"/>
            <w:shd w:val="clear" w:color="auto" w:fill="CFF0FC"/>
          </w:tcPr>
          <w:p>
            <w:pPr>
              <w:spacing w:after="0"/>
              <w:rPr>
                <w:sz w:val="21"/>
                <w:szCs w:val="21"/>
                <w:color w:val="auto"/>
              </w:rPr>
            </w:pPr>
          </w:p>
        </w:tc>
        <w:tc>
          <w:tcPr>
            <w:tcW w:w="660" w:type="dxa"/>
            <w:vAlign w:val="bottom"/>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4.6%</w:t>
            </w:r>
          </w:p>
        </w:tc>
      </w:tr>
      <w:tr>
        <w:trPr>
          <w:trHeight w:val="243"/>
        </w:trPr>
        <w:tc>
          <w:tcPr>
            <w:tcW w:w="8800" w:type="dxa"/>
            <w:vAlign w:val="bottom"/>
            <w:gridSpan w:val="2"/>
          </w:tcPr>
          <w:p>
            <w:pPr>
              <w:ind w:left="260"/>
              <w:spacing w:after="0"/>
              <w:rPr>
                <w:sz w:val="20"/>
                <w:szCs w:val="20"/>
                <w:color w:val="auto"/>
              </w:rPr>
            </w:pPr>
            <w:r>
              <w:rPr>
                <w:rFonts w:ascii="Arial" w:cs="Arial" w:eastAsia="Arial" w:hAnsi="Arial"/>
                <w:sz w:val="20"/>
                <w:szCs w:val="20"/>
                <w:color w:val="auto"/>
              </w:rPr>
              <w:t>Southeast Group</w:t>
            </w:r>
          </w:p>
        </w:tc>
        <w:tc>
          <w:tcPr>
            <w:tcW w:w="740" w:type="dxa"/>
            <w:vAlign w:val="bottom"/>
            <w:gridSpan w:val="2"/>
          </w:tcPr>
          <w:p>
            <w:pPr>
              <w:jc w:val="right"/>
              <w:ind w:right="160"/>
              <w:spacing w:after="0"/>
              <w:rPr>
                <w:sz w:val="20"/>
                <w:szCs w:val="20"/>
                <w:color w:val="auto"/>
              </w:rPr>
            </w:pPr>
            <w:r>
              <w:rPr>
                <w:rFonts w:ascii="Arial" w:cs="Arial" w:eastAsia="Arial" w:hAnsi="Arial"/>
                <w:sz w:val="20"/>
                <w:szCs w:val="20"/>
                <w:color w:val="auto"/>
              </w:rPr>
              <w:t>6.0%</w:t>
            </w:r>
          </w:p>
        </w:tc>
        <w:tc>
          <w:tcPr>
            <w:tcW w:w="1220" w:type="dxa"/>
            <w:vAlign w:val="bottom"/>
          </w:tcPr>
          <w:p>
            <w:pPr>
              <w:spacing w:after="0"/>
              <w:rPr>
                <w:sz w:val="21"/>
                <w:szCs w:val="21"/>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20"/>
                <w:szCs w:val="20"/>
                <w:color w:val="auto"/>
              </w:rPr>
              <w:t>4.6%</w:t>
            </w:r>
          </w:p>
        </w:tc>
      </w:tr>
      <w:tr>
        <w:trPr>
          <w:trHeight w:val="243"/>
        </w:trPr>
        <w:tc>
          <w:tcPr>
            <w:tcW w:w="8800" w:type="dxa"/>
            <w:vAlign w:val="bottom"/>
            <w:gridSpan w:val="2"/>
            <w:shd w:val="clear" w:color="auto" w:fill="CFF0FC"/>
          </w:tcPr>
          <w:p>
            <w:pPr>
              <w:ind w:left="260"/>
              <w:spacing w:after="0"/>
              <w:rPr>
                <w:sz w:val="20"/>
                <w:szCs w:val="20"/>
                <w:color w:val="auto"/>
              </w:rPr>
            </w:pPr>
            <w:r>
              <w:rPr>
                <w:rFonts w:ascii="Arial" w:cs="Arial" w:eastAsia="Arial" w:hAnsi="Arial"/>
                <w:sz w:val="20"/>
                <w:szCs w:val="20"/>
                <w:color w:val="auto"/>
              </w:rPr>
              <w:t>West Group</w:t>
            </w:r>
          </w:p>
        </w:tc>
        <w:tc>
          <w:tcPr>
            <w:tcW w:w="740" w:type="dxa"/>
            <w:vAlign w:val="bottom"/>
            <w:gridSpan w:val="2"/>
            <w:shd w:val="clear" w:color="auto" w:fill="CFF0FC"/>
          </w:tcPr>
          <w:p>
            <w:pPr>
              <w:jc w:val="right"/>
              <w:ind w:right="100"/>
              <w:spacing w:after="0"/>
              <w:rPr>
                <w:sz w:val="20"/>
                <w:szCs w:val="20"/>
                <w:color w:val="auto"/>
              </w:rPr>
            </w:pPr>
            <w:r>
              <w:rPr>
                <w:rFonts w:ascii="Arial" w:cs="Arial" w:eastAsia="Arial" w:hAnsi="Arial"/>
                <w:sz w:val="20"/>
                <w:szCs w:val="20"/>
                <w:color w:val="auto"/>
              </w:rPr>
              <w:t>(3.3)%</w:t>
            </w:r>
          </w:p>
        </w:tc>
        <w:tc>
          <w:tcPr>
            <w:tcW w:w="1220" w:type="dxa"/>
            <w:vAlign w:val="bottom"/>
            <w:shd w:val="clear" w:color="auto" w:fill="CFF0FC"/>
          </w:tcPr>
          <w:p>
            <w:pPr>
              <w:spacing w:after="0"/>
              <w:rPr>
                <w:sz w:val="21"/>
                <w:szCs w:val="21"/>
                <w:color w:val="auto"/>
              </w:rPr>
            </w:pPr>
          </w:p>
        </w:tc>
        <w:tc>
          <w:tcPr>
            <w:tcW w:w="660" w:type="dxa"/>
            <w:vAlign w:val="bottom"/>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10.5%</w:t>
            </w:r>
          </w:p>
        </w:tc>
      </w:tr>
      <w:tr>
        <w:trPr>
          <w:trHeight w:val="243"/>
        </w:trPr>
        <w:tc>
          <w:tcPr>
            <w:tcW w:w="8800" w:type="dxa"/>
            <w:vAlign w:val="bottom"/>
            <w:gridSpan w:val="2"/>
          </w:tcPr>
          <w:p>
            <w:pPr>
              <w:spacing w:after="0"/>
              <w:rPr>
                <w:sz w:val="20"/>
                <w:szCs w:val="20"/>
                <w:color w:val="auto"/>
              </w:rPr>
            </w:pPr>
            <w:r>
              <w:rPr>
                <w:rFonts w:ascii="Arial" w:cs="Arial" w:eastAsia="Arial" w:hAnsi="Arial"/>
                <w:sz w:val="20"/>
                <w:szCs w:val="20"/>
                <w:color w:val="auto"/>
              </w:rPr>
              <w:t>Heritage Aggregates Operations</w:t>
            </w:r>
            <w:r>
              <w:rPr>
                <w:rFonts w:ascii="Arial" w:cs="Arial" w:eastAsia="Arial" w:hAnsi="Arial"/>
                <w:sz w:val="16"/>
                <w:szCs w:val="16"/>
                <w:color w:val="auto"/>
              </w:rPr>
              <w:t>(2)</w:t>
            </w:r>
          </w:p>
        </w:tc>
        <w:tc>
          <w:tcPr>
            <w:tcW w:w="740" w:type="dxa"/>
            <w:vAlign w:val="bottom"/>
            <w:gridSpan w:val="2"/>
          </w:tcPr>
          <w:p>
            <w:pPr>
              <w:jc w:val="right"/>
              <w:ind w:right="160"/>
              <w:spacing w:after="0"/>
              <w:rPr>
                <w:sz w:val="20"/>
                <w:szCs w:val="20"/>
                <w:color w:val="auto"/>
              </w:rPr>
            </w:pPr>
            <w:r>
              <w:rPr>
                <w:rFonts w:ascii="Arial" w:cs="Arial" w:eastAsia="Arial" w:hAnsi="Arial"/>
                <w:sz w:val="20"/>
                <w:szCs w:val="20"/>
                <w:color w:val="auto"/>
              </w:rPr>
              <w:t>2.2%</w:t>
            </w:r>
          </w:p>
        </w:tc>
        <w:tc>
          <w:tcPr>
            <w:tcW w:w="1220" w:type="dxa"/>
            <w:vAlign w:val="bottom"/>
          </w:tcPr>
          <w:p>
            <w:pPr>
              <w:spacing w:after="0"/>
              <w:rPr>
                <w:sz w:val="21"/>
                <w:szCs w:val="21"/>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20"/>
                <w:szCs w:val="20"/>
                <w:color w:val="auto"/>
              </w:rPr>
              <w:t>7.1%</w:t>
            </w:r>
          </w:p>
        </w:tc>
      </w:tr>
      <w:tr>
        <w:trPr>
          <w:trHeight w:val="243"/>
        </w:trPr>
        <w:tc>
          <w:tcPr>
            <w:tcW w:w="8800" w:type="dxa"/>
            <w:vAlign w:val="bottom"/>
            <w:gridSpan w:val="2"/>
            <w:shd w:val="clear" w:color="auto" w:fill="CFF0FC"/>
          </w:tcPr>
          <w:p>
            <w:pPr>
              <w:spacing w:after="0"/>
              <w:rPr>
                <w:sz w:val="20"/>
                <w:szCs w:val="20"/>
                <w:color w:val="auto"/>
              </w:rPr>
            </w:pPr>
            <w:r>
              <w:rPr>
                <w:rFonts w:ascii="Arial" w:cs="Arial" w:eastAsia="Arial" w:hAnsi="Arial"/>
                <w:sz w:val="20"/>
                <w:szCs w:val="20"/>
                <w:color w:val="auto"/>
              </w:rPr>
              <w:t xml:space="preserve">Aggregates Product Line </w:t>
            </w:r>
            <w:r>
              <w:rPr>
                <w:rFonts w:ascii="Arial" w:cs="Arial" w:eastAsia="Arial" w:hAnsi="Arial"/>
                <w:sz w:val="16"/>
                <w:szCs w:val="16"/>
                <w:color w:val="auto"/>
              </w:rPr>
              <w:t>(3)</w:t>
            </w:r>
          </w:p>
        </w:tc>
        <w:tc>
          <w:tcPr>
            <w:tcW w:w="740" w:type="dxa"/>
            <w:vAlign w:val="bottom"/>
            <w:gridSpan w:val="2"/>
            <w:shd w:val="clear" w:color="auto" w:fill="CFF0FC"/>
          </w:tcPr>
          <w:p>
            <w:pPr>
              <w:jc w:val="right"/>
              <w:ind w:right="160"/>
              <w:spacing w:after="0"/>
              <w:rPr>
                <w:sz w:val="20"/>
                <w:szCs w:val="20"/>
                <w:color w:val="auto"/>
              </w:rPr>
            </w:pPr>
            <w:r>
              <w:rPr>
                <w:rFonts w:ascii="Arial" w:cs="Arial" w:eastAsia="Arial" w:hAnsi="Arial"/>
                <w:sz w:val="20"/>
                <w:szCs w:val="20"/>
                <w:color w:val="auto"/>
              </w:rPr>
              <w:t>8.9%</w:t>
            </w:r>
          </w:p>
        </w:tc>
        <w:tc>
          <w:tcPr>
            <w:tcW w:w="1220" w:type="dxa"/>
            <w:vAlign w:val="bottom"/>
            <w:shd w:val="clear" w:color="auto" w:fill="CFF0FC"/>
          </w:tcPr>
          <w:p>
            <w:pPr>
              <w:spacing w:after="0"/>
              <w:rPr>
                <w:sz w:val="21"/>
                <w:szCs w:val="21"/>
                <w:color w:val="auto"/>
              </w:rPr>
            </w:pPr>
          </w:p>
        </w:tc>
        <w:tc>
          <w:tcPr>
            <w:tcW w:w="660" w:type="dxa"/>
            <w:vAlign w:val="bottom"/>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7.9%</w:t>
            </w:r>
          </w:p>
        </w:tc>
      </w:tr>
    </w:tbl>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980" w:type="dxa"/>
            <w:vAlign w:val="bottom"/>
          </w:tcPr>
          <w:p>
            <w:pPr>
              <w:spacing w:after="0"/>
              <w:rPr>
                <w:sz w:val="21"/>
                <w:szCs w:val="21"/>
                <w:color w:val="auto"/>
              </w:rPr>
            </w:pPr>
          </w:p>
        </w:tc>
        <w:tc>
          <w:tcPr>
            <w:tcW w:w="3440" w:type="dxa"/>
            <w:vAlign w:val="bottom"/>
            <w:gridSpan w:val="5"/>
          </w:tcPr>
          <w:p>
            <w:pPr>
              <w:jc w:val="center"/>
              <w:ind w:right="120"/>
              <w:spacing w:after="0"/>
              <w:rPr>
                <w:sz w:val="20"/>
                <w:szCs w:val="20"/>
                <w:color w:val="auto"/>
              </w:rPr>
            </w:pPr>
            <w:r>
              <w:rPr>
                <w:rFonts w:ascii="Arial" w:cs="Arial" w:eastAsia="Arial" w:hAnsi="Arial"/>
                <w:sz w:val="20"/>
                <w:szCs w:val="20"/>
                <w:color w:val="auto"/>
                <w:w w:val="91"/>
              </w:rPr>
              <w:t>Nine Months Ended</w:t>
            </w:r>
          </w:p>
        </w:tc>
      </w:tr>
      <w:tr>
        <w:trPr>
          <w:trHeight w:val="246"/>
        </w:trPr>
        <w:tc>
          <w:tcPr>
            <w:tcW w:w="7980" w:type="dxa"/>
            <w:vAlign w:val="bottom"/>
          </w:tcPr>
          <w:p>
            <w:pPr>
              <w:spacing w:after="0"/>
              <w:rPr>
                <w:sz w:val="21"/>
                <w:szCs w:val="21"/>
                <w:color w:val="auto"/>
              </w:rPr>
            </w:pPr>
          </w:p>
        </w:tc>
        <w:tc>
          <w:tcPr>
            <w:tcW w:w="2280" w:type="dxa"/>
            <w:vAlign w:val="bottom"/>
            <w:tcBorders>
              <w:bottom w:val="single" w:sz="8" w:color="auto"/>
            </w:tcBorders>
            <w:gridSpan w:val="3"/>
          </w:tcPr>
          <w:p>
            <w:pPr>
              <w:jc w:val="center"/>
              <w:ind w:left="921"/>
              <w:spacing w:after="0"/>
              <w:rPr>
                <w:sz w:val="20"/>
                <w:szCs w:val="20"/>
                <w:color w:val="auto"/>
              </w:rPr>
            </w:pPr>
            <w:r>
              <w:rPr>
                <w:rFonts w:ascii="Arial" w:cs="Arial" w:eastAsia="Arial" w:hAnsi="Arial"/>
                <w:sz w:val="20"/>
                <w:szCs w:val="20"/>
                <w:color w:val="auto"/>
                <w:w w:val="86"/>
              </w:rPr>
              <w:t>September 30,</w:t>
            </w:r>
          </w:p>
        </w:tc>
        <w:tc>
          <w:tcPr>
            <w:tcW w:w="104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r>
      <w:tr>
        <w:trPr>
          <w:trHeight w:val="237"/>
        </w:trPr>
        <w:tc>
          <w:tcPr>
            <w:tcW w:w="7980" w:type="dxa"/>
            <w:vAlign w:val="bottom"/>
          </w:tcPr>
          <w:p>
            <w:pPr>
              <w:spacing w:after="0"/>
              <w:rPr>
                <w:sz w:val="20"/>
                <w:szCs w:val="20"/>
                <w:color w:val="auto"/>
              </w:rPr>
            </w:pPr>
          </w:p>
        </w:tc>
        <w:tc>
          <w:tcPr>
            <w:tcW w:w="1540" w:type="dxa"/>
            <w:vAlign w:val="bottom"/>
            <w:tcBorders>
              <w:bottom w:val="single" w:sz="8" w:color="auto"/>
            </w:tcBorders>
          </w:tcPr>
          <w:p>
            <w:pPr>
              <w:jc w:val="right"/>
              <w:ind w:right="461"/>
              <w:spacing w:after="0"/>
              <w:rPr>
                <w:sz w:val="20"/>
                <w:szCs w:val="20"/>
                <w:color w:val="auto"/>
              </w:rPr>
            </w:pPr>
            <w:r>
              <w:rPr>
                <w:rFonts w:ascii="Arial" w:cs="Arial" w:eastAsia="Arial" w:hAnsi="Arial"/>
                <w:sz w:val="20"/>
                <w:szCs w:val="20"/>
                <w:color w:val="auto"/>
              </w:rPr>
              <w:t>2015</w:t>
            </w:r>
          </w:p>
        </w:tc>
        <w:tc>
          <w:tcPr>
            <w:tcW w:w="2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81"/>
              <w:spacing w:after="0"/>
              <w:rPr>
                <w:sz w:val="20"/>
                <w:szCs w:val="20"/>
                <w:color w:val="auto"/>
              </w:rPr>
            </w:pPr>
            <w:r>
              <w:rPr>
                <w:rFonts w:ascii="Arial" w:cs="Arial" w:eastAsia="Arial" w:hAnsi="Arial"/>
                <w:sz w:val="20"/>
                <w:szCs w:val="20"/>
                <w:color w:val="auto"/>
                <w:w w:val="98"/>
              </w:rPr>
              <w:t>2014</w:t>
            </w:r>
          </w:p>
        </w:tc>
        <w:tc>
          <w:tcPr>
            <w:tcW w:w="120" w:type="dxa"/>
            <w:vAlign w:val="bottom"/>
          </w:tcPr>
          <w:p>
            <w:pPr>
              <w:spacing w:after="0"/>
              <w:rPr>
                <w:sz w:val="20"/>
                <w:szCs w:val="20"/>
                <w:color w:val="auto"/>
              </w:rPr>
            </w:pPr>
          </w:p>
        </w:tc>
      </w:tr>
      <w:tr>
        <w:trPr>
          <w:trHeight w:val="237"/>
        </w:trPr>
        <w:tc>
          <w:tcPr>
            <w:tcW w:w="7980" w:type="dxa"/>
            <w:vAlign w:val="bottom"/>
          </w:tcPr>
          <w:p>
            <w:pPr>
              <w:spacing w:after="0"/>
              <w:rPr>
                <w:sz w:val="20"/>
                <w:szCs w:val="20"/>
                <w:color w:val="auto"/>
              </w:rPr>
            </w:pPr>
          </w:p>
        </w:tc>
        <w:tc>
          <w:tcPr>
            <w:tcW w:w="3320" w:type="dxa"/>
            <w:vAlign w:val="bottom"/>
            <w:gridSpan w:val="4"/>
          </w:tcPr>
          <w:p>
            <w:pPr>
              <w:jc w:val="center"/>
              <w:spacing w:after="0"/>
              <w:rPr>
                <w:sz w:val="20"/>
                <w:szCs w:val="20"/>
                <w:color w:val="auto"/>
              </w:rPr>
            </w:pPr>
            <w:r>
              <w:rPr>
                <w:rFonts w:ascii="Arial" w:cs="Arial" w:eastAsia="Arial" w:hAnsi="Arial"/>
                <w:sz w:val="20"/>
                <w:szCs w:val="20"/>
                <w:i w:val="1"/>
                <w:iCs w:val="1"/>
                <w:color w:val="auto"/>
                <w:w w:val="87"/>
              </w:rPr>
              <w:t>(Tons in Thousands)</w:t>
            </w:r>
          </w:p>
        </w:tc>
        <w:tc>
          <w:tcPr>
            <w:tcW w:w="120" w:type="dxa"/>
            <w:vAlign w:val="bottom"/>
          </w:tcPr>
          <w:p>
            <w:pPr>
              <w:spacing w:after="0"/>
              <w:rPr>
                <w:sz w:val="20"/>
                <w:szCs w:val="20"/>
                <w:color w:val="auto"/>
              </w:rPr>
            </w:pPr>
          </w:p>
        </w:tc>
      </w:tr>
      <w:tr>
        <w:trPr>
          <w:trHeight w:val="243"/>
        </w:trPr>
        <w:tc>
          <w:tcPr>
            <w:tcW w:w="7980" w:type="dxa"/>
            <w:vAlign w:val="bottom"/>
            <w:shd w:val="clear" w:color="auto" w:fill="CFF0FC"/>
          </w:tcPr>
          <w:p>
            <w:pPr>
              <w:spacing w:after="0"/>
              <w:rPr>
                <w:sz w:val="20"/>
                <w:szCs w:val="20"/>
                <w:color w:val="auto"/>
              </w:rPr>
            </w:pPr>
            <w:r>
              <w:rPr>
                <w:rFonts w:ascii="Arial" w:cs="Arial" w:eastAsia="Arial" w:hAnsi="Arial"/>
                <w:sz w:val="20"/>
                <w:szCs w:val="20"/>
                <w:b w:val="1"/>
                <w:bCs w:val="1"/>
                <w:color w:val="auto"/>
              </w:rPr>
              <w:t>Shipments</w:t>
            </w:r>
          </w:p>
        </w:tc>
        <w:tc>
          <w:tcPr>
            <w:tcW w:w="15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r>
      <w:tr>
        <w:trPr>
          <w:trHeight w:val="243"/>
        </w:trPr>
        <w:tc>
          <w:tcPr>
            <w:tcW w:w="7980" w:type="dxa"/>
            <w:vAlign w:val="bottom"/>
          </w:tcPr>
          <w:p>
            <w:pPr>
              <w:spacing w:after="0"/>
              <w:rPr>
                <w:sz w:val="20"/>
                <w:szCs w:val="20"/>
                <w:color w:val="auto"/>
              </w:rPr>
            </w:pPr>
            <w:r>
              <w:rPr>
                <w:rFonts w:ascii="Arial" w:cs="Arial" w:eastAsia="Arial" w:hAnsi="Arial"/>
                <w:sz w:val="20"/>
                <w:szCs w:val="20"/>
                <w:color w:val="auto"/>
              </w:rPr>
              <w:t xml:space="preserve">Heritage Aggregates Product Line </w:t>
            </w:r>
            <w:r>
              <w:rPr>
                <w:rFonts w:ascii="Arial" w:cs="Arial" w:eastAsia="Arial" w:hAnsi="Arial"/>
                <w:sz w:val="16"/>
                <w:szCs w:val="16"/>
                <w:color w:val="auto"/>
              </w:rPr>
              <w:t>(2)</w:t>
            </w:r>
            <w:r>
              <w:rPr>
                <w:rFonts w:ascii="Arial" w:cs="Arial" w:eastAsia="Arial" w:hAnsi="Arial"/>
                <w:sz w:val="20"/>
                <w:szCs w:val="20"/>
                <w:color w:val="auto"/>
              </w:rPr>
              <w:t>:</w:t>
            </w:r>
          </w:p>
        </w:tc>
        <w:tc>
          <w:tcPr>
            <w:tcW w:w="1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43"/>
        </w:trPr>
        <w:tc>
          <w:tcPr>
            <w:tcW w:w="7980" w:type="dxa"/>
            <w:vAlign w:val="bottom"/>
            <w:shd w:val="clear" w:color="auto" w:fill="CFF0FC"/>
          </w:tcPr>
          <w:p>
            <w:pPr>
              <w:ind w:left="260"/>
              <w:spacing w:after="0"/>
              <w:rPr>
                <w:sz w:val="20"/>
                <w:szCs w:val="20"/>
                <w:color w:val="auto"/>
              </w:rPr>
            </w:pPr>
            <w:r>
              <w:rPr>
                <w:rFonts w:ascii="Arial" w:cs="Arial" w:eastAsia="Arial" w:hAnsi="Arial"/>
                <w:sz w:val="20"/>
                <w:szCs w:val="20"/>
                <w:color w:val="auto"/>
              </w:rPr>
              <w:t>Mid-America Group</w:t>
            </w:r>
          </w:p>
        </w:tc>
        <w:tc>
          <w:tcPr>
            <w:tcW w:w="15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50,991</w:t>
            </w:r>
          </w:p>
        </w:tc>
        <w:tc>
          <w:tcPr>
            <w:tcW w:w="22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48,147</w:t>
            </w:r>
          </w:p>
        </w:tc>
        <w:tc>
          <w:tcPr>
            <w:tcW w:w="120" w:type="dxa"/>
            <w:vAlign w:val="bottom"/>
            <w:shd w:val="clear" w:color="auto" w:fill="CFF0FC"/>
          </w:tcPr>
          <w:p>
            <w:pPr>
              <w:spacing w:after="0"/>
              <w:rPr>
                <w:sz w:val="21"/>
                <w:szCs w:val="21"/>
                <w:color w:val="auto"/>
              </w:rPr>
            </w:pPr>
          </w:p>
        </w:tc>
      </w:tr>
      <w:tr>
        <w:trPr>
          <w:trHeight w:val="243"/>
        </w:trPr>
        <w:tc>
          <w:tcPr>
            <w:tcW w:w="7980" w:type="dxa"/>
            <w:vAlign w:val="bottom"/>
          </w:tcPr>
          <w:p>
            <w:pPr>
              <w:ind w:left="260"/>
              <w:spacing w:after="0"/>
              <w:rPr>
                <w:sz w:val="20"/>
                <w:szCs w:val="20"/>
                <w:color w:val="auto"/>
              </w:rPr>
            </w:pPr>
            <w:r>
              <w:rPr>
                <w:rFonts w:ascii="Arial" w:cs="Arial" w:eastAsia="Arial" w:hAnsi="Arial"/>
                <w:sz w:val="20"/>
                <w:szCs w:val="20"/>
                <w:color w:val="auto"/>
              </w:rPr>
              <w:t>Southeast Group</w:t>
            </w:r>
          </w:p>
        </w:tc>
        <w:tc>
          <w:tcPr>
            <w:tcW w:w="1540" w:type="dxa"/>
            <w:vAlign w:val="bottom"/>
          </w:tcPr>
          <w:p>
            <w:pPr>
              <w:jc w:val="right"/>
              <w:spacing w:after="0"/>
              <w:rPr>
                <w:sz w:val="20"/>
                <w:szCs w:val="20"/>
                <w:color w:val="auto"/>
              </w:rPr>
            </w:pPr>
            <w:r>
              <w:rPr>
                <w:rFonts w:ascii="Arial" w:cs="Arial" w:eastAsia="Arial" w:hAnsi="Arial"/>
                <w:sz w:val="20"/>
                <w:szCs w:val="20"/>
                <w:color w:val="auto"/>
              </w:rPr>
              <w:t>14,769</w:t>
            </w:r>
          </w:p>
        </w:tc>
        <w:tc>
          <w:tcPr>
            <w:tcW w:w="2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13,931</w:t>
            </w:r>
          </w:p>
        </w:tc>
        <w:tc>
          <w:tcPr>
            <w:tcW w:w="120" w:type="dxa"/>
            <w:vAlign w:val="bottom"/>
          </w:tcPr>
          <w:p>
            <w:pPr>
              <w:spacing w:after="0"/>
              <w:rPr>
                <w:sz w:val="21"/>
                <w:szCs w:val="21"/>
                <w:color w:val="auto"/>
              </w:rPr>
            </w:pPr>
          </w:p>
        </w:tc>
      </w:tr>
      <w:tr>
        <w:trPr>
          <w:trHeight w:val="243"/>
        </w:trPr>
        <w:tc>
          <w:tcPr>
            <w:tcW w:w="7980" w:type="dxa"/>
            <w:vAlign w:val="bottom"/>
            <w:shd w:val="clear" w:color="auto" w:fill="CFF0FC"/>
          </w:tcPr>
          <w:p>
            <w:pPr>
              <w:ind w:left="260"/>
              <w:spacing w:after="0"/>
              <w:rPr>
                <w:sz w:val="20"/>
                <w:szCs w:val="20"/>
                <w:color w:val="auto"/>
              </w:rPr>
            </w:pPr>
            <w:r>
              <w:rPr>
                <w:rFonts w:ascii="Arial" w:cs="Arial" w:eastAsia="Arial" w:hAnsi="Arial"/>
                <w:sz w:val="20"/>
                <w:szCs w:val="20"/>
                <w:color w:val="auto"/>
              </w:rPr>
              <w:t>West Group</w:t>
            </w: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40,805</w:t>
            </w:r>
          </w:p>
        </w:tc>
        <w:tc>
          <w:tcPr>
            <w:tcW w:w="220" w:type="dxa"/>
            <w:vAlign w:val="bottom"/>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42,203</w:t>
            </w:r>
          </w:p>
        </w:tc>
        <w:tc>
          <w:tcPr>
            <w:tcW w:w="120" w:type="dxa"/>
            <w:vAlign w:val="bottom"/>
            <w:shd w:val="clear" w:color="auto" w:fill="CFF0FC"/>
          </w:tcPr>
          <w:p>
            <w:pPr>
              <w:spacing w:after="0"/>
              <w:rPr>
                <w:sz w:val="21"/>
                <w:szCs w:val="21"/>
                <w:color w:val="auto"/>
              </w:rPr>
            </w:pPr>
          </w:p>
        </w:tc>
      </w:tr>
      <w:tr>
        <w:trPr>
          <w:trHeight w:val="237"/>
        </w:trPr>
        <w:tc>
          <w:tcPr>
            <w:tcW w:w="7980" w:type="dxa"/>
            <w:vAlign w:val="bottom"/>
          </w:tcPr>
          <w:p>
            <w:pPr>
              <w:spacing w:after="0"/>
              <w:rPr>
                <w:sz w:val="20"/>
                <w:szCs w:val="20"/>
                <w:color w:val="auto"/>
              </w:rPr>
            </w:pPr>
            <w:r>
              <w:rPr>
                <w:rFonts w:ascii="Arial" w:cs="Arial" w:eastAsia="Arial" w:hAnsi="Arial"/>
                <w:sz w:val="20"/>
                <w:szCs w:val="20"/>
                <w:color w:val="auto"/>
              </w:rPr>
              <w:t>Heritage Aggregates Operations</w:t>
            </w:r>
            <w:r>
              <w:rPr>
                <w:rFonts w:ascii="Arial" w:cs="Arial" w:eastAsia="Arial" w:hAnsi="Arial"/>
                <w:sz w:val="16"/>
                <w:szCs w:val="16"/>
                <w:color w:val="auto"/>
              </w:rPr>
              <w:t>(2)</w:t>
            </w:r>
          </w:p>
        </w:tc>
        <w:tc>
          <w:tcPr>
            <w:tcW w:w="1540" w:type="dxa"/>
            <w:vAlign w:val="bottom"/>
          </w:tcPr>
          <w:p>
            <w:pPr>
              <w:jc w:val="right"/>
              <w:spacing w:after="0"/>
              <w:rPr>
                <w:sz w:val="20"/>
                <w:szCs w:val="20"/>
                <w:color w:val="auto"/>
              </w:rPr>
            </w:pPr>
            <w:r>
              <w:rPr>
                <w:rFonts w:ascii="Arial" w:cs="Arial" w:eastAsia="Arial" w:hAnsi="Arial"/>
                <w:sz w:val="20"/>
                <w:szCs w:val="20"/>
                <w:color w:val="auto"/>
              </w:rPr>
              <w:t>106,565</w:t>
            </w: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104,281</w:t>
            </w:r>
          </w:p>
        </w:tc>
        <w:tc>
          <w:tcPr>
            <w:tcW w:w="120" w:type="dxa"/>
            <w:vAlign w:val="bottom"/>
          </w:tcPr>
          <w:p>
            <w:pPr>
              <w:spacing w:after="0"/>
              <w:rPr>
                <w:sz w:val="20"/>
                <w:szCs w:val="20"/>
                <w:color w:val="auto"/>
              </w:rPr>
            </w:pPr>
          </w:p>
        </w:tc>
      </w:tr>
      <w:tr>
        <w:trPr>
          <w:trHeight w:val="243"/>
        </w:trPr>
        <w:tc>
          <w:tcPr>
            <w:tcW w:w="7980" w:type="dxa"/>
            <w:vAlign w:val="bottom"/>
            <w:shd w:val="clear" w:color="auto" w:fill="CFF0FC"/>
          </w:tcPr>
          <w:p>
            <w:pPr>
              <w:spacing w:after="0"/>
              <w:rPr>
                <w:sz w:val="20"/>
                <w:szCs w:val="20"/>
                <w:color w:val="auto"/>
              </w:rPr>
            </w:pPr>
            <w:r>
              <w:rPr>
                <w:rFonts w:ascii="Arial" w:cs="Arial" w:eastAsia="Arial" w:hAnsi="Arial"/>
                <w:sz w:val="20"/>
                <w:szCs w:val="20"/>
                <w:color w:val="auto"/>
              </w:rPr>
              <w:t>Acquisitions</w:t>
            </w: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11,855</w:t>
            </w:r>
          </w:p>
        </w:tc>
        <w:tc>
          <w:tcPr>
            <w:tcW w:w="220" w:type="dxa"/>
            <w:vAlign w:val="bottom"/>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4,419</w:t>
            </w:r>
          </w:p>
        </w:tc>
        <w:tc>
          <w:tcPr>
            <w:tcW w:w="120" w:type="dxa"/>
            <w:vAlign w:val="bottom"/>
            <w:shd w:val="clear" w:color="auto" w:fill="CFF0FC"/>
          </w:tcPr>
          <w:p>
            <w:pPr>
              <w:spacing w:after="0"/>
              <w:rPr>
                <w:sz w:val="21"/>
                <w:szCs w:val="21"/>
                <w:color w:val="auto"/>
              </w:rPr>
            </w:pPr>
          </w:p>
        </w:tc>
      </w:tr>
      <w:tr>
        <w:trPr>
          <w:trHeight w:val="237"/>
        </w:trPr>
        <w:tc>
          <w:tcPr>
            <w:tcW w:w="7980" w:type="dxa"/>
            <w:vAlign w:val="bottom"/>
          </w:tcPr>
          <w:p>
            <w:pPr>
              <w:spacing w:after="0"/>
              <w:rPr>
                <w:sz w:val="20"/>
                <w:szCs w:val="20"/>
                <w:color w:val="auto"/>
              </w:rPr>
            </w:pPr>
            <w:r>
              <w:rPr>
                <w:rFonts w:ascii="Arial" w:cs="Arial" w:eastAsia="Arial" w:hAnsi="Arial"/>
                <w:sz w:val="20"/>
                <w:szCs w:val="20"/>
                <w:color w:val="auto"/>
              </w:rPr>
              <w:t xml:space="preserve">Aggregates Product Line </w:t>
            </w:r>
            <w:r>
              <w:rPr>
                <w:rFonts w:ascii="Arial" w:cs="Arial" w:eastAsia="Arial" w:hAnsi="Arial"/>
                <w:sz w:val="16"/>
                <w:szCs w:val="16"/>
                <w:color w:val="auto"/>
              </w:rPr>
              <w:t>(3)</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118,420</w:t>
            </w:r>
          </w:p>
        </w:tc>
        <w:tc>
          <w:tcPr>
            <w:tcW w:w="22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108,700</w:t>
            </w:r>
          </w:p>
        </w:tc>
        <w:tc>
          <w:tcPr>
            <w:tcW w:w="120" w:type="dxa"/>
            <w:vAlign w:val="bottom"/>
          </w:tcPr>
          <w:p>
            <w:pPr>
              <w:spacing w:after="0"/>
              <w:rPr>
                <w:sz w:val="20"/>
                <w:szCs w:val="20"/>
                <w:color w:val="auto"/>
              </w:rPr>
            </w:pPr>
          </w:p>
        </w:tc>
      </w:tr>
      <w:tr>
        <w:trPr>
          <w:trHeight w:val="20"/>
        </w:trPr>
        <w:tc>
          <w:tcPr>
            <w:tcW w:w="798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46 of 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6" w:name="page47"/>
    <w:bookmarkEnd w:id="46"/>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September 30, 2015</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rPr>
          <w:sz w:val="20"/>
          <w:szCs w:val="20"/>
          <w:color w:val="auto"/>
        </w:rPr>
      </w:pPr>
      <w:r>
        <w:rPr>
          <w:rFonts w:ascii="Arial" w:cs="Arial" w:eastAsia="Arial" w:hAnsi="Arial"/>
          <w:sz w:val="20"/>
          <w:szCs w:val="20"/>
          <w:color w:val="auto"/>
        </w:rPr>
        <w:t>Third Quarter Ended September 30, 2015</w:t>
      </w:r>
    </w:p>
    <w:p>
      <w:pPr>
        <w:jc w:val="center"/>
        <w:spacing w:after="0"/>
        <w:rPr>
          <w:sz w:val="20"/>
          <w:szCs w:val="20"/>
          <w:color w:val="auto"/>
        </w:rPr>
      </w:pPr>
      <w:r>
        <w:rPr>
          <w:rFonts w:ascii="Arial" w:cs="Arial" w:eastAsia="Arial" w:hAnsi="Arial"/>
          <w:sz w:val="20"/>
          <w:szCs w:val="20"/>
          <w:color w:val="auto"/>
        </w:rPr>
        <w:t>(Continued)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0" w:type="dxa"/>
            <w:vAlign w:val="bottom"/>
          </w:tcPr>
          <w:p>
            <w:pPr>
              <w:spacing w:after="0"/>
              <w:rPr>
                <w:sz w:val="21"/>
                <w:szCs w:val="21"/>
                <w:color w:val="auto"/>
              </w:rPr>
            </w:pPr>
          </w:p>
        </w:tc>
        <w:tc>
          <w:tcPr>
            <w:tcW w:w="7960" w:type="dxa"/>
            <w:vAlign w:val="bottom"/>
          </w:tcPr>
          <w:p>
            <w:pPr>
              <w:spacing w:after="0"/>
              <w:rPr>
                <w:sz w:val="21"/>
                <w:szCs w:val="21"/>
                <w:color w:val="auto"/>
              </w:rPr>
            </w:pPr>
          </w:p>
        </w:tc>
        <w:tc>
          <w:tcPr>
            <w:tcW w:w="3440" w:type="dxa"/>
            <w:vAlign w:val="bottom"/>
            <w:gridSpan w:val="5"/>
          </w:tcPr>
          <w:p>
            <w:pPr>
              <w:jc w:val="center"/>
              <w:ind w:right="120"/>
              <w:spacing w:after="0"/>
              <w:rPr>
                <w:sz w:val="20"/>
                <w:szCs w:val="20"/>
                <w:color w:val="auto"/>
              </w:rPr>
            </w:pPr>
            <w:r>
              <w:rPr>
                <w:rFonts w:ascii="Arial" w:cs="Arial" w:eastAsia="Arial" w:hAnsi="Arial"/>
                <w:sz w:val="20"/>
                <w:szCs w:val="20"/>
                <w:color w:val="auto"/>
                <w:w w:val="91"/>
              </w:rPr>
              <w:t>Nine Months Ended</w:t>
            </w: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7960" w:type="dxa"/>
            <w:vAlign w:val="bottom"/>
          </w:tcPr>
          <w:p>
            <w:pPr>
              <w:spacing w:after="0"/>
              <w:rPr>
                <w:sz w:val="21"/>
                <w:szCs w:val="21"/>
                <w:color w:val="auto"/>
              </w:rPr>
            </w:pPr>
          </w:p>
        </w:tc>
        <w:tc>
          <w:tcPr>
            <w:tcW w:w="2280" w:type="dxa"/>
            <w:vAlign w:val="bottom"/>
            <w:tcBorders>
              <w:bottom w:val="single" w:sz="8" w:color="auto"/>
            </w:tcBorders>
            <w:gridSpan w:val="3"/>
          </w:tcPr>
          <w:p>
            <w:pPr>
              <w:jc w:val="center"/>
              <w:ind w:left="921"/>
              <w:spacing w:after="0"/>
              <w:rPr>
                <w:sz w:val="20"/>
                <w:szCs w:val="20"/>
                <w:color w:val="auto"/>
              </w:rPr>
            </w:pPr>
            <w:r>
              <w:rPr>
                <w:rFonts w:ascii="Arial" w:cs="Arial" w:eastAsia="Arial" w:hAnsi="Arial"/>
                <w:sz w:val="20"/>
                <w:szCs w:val="20"/>
                <w:color w:val="auto"/>
                <w:w w:val="86"/>
              </w:rPr>
              <w:t>September 30,</w:t>
            </w:r>
          </w:p>
        </w:tc>
        <w:tc>
          <w:tcPr>
            <w:tcW w:w="104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960" w:type="dxa"/>
            <w:vAlign w:val="bottom"/>
          </w:tcPr>
          <w:p>
            <w:pPr>
              <w:spacing w:after="0"/>
              <w:rPr>
                <w:sz w:val="20"/>
                <w:szCs w:val="20"/>
                <w:color w:val="auto"/>
              </w:rPr>
            </w:pPr>
          </w:p>
        </w:tc>
        <w:tc>
          <w:tcPr>
            <w:tcW w:w="1540" w:type="dxa"/>
            <w:vAlign w:val="bottom"/>
            <w:tcBorders>
              <w:bottom w:val="single" w:sz="8" w:color="auto"/>
            </w:tcBorders>
          </w:tcPr>
          <w:p>
            <w:pPr>
              <w:jc w:val="right"/>
              <w:ind w:right="461"/>
              <w:spacing w:after="0"/>
              <w:rPr>
                <w:sz w:val="20"/>
                <w:szCs w:val="20"/>
                <w:color w:val="auto"/>
              </w:rPr>
            </w:pPr>
            <w:r>
              <w:rPr>
                <w:rFonts w:ascii="Arial" w:cs="Arial" w:eastAsia="Arial" w:hAnsi="Arial"/>
                <w:sz w:val="20"/>
                <w:szCs w:val="20"/>
                <w:color w:val="auto"/>
              </w:rPr>
              <w:t>2015</w:t>
            </w:r>
          </w:p>
        </w:tc>
        <w:tc>
          <w:tcPr>
            <w:tcW w:w="2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81"/>
              <w:spacing w:after="0"/>
              <w:rPr>
                <w:sz w:val="20"/>
                <w:szCs w:val="20"/>
                <w:color w:val="auto"/>
              </w:rPr>
            </w:pPr>
            <w:r>
              <w:rPr>
                <w:rFonts w:ascii="Arial" w:cs="Arial" w:eastAsia="Arial" w:hAnsi="Arial"/>
                <w:sz w:val="20"/>
                <w:szCs w:val="20"/>
                <w:color w:val="auto"/>
                <w:w w:val="98"/>
              </w:rPr>
              <w:t>2014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7980" w:type="dxa"/>
            <w:vAlign w:val="bottom"/>
            <w:gridSpan w:val="2"/>
            <w:vMerge w:val="restart"/>
          </w:tcPr>
          <w:p>
            <w:pPr>
              <w:spacing w:after="0"/>
              <w:rPr>
                <w:sz w:val="20"/>
                <w:szCs w:val="20"/>
                <w:color w:val="auto"/>
              </w:rPr>
            </w:pPr>
            <w:r>
              <w:rPr>
                <w:rFonts w:ascii="Arial" w:cs="Arial" w:eastAsia="Arial" w:hAnsi="Arial"/>
                <w:sz w:val="20"/>
                <w:szCs w:val="20"/>
                <w:b w:val="1"/>
                <w:bCs w:val="1"/>
                <w:color w:val="auto"/>
              </w:rPr>
              <w:t>Shipments</w:t>
            </w:r>
          </w:p>
        </w:tc>
        <w:tc>
          <w:tcPr>
            <w:tcW w:w="3320" w:type="dxa"/>
            <w:vAlign w:val="bottom"/>
            <w:gridSpan w:val="4"/>
          </w:tcPr>
          <w:p>
            <w:pPr>
              <w:jc w:val="center"/>
              <w:spacing w:after="0"/>
              <w:rPr>
                <w:sz w:val="20"/>
                <w:szCs w:val="20"/>
                <w:color w:val="auto"/>
              </w:rPr>
            </w:pPr>
            <w:r>
              <w:rPr>
                <w:rFonts w:ascii="Arial" w:cs="Arial" w:eastAsia="Arial" w:hAnsi="Arial"/>
                <w:sz w:val="20"/>
                <w:szCs w:val="20"/>
                <w:i w:val="1"/>
                <w:iCs w:val="1"/>
                <w:color w:val="auto"/>
                <w:w w:val="87"/>
              </w:rPr>
              <w:t>(Tons in Thousands)</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7980" w:type="dxa"/>
            <w:vAlign w:val="bottom"/>
            <w:gridSpan w:val="2"/>
            <w:vMerge w:val="continue"/>
          </w:tcPr>
          <w:p>
            <w:pPr>
              <w:spacing w:after="0"/>
              <w:rPr>
                <w:sz w:val="20"/>
                <w:szCs w:val="20"/>
                <w:color w:val="auto"/>
              </w:rPr>
            </w:pPr>
          </w:p>
        </w:tc>
        <w:tc>
          <w:tcPr>
            <w:tcW w:w="1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960" w:type="dxa"/>
            <w:vAlign w:val="bottom"/>
            <w:shd w:val="clear" w:color="auto" w:fill="CFF0FC"/>
          </w:tcPr>
          <w:p>
            <w:pPr>
              <w:spacing w:after="0"/>
              <w:rPr>
                <w:sz w:val="20"/>
                <w:szCs w:val="20"/>
                <w:color w:val="auto"/>
              </w:rPr>
            </w:pPr>
            <w:r>
              <w:rPr>
                <w:rFonts w:ascii="Arial" w:cs="Arial" w:eastAsia="Arial" w:hAnsi="Arial"/>
                <w:sz w:val="20"/>
                <w:szCs w:val="20"/>
                <w:color w:val="auto"/>
              </w:rPr>
              <w:t xml:space="preserve">Heritage Aggregates Product Line </w:t>
            </w:r>
            <w:r>
              <w:rPr>
                <w:rFonts w:ascii="Arial" w:cs="Arial" w:eastAsia="Arial" w:hAnsi="Arial"/>
                <w:sz w:val="16"/>
                <w:szCs w:val="16"/>
                <w:color w:val="auto"/>
              </w:rPr>
              <w:t>(2)</w:t>
            </w:r>
            <w:r>
              <w:rPr>
                <w:rFonts w:ascii="Arial" w:cs="Arial" w:eastAsia="Arial" w:hAnsi="Arial"/>
                <w:sz w:val="20"/>
                <w:szCs w:val="20"/>
                <w:color w:val="auto"/>
              </w:rPr>
              <w:t>:</w:t>
            </w:r>
          </w:p>
        </w:tc>
        <w:tc>
          <w:tcPr>
            <w:tcW w:w="15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960" w:type="dxa"/>
            <w:vAlign w:val="bottom"/>
          </w:tcPr>
          <w:p>
            <w:pPr>
              <w:ind w:left="240"/>
              <w:spacing w:after="0"/>
              <w:rPr>
                <w:sz w:val="20"/>
                <w:szCs w:val="20"/>
                <w:color w:val="auto"/>
              </w:rPr>
            </w:pPr>
            <w:r>
              <w:rPr>
                <w:rFonts w:ascii="Arial" w:cs="Arial" w:eastAsia="Arial" w:hAnsi="Arial"/>
                <w:sz w:val="20"/>
                <w:szCs w:val="20"/>
                <w:color w:val="auto"/>
              </w:rPr>
              <w:t>Tons to external customers</w:t>
            </w:r>
          </w:p>
        </w:tc>
        <w:tc>
          <w:tcPr>
            <w:tcW w:w="1540" w:type="dxa"/>
            <w:vAlign w:val="bottom"/>
          </w:tcPr>
          <w:p>
            <w:pPr>
              <w:jc w:val="right"/>
              <w:spacing w:after="0"/>
              <w:rPr>
                <w:sz w:val="20"/>
                <w:szCs w:val="20"/>
                <w:color w:val="auto"/>
              </w:rPr>
            </w:pPr>
            <w:r>
              <w:rPr>
                <w:rFonts w:ascii="Arial" w:cs="Arial" w:eastAsia="Arial" w:hAnsi="Arial"/>
                <w:sz w:val="20"/>
                <w:szCs w:val="20"/>
                <w:color w:val="auto"/>
              </w:rPr>
              <w:t>102,359</w:t>
            </w:r>
          </w:p>
        </w:tc>
        <w:tc>
          <w:tcPr>
            <w:tcW w:w="2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100,117</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960" w:type="dxa"/>
            <w:vAlign w:val="bottom"/>
            <w:shd w:val="clear" w:color="auto" w:fill="CFF0FC"/>
          </w:tcPr>
          <w:p>
            <w:pPr>
              <w:ind w:left="240"/>
              <w:spacing w:after="0"/>
              <w:rPr>
                <w:sz w:val="20"/>
                <w:szCs w:val="20"/>
                <w:color w:val="auto"/>
              </w:rPr>
            </w:pPr>
            <w:r>
              <w:rPr>
                <w:rFonts w:ascii="Arial" w:cs="Arial" w:eastAsia="Arial" w:hAnsi="Arial"/>
                <w:sz w:val="20"/>
                <w:szCs w:val="20"/>
                <w:color w:val="auto"/>
              </w:rPr>
              <w:t>Internal tons used in other product lines</w:t>
            </w: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4,206</w:t>
            </w:r>
          </w:p>
        </w:tc>
        <w:tc>
          <w:tcPr>
            <w:tcW w:w="220" w:type="dxa"/>
            <w:vAlign w:val="bottom"/>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4,164</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7980" w:type="dxa"/>
            <w:vAlign w:val="bottom"/>
            <w:gridSpan w:val="2"/>
          </w:tcPr>
          <w:p>
            <w:pPr>
              <w:spacing w:after="0"/>
              <w:rPr>
                <w:sz w:val="20"/>
                <w:szCs w:val="20"/>
                <w:color w:val="auto"/>
              </w:rPr>
            </w:pPr>
            <w:r>
              <w:rPr>
                <w:rFonts w:ascii="Arial" w:cs="Arial" w:eastAsia="Arial" w:hAnsi="Arial"/>
                <w:sz w:val="20"/>
                <w:szCs w:val="20"/>
                <w:color w:val="auto"/>
              </w:rPr>
              <w:t>Total heritage aggregates tons</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106,565</w:t>
            </w:r>
          </w:p>
        </w:tc>
        <w:tc>
          <w:tcPr>
            <w:tcW w:w="22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104,281</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vMerge w:val="restart"/>
          </w:tcPr>
          <w:p>
            <w:pPr>
              <w:spacing w:after="0"/>
              <w:rPr>
                <w:sz w:val="19"/>
                <w:szCs w:val="19"/>
                <w:color w:val="auto"/>
              </w:rPr>
            </w:pPr>
          </w:p>
        </w:tc>
        <w:tc>
          <w:tcPr>
            <w:tcW w:w="7960" w:type="dxa"/>
            <w:vAlign w:val="bottom"/>
            <w:tcBorders>
              <w:top w:val="single" w:sz="8" w:color="CFF0FC"/>
            </w:tcBorders>
            <w:shd w:val="clear" w:color="auto" w:fill="CFF0FC"/>
          </w:tcPr>
          <w:p>
            <w:pPr>
              <w:spacing w:after="0"/>
              <w:rPr>
                <w:sz w:val="19"/>
                <w:szCs w:val="19"/>
                <w:color w:val="auto"/>
              </w:rPr>
            </w:pPr>
          </w:p>
        </w:tc>
        <w:tc>
          <w:tcPr>
            <w:tcW w:w="15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960" w:type="dxa"/>
            <w:vAlign w:val="bottom"/>
          </w:tcPr>
          <w:p>
            <w:pPr>
              <w:spacing w:after="0"/>
              <w:rPr>
                <w:sz w:val="20"/>
                <w:szCs w:val="20"/>
                <w:color w:val="auto"/>
              </w:rPr>
            </w:pPr>
            <w:r>
              <w:rPr>
                <w:rFonts w:ascii="Arial" w:cs="Arial" w:eastAsia="Arial" w:hAnsi="Arial"/>
                <w:sz w:val="20"/>
                <w:szCs w:val="20"/>
                <w:color w:val="auto"/>
              </w:rPr>
              <w:t>Acquisitions:</w:t>
            </w:r>
          </w:p>
        </w:tc>
        <w:tc>
          <w:tcPr>
            <w:tcW w:w="1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960" w:type="dxa"/>
            <w:vAlign w:val="bottom"/>
            <w:shd w:val="clear" w:color="auto" w:fill="CFF0FC"/>
          </w:tcPr>
          <w:p>
            <w:pPr>
              <w:ind w:left="240"/>
              <w:spacing w:after="0"/>
              <w:rPr>
                <w:sz w:val="20"/>
                <w:szCs w:val="20"/>
                <w:color w:val="auto"/>
              </w:rPr>
            </w:pPr>
            <w:r>
              <w:rPr>
                <w:rFonts w:ascii="Arial" w:cs="Arial" w:eastAsia="Arial" w:hAnsi="Arial"/>
                <w:sz w:val="20"/>
                <w:szCs w:val="20"/>
                <w:color w:val="auto"/>
              </w:rPr>
              <w:t>Tons to external customers</w:t>
            </w:r>
          </w:p>
        </w:tc>
        <w:tc>
          <w:tcPr>
            <w:tcW w:w="15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8,968</w:t>
            </w:r>
          </w:p>
        </w:tc>
        <w:tc>
          <w:tcPr>
            <w:tcW w:w="22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3,174</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960" w:type="dxa"/>
            <w:vAlign w:val="bottom"/>
            <w:tcBorders>
              <w:bottom w:val="single" w:sz="8" w:color="CFF0FC"/>
            </w:tcBorders>
          </w:tcPr>
          <w:p>
            <w:pPr>
              <w:ind w:left="240"/>
              <w:spacing w:after="0"/>
              <w:rPr>
                <w:sz w:val="20"/>
                <w:szCs w:val="20"/>
                <w:color w:val="auto"/>
              </w:rPr>
            </w:pPr>
            <w:r>
              <w:rPr>
                <w:rFonts w:ascii="Arial" w:cs="Arial" w:eastAsia="Arial" w:hAnsi="Arial"/>
                <w:sz w:val="20"/>
                <w:szCs w:val="20"/>
                <w:color w:val="auto"/>
              </w:rPr>
              <w:t>Internal tons used in other product lines</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2,887</w:t>
            </w:r>
          </w:p>
        </w:tc>
        <w:tc>
          <w:tcPr>
            <w:tcW w:w="220" w:type="dxa"/>
            <w:vAlign w:val="bottom"/>
            <w:tcBorders>
              <w:bottom w:val="single" w:sz="8" w:color="CFF0FC"/>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1,245</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9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Total acquisition aggregates tons</w:t>
            </w: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11,855</w:t>
            </w:r>
          </w:p>
        </w:tc>
        <w:tc>
          <w:tcPr>
            <w:tcW w:w="220" w:type="dxa"/>
            <w:vAlign w:val="bottom"/>
            <w:tcBorders>
              <w:bottom w:val="single" w:sz="8" w:color="CFF0FC"/>
            </w:tcBorders>
            <w:shd w:val="clear" w:color="auto" w:fill="CFF0FC"/>
          </w:tcPr>
          <w:p>
            <w:pPr>
              <w:spacing w:after="0"/>
              <w:rPr>
                <w:sz w:val="20"/>
                <w:szCs w:val="20"/>
                <w:color w:val="auto"/>
              </w:rPr>
            </w:pPr>
          </w:p>
        </w:tc>
        <w:tc>
          <w:tcPr>
            <w:tcW w:w="52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4,419</w:t>
            </w:r>
          </w:p>
        </w:tc>
        <w:tc>
          <w:tcPr>
            <w:tcW w:w="12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260" w:hanging="252"/>
        <w:spacing w:after="0"/>
        <w:tabs>
          <w:tab w:leader="none" w:pos="260" w:val="left"/>
        </w:tabs>
        <w:numPr>
          <w:ilvl w:val="0"/>
          <w:numId w:val="34"/>
        </w:numPr>
        <w:rPr>
          <w:rFonts w:ascii="Arial" w:cs="Arial" w:eastAsia="Arial" w:hAnsi="Arial"/>
          <w:sz w:val="15"/>
          <w:szCs w:val="15"/>
          <w:i w:val="1"/>
          <w:iCs w:val="1"/>
          <w:color w:val="auto"/>
        </w:rPr>
      </w:pPr>
      <w:r>
        <w:rPr>
          <w:rFonts w:ascii="Arial" w:cs="Arial" w:eastAsia="Arial" w:hAnsi="Arial"/>
          <w:sz w:val="18"/>
          <w:szCs w:val="18"/>
          <w:i w:val="1"/>
          <w:iCs w:val="1"/>
          <w:color w:val="auto"/>
        </w:rPr>
        <w:t>Volume/pricing variances reflect the percentage increase/(decrease) from the comparable period in the prior year.</w:t>
      </w:r>
    </w:p>
    <w:p>
      <w:pPr>
        <w:spacing w:after="0" w:line="23" w:lineRule="exact"/>
        <w:rPr>
          <w:rFonts w:ascii="Arial" w:cs="Arial" w:eastAsia="Arial" w:hAnsi="Arial"/>
          <w:sz w:val="15"/>
          <w:szCs w:val="15"/>
          <w:i w:val="1"/>
          <w:iCs w:val="1"/>
          <w:color w:val="auto"/>
        </w:rPr>
      </w:pPr>
    </w:p>
    <w:p>
      <w:pPr>
        <w:ind w:left="260" w:hanging="252"/>
        <w:spacing w:after="0" w:line="250" w:lineRule="auto"/>
        <w:tabs>
          <w:tab w:leader="none" w:pos="260" w:val="left"/>
        </w:tabs>
        <w:numPr>
          <w:ilvl w:val="0"/>
          <w:numId w:val="34"/>
        </w:numPr>
        <w:rPr>
          <w:rFonts w:ascii="Arial" w:cs="Arial" w:eastAsia="Arial" w:hAnsi="Arial"/>
          <w:sz w:val="15"/>
          <w:szCs w:val="15"/>
          <w:i w:val="1"/>
          <w:iCs w:val="1"/>
          <w:color w:val="auto"/>
        </w:rPr>
      </w:pPr>
      <w:r>
        <w:rPr>
          <w:rFonts w:ascii="Arial" w:cs="Arial" w:eastAsia="Arial" w:hAnsi="Arial"/>
          <w:sz w:val="18"/>
          <w:szCs w:val="18"/>
          <w:i w:val="1"/>
          <w:iCs w:val="1"/>
          <w:color w:val="auto"/>
        </w:rPr>
        <w:t>Heritage Aggregates Product Line and Heritage Aggregates Operations exclude volume and pricing data for acquisitions that have not been included in operations for a full fiscal year.</w:t>
      </w:r>
    </w:p>
    <w:p>
      <w:pPr>
        <w:ind w:left="260" w:hanging="252"/>
        <w:spacing w:after="0"/>
        <w:tabs>
          <w:tab w:leader="none" w:pos="260" w:val="left"/>
        </w:tabs>
        <w:numPr>
          <w:ilvl w:val="0"/>
          <w:numId w:val="34"/>
        </w:numPr>
        <w:rPr>
          <w:rFonts w:ascii="Arial" w:cs="Arial" w:eastAsia="Arial" w:hAnsi="Arial"/>
          <w:sz w:val="15"/>
          <w:szCs w:val="15"/>
          <w:i w:val="1"/>
          <w:iCs w:val="1"/>
          <w:color w:val="auto"/>
        </w:rPr>
      </w:pPr>
      <w:r>
        <w:rPr>
          <w:rFonts w:ascii="Arial" w:cs="Arial" w:eastAsia="Arial" w:hAnsi="Arial"/>
          <w:sz w:val="18"/>
          <w:szCs w:val="18"/>
          <w:i w:val="1"/>
          <w:iCs w:val="1"/>
          <w:color w:val="auto"/>
        </w:rPr>
        <w:t>Aggregates Product Line includes all acquisitions from the date of acquisition and divestitures through the date of disposal.</w:t>
      </w:r>
    </w:p>
    <w:p>
      <w:pPr>
        <w:spacing w:after="0" w:line="208" w:lineRule="exact"/>
        <w:rPr>
          <w:sz w:val="20"/>
          <w:szCs w:val="20"/>
          <w:color w:val="auto"/>
        </w:rPr>
      </w:pPr>
    </w:p>
    <w:p>
      <w:pPr>
        <w:spacing w:after="0" w:line="263" w:lineRule="auto"/>
        <w:rPr>
          <w:sz w:val="20"/>
          <w:szCs w:val="20"/>
          <w:color w:val="auto"/>
        </w:rPr>
      </w:pPr>
      <w:r>
        <w:rPr>
          <w:rFonts w:ascii="Arial" w:cs="Arial" w:eastAsia="Arial" w:hAnsi="Arial"/>
          <w:sz w:val="19"/>
          <w:szCs w:val="19"/>
          <w:color w:val="auto"/>
        </w:rPr>
        <w:t>Shipments in the West Group for the prior year period include the three locations divested in the third quarter 2014. The following table reflects volume variance and total shipments excluding the three divested locations from the prior year balances (tons in thousands).</w:t>
      </w:r>
    </w:p>
    <w:tbl>
      <w:tblPr>
        <w:tblLayout w:type="fixed"/>
        <w:tblInd w:w="0" w:type="dxa"/>
        <w:tblCellMar>
          <w:top w:w="0" w:type="dxa"/>
          <w:left w:w="0" w:type="dxa"/>
          <w:bottom w:w="0" w:type="dxa"/>
          <w:right w:w="0" w:type="dxa"/>
        </w:tblCellMar>
      </w:tblPr>
      <w:tr>
        <w:trPr>
          <w:trHeight w:val="204"/>
        </w:trPr>
        <w:tc>
          <w:tcPr>
            <w:tcW w:w="87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gridSpan w:val="2"/>
          </w:tcPr>
          <w:p>
            <w:pPr>
              <w:jc w:val="right"/>
              <w:ind w:right="340"/>
              <w:spacing w:after="0" w:line="204" w:lineRule="exact"/>
              <w:rPr>
                <w:sz w:val="20"/>
                <w:szCs w:val="20"/>
                <w:color w:val="auto"/>
              </w:rPr>
            </w:pPr>
            <w:r>
              <w:rPr>
                <w:rFonts w:ascii="Arial" w:cs="Arial" w:eastAsia="Arial" w:hAnsi="Arial"/>
                <w:sz w:val="19"/>
                <w:szCs w:val="19"/>
                <w:color w:val="auto"/>
              </w:rPr>
              <w:t>Aggregates</w:t>
            </w:r>
          </w:p>
        </w:tc>
        <w:tc>
          <w:tcPr>
            <w:tcW w:w="0" w:type="dxa"/>
            <w:vAlign w:val="bottom"/>
          </w:tcPr>
          <w:p>
            <w:pPr>
              <w:spacing w:after="0"/>
              <w:rPr>
                <w:sz w:val="1"/>
                <w:szCs w:val="1"/>
                <w:color w:val="auto"/>
              </w:rPr>
            </w:pPr>
          </w:p>
        </w:tc>
      </w:tr>
      <w:tr>
        <w:trPr>
          <w:trHeight w:val="238"/>
        </w:trPr>
        <w:tc>
          <w:tcPr>
            <w:tcW w:w="8780" w:type="dxa"/>
            <w:vAlign w:val="bottom"/>
          </w:tcPr>
          <w:p>
            <w:pPr>
              <w:spacing w:after="0"/>
              <w:rPr>
                <w:sz w:val="20"/>
                <w:szCs w:val="20"/>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9"/>
                <w:szCs w:val="19"/>
                <w:color w:val="auto"/>
                <w:w w:val="92"/>
              </w:rPr>
              <w:t>West Group</w:t>
            </w:r>
          </w:p>
        </w:tc>
        <w:tc>
          <w:tcPr>
            <w:tcW w:w="1340" w:type="dxa"/>
            <w:vAlign w:val="bottom"/>
            <w:gridSpan w:val="2"/>
          </w:tcPr>
          <w:p>
            <w:pPr>
              <w:jc w:val="right"/>
              <w:ind w:right="440"/>
              <w:spacing w:after="0"/>
              <w:rPr>
                <w:sz w:val="20"/>
                <w:szCs w:val="20"/>
                <w:color w:val="auto"/>
              </w:rPr>
            </w:pPr>
            <w:r>
              <w:rPr>
                <w:rFonts w:ascii="Arial" w:cs="Arial" w:eastAsia="Arial" w:hAnsi="Arial"/>
                <w:sz w:val="19"/>
                <w:szCs w:val="19"/>
                <w:color w:val="auto"/>
              </w:rPr>
              <w:t>Business</w:t>
            </w:r>
          </w:p>
        </w:tc>
        <w:tc>
          <w:tcPr>
            <w:tcW w:w="0" w:type="dxa"/>
            <w:vAlign w:val="bottom"/>
          </w:tcPr>
          <w:p>
            <w:pPr>
              <w:spacing w:after="0"/>
              <w:rPr>
                <w:sz w:val="1"/>
                <w:szCs w:val="1"/>
                <w:color w:val="auto"/>
              </w:rPr>
            </w:pPr>
          </w:p>
        </w:tc>
      </w:tr>
      <w:tr>
        <w:trPr>
          <w:trHeight w:val="220"/>
        </w:trPr>
        <w:tc>
          <w:tcPr>
            <w:tcW w:w="8780" w:type="dxa"/>
            <w:vAlign w:val="bottom"/>
          </w:tcPr>
          <w:p>
            <w:pPr>
              <w:spacing w:after="0" w:line="220" w:lineRule="exact"/>
              <w:rPr>
                <w:sz w:val="20"/>
                <w:szCs w:val="20"/>
                <w:color w:val="auto"/>
              </w:rPr>
            </w:pPr>
            <w:r>
              <w:rPr>
                <w:rFonts w:ascii="Arial" w:cs="Arial" w:eastAsia="Arial" w:hAnsi="Arial"/>
                <w:sz w:val="20"/>
                <w:szCs w:val="20"/>
                <w:color w:val="auto"/>
              </w:rPr>
              <w:t>Reported heritage aggregates product line shipments for the nine months ended</w:t>
            </w:r>
          </w:p>
        </w:tc>
        <w:tc>
          <w:tcPr>
            <w:tcW w:w="102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8780" w:type="dxa"/>
            <w:vAlign w:val="bottom"/>
          </w:tcPr>
          <w:p>
            <w:pPr>
              <w:ind w:left="260"/>
              <w:spacing w:after="0"/>
              <w:rPr>
                <w:sz w:val="20"/>
                <w:szCs w:val="20"/>
                <w:color w:val="auto"/>
              </w:rPr>
            </w:pPr>
            <w:r>
              <w:rPr>
                <w:rFonts w:ascii="Arial" w:cs="Arial" w:eastAsia="Arial" w:hAnsi="Arial"/>
                <w:sz w:val="20"/>
                <w:szCs w:val="20"/>
                <w:color w:val="auto"/>
              </w:rPr>
              <w:t>September 30, 2014</w:t>
            </w:r>
          </w:p>
        </w:tc>
        <w:tc>
          <w:tcPr>
            <w:tcW w:w="1020" w:type="dxa"/>
            <w:vAlign w:val="bottom"/>
          </w:tcPr>
          <w:p>
            <w:pPr>
              <w:jc w:val="right"/>
              <w:spacing w:after="0"/>
              <w:rPr>
                <w:sz w:val="20"/>
                <w:szCs w:val="20"/>
                <w:color w:val="auto"/>
              </w:rPr>
            </w:pPr>
            <w:r>
              <w:rPr>
                <w:rFonts w:ascii="Arial" w:cs="Arial" w:eastAsia="Arial" w:hAnsi="Arial"/>
                <w:sz w:val="19"/>
                <w:szCs w:val="19"/>
                <w:color w:val="auto"/>
              </w:rPr>
              <w:t>42,203</w:t>
            </w: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9"/>
                <w:szCs w:val="19"/>
                <w:color w:val="auto"/>
              </w:rPr>
              <w:t>104,281</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878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rPr>
              <w:t>Less: aggregates product line shipments for three operations divested in third</w:t>
            </w:r>
          </w:p>
        </w:tc>
        <w:tc>
          <w:tcPr>
            <w:tcW w:w="10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8780" w:type="dxa"/>
            <w:vAlign w:val="bottom"/>
            <w:shd w:val="clear" w:color="auto" w:fill="CFF0FC"/>
          </w:tcPr>
          <w:p>
            <w:pPr>
              <w:ind w:left="260"/>
              <w:spacing w:after="0"/>
              <w:rPr>
                <w:sz w:val="20"/>
                <w:szCs w:val="20"/>
                <w:color w:val="auto"/>
              </w:rPr>
            </w:pPr>
            <w:r>
              <w:rPr>
                <w:rFonts w:ascii="Arial" w:cs="Arial" w:eastAsia="Arial" w:hAnsi="Arial"/>
                <w:sz w:val="20"/>
                <w:szCs w:val="20"/>
                <w:color w:val="auto"/>
              </w:rPr>
              <w:t>quarter of 2014</w:t>
            </w:r>
          </w:p>
        </w:tc>
        <w:tc>
          <w:tcPr>
            <w:tcW w:w="1300" w:type="dxa"/>
            <w:vAlign w:val="bottom"/>
            <w:gridSpan w:val="2"/>
            <w:shd w:val="clear" w:color="auto" w:fill="CFF0FC"/>
          </w:tcPr>
          <w:p>
            <w:pPr>
              <w:jc w:val="right"/>
              <w:ind w:right="220"/>
              <w:spacing w:after="0"/>
              <w:rPr>
                <w:sz w:val="20"/>
                <w:szCs w:val="20"/>
                <w:color w:val="auto"/>
              </w:rPr>
            </w:pPr>
            <w:r>
              <w:rPr>
                <w:rFonts w:ascii="Arial" w:cs="Arial" w:eastAsia="Arial" w:hAnsi="Arial"/>
                <w:sz w:val="19"/>
                <w:szCs w:val="19"/>
                <w:color w:val="auto"/>
              </w:rPr>
              <w:t>(2,301)</w:t>
            </w:r>
          </w:p>
        </w:tc>
        <w:tc>
          <w:tcPr>
            <w:tcW w:w="1340" w:type="dxa"/>
            <w:vAlign w:val="bottom"/>
            <w:gridSpan w:val="2"/>
            <w:shd w:val="clear" w:color="auto" w:fill="CFF0FC"/>
          </w:tcPr>
          <w:p>
            <w:pPr>
              <w:jc w:val="right"/>
              <w:ind w:right="120"/>
              <w:spacing w:after="0"/>
              <w:rPr>
                <w:sz w:val="20"/>
                <w:szCs w:val="20"/>
                <w:color w:val="auto"/>
              </w:rPr>
            </w:pPr>
            <w:r>
              <w:rPr>
                <w:rFonts w:ascii="Arial" w:cs="Arial" w:eastAsia="Arial" w:hAnsi="Arial"/>
                <w:sz w:val="19"/>
                <w:szCs w:val="19"/>
                <w:color w:val="auto"/>
              </w:rPr>
              <w:t>(2,301)</w:t>
            </w:r>
          </w:p>
        </w:tc>
        <w:tc>
          <w:tcPr>
            <w:tcW w:w="0" w:type="dxa"/>
            <w:vAlign w:val="bottom"/>
          </w:tcPr>
          <w:p>
            <w:pPr>
              <w:spacing w:after="0"/>
              <w:rPr>
                <w:sz w:val="1"/>
                <w:szCs w:val="1"/>
                <w:color w:val="auto"/>
              </w:rPr>
            </w:pPr>
          </w:p>
        </w:tc>
      </w:tr>
      <w:tr>
        <w:trPr>
          <w:trHeight w:val="220"/>
        </w:trPr>
        <w:tc>
          <w:tcPr>
            <w:tcW w:w="8780" w:type="dxa"/>
            <w:vAlign w:val="bottom"/>
          </w:tcPr>
          <w:p>
            <w:pPr>
              <w:spacing w:after="0" w:line="220" w:lineRule="exact"/>
              <w:rPr>
                <w:sz w:val="20"/>
                <w:szCs w:val="20"/>
                <w:color w:val="auto"/>
              </w:rPr>
            </w:pPr>
            <w:r>
              <w:rPr>
                <w:rFonts w:ascii="Arial" w:cs="Arial" w:eastAsia="Arial" w:hAnsi="Arial"/>
                <w:sz w:val="20"/>
                <w:szCs w:val="20"/>
                <w:color w:val="auto"/>
              </w:rPr>
              <w:t>Adjusted heritage aggregates product line shipments for the nine months ended</w:t>
            </w:r>
          </w:p>
        </w:tc>
        <w:tc>
          <w:tcPr>
            <w:tcW w:w="102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6"/>
        </w:trPr>
        <w:tc>
          <w:tcPr>
            <w:tcW w:w="8780" w:type="dxa"/>
            <w:vAlign w:val="bottom"/>
            <w:tcBorders>
              <w:bottom w:val="single" w:sz="8" w:color="CFF0FC"/>
            </w:tcBorders>
          </w:tcPr>
          <w:p>
            <w:pPr>
              <w:ind w:left="260"/>
              <w:spacing w:after="0"/>
              <w:rPr>
                <w:sz w:val="20"/>
                <w:szCs w:val="20"/>
                <w:color w:val="auto"/>
              </w:rPr>
            </w:pPr>
            <w:r>
              <w:rPr>
                <w:rFonts w:ascii="Arial" w:cs="Arial" w:eastAsia="Arial" w:hAnsi="Arial"/>
                <w:sz w:val="20"/>
                <w:szCs w:val="20"/>
                <w:color w:val="auto"/>
              </w:rPr>
              <w:t>September 30, 2014</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39,902</w:t>
            </w:r>
          </w:p>
        </w:tc>
        <w:tc>
          <w:tcPr>
            <w:tcW w:w="280" w:type="dxa"/>
            <w:vAlign w:val="bottom"/>
            <w:tcBorders>
              <w:bottom w:val="single" w:sz="8" w:color="CFF0FC"/>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101,980</w:t>
            </w:r>
          </w:p>
        </w:tc>
        <w:tc>
          <w:tcPr>
            <w:tcW w:w="180" w:type="dxa"/>
            <w:vAlign w:val="bottom"/>
            <w:tcBorders>
              <w:bottom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8780" w:type="dxa"/>
            <w:vAlign w:val="bottom"/>
            <w:shd w:val="clear" w:color="auto" w:fill="CFF0FC"/>
          </w:tcPr>
          <w:p>
            <w:pPr>
              <w:spacing w:after="0" w:line="207" w:lineRule="exact"/>
              <w:rPr>
                <w:sz w:val="20"/>
                <w:szCs w:val="20"/>
                <w:color w:val="auto"/>
              </w:rPr>
            </w:pPr>
            <w:r>
              <w:rPr>
                <w:rFonts w:ascii="Arial" w:cs="Arial" w:eastAsia="Arial" w:hAnsi="Arial"/>
                <w:sz w:val="20"/>
                <w:szCs w:val="20"/>
                <w:color w:val="auto"/>
              </w:rPr>
              <w:t>Reported heritage aggregates product line shipments for the nine months ended</w:t>
            </w:r>
          </w:p>
        </w:tc>
        <w:tc>
          <w:tcPr>
            <w:tcW w:w="10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878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20"/>
                <w:szCs w:val="20"/>
                <w:color w:val="auto"/>
              </w:rPr>
              <w:t>September 30, 2015</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40,805</w:t>
            </w:r>
          </w:p>
        </w:tc>
        <w:tc>
          <w:tcPr>
            <w:tcW w:w="28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106,565</w:t>
            </w:r>
          </w:p>
        </w:tc>
        <w:tc>
          <w:tcPr>
            <w:tcW w:w="1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780" w:type="dxa"/>
            <w:vAlign w:val="bottom"/>
            <w:vMerge w:val="restart"/>
          </w:tcPr>
          <w:p>
            <w:pPr>
              <w:spacing w:after="0"/>
              <w:rPr>
                <w:sz w:val="20"/>
                <w:szCs w:val="20"/>
                <w:color w:val="auto"/>
              </w:rPr>
            </w:pPr>
            <w:r>
              <w:rPr>
                <w:rFonts w:ascii="Arial" w:cs="Arial" w:eastAsia="Arial" w:hAnsi="Arial"/>
                <w:sz w:val="20"/>
                <w:szCs w:val="20"/>
                <w:color w:val="auto"/>
              </w:rPr>
              <w:t>Change in 2015 heritage aggregates product line shipments over adjusted shipments</w:t>
            </w: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8780" w:type="dxa"/>
            <w:vAlign w:val="bottom"/>
            <w:vMerge w:val="continue"/>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8780" w:type="dxa"/>
            <w:vAlign w:val="bottom"/>
          </w:tcPr>
          <w:p>
            <w:pPr>
              <w:ind w:left="260"/>
              <w:spacing w:after="0"/>
              <w:rPr>
                <w:sz w:val="20"/>
                <w:szCs w:val="20"/>
                <w:color w:val="auto"/>
              </w:rPr>
            </w:pPr>
            <w:r>
              <w:rPr>
                <w:rFonts w:ascii="Arial" w:cs="Arial" w:eastAsia="Arial" w:hAnsi="Arial"/>
                <w:sz w:val="20"/>
                <w:szCs w:val="20"/>
                <w:color w:val="auto"/>
              </w:rPr>
              <w:t>for the nine months ended September 30, 2014</w:t>
            </w:r>
          </w:p>
        </w:tc>
        <w:tc>
          <w:tcPr>
            <w:tcW w:w="1300" w:type="dxa"/>
            <w:vAlign w:val="bottom"/>
            <w:gridSpan w:val="2"/>
          </w:tcPr>
          <w:p>
            <w:pPr>
              <w:jc w:val="right"/>
              <w:ind w:right="120"/>
              <w:spacing w:after="0"/>
              <w:rPr>
                <w:sz w:val="20"/>
                <w:szCs w:val="20"/>
                <w:color w:val="auto"/>
              </w:rPr>
            </w:pPr>
            <w:r>
              <w:rPr>
                <w:rFonts w:ascii="Arial" w:cs="Arial" w:eastAsia="Arial" w:hAnsi="Arial"/>
                <w:sz w:val="19"/>
                <w:szCs w:val="19"/>
                <w:color w:val="auto"/>
              </w:rPr>
              <w:t>2.3%</w:t>
            </w:r>
          </w:p>
        </w:tc>
        <w:tc>
          <w:tcPr>
            <w:tcW w:w="1340" w:type="dxa"/>
            <w:vAlign w:val="bottom"/>
            <w:gridSpan w:val="2"/>
          </w:tcPr>
          <w:p>
            <w:pPr>
              <w:jc w:val="right"/>
              <w:ind w:right="40"/>
              <w:spacing w:after="0"/>
              <w:rPr>
                <w:sz w:val="20"/>
                <w:szCs w:val="20"/>
                <w:color w:val="auto"/>
              </w:rPr>
            </w:pPr>
            <w:r>
              <w:rPr>
                <w:rFonts w:ascii="Arial" w:cs="Arial" w:eastAsia="Arial" w:hAnsi="Arial"/>
                <w:sz w:val="19"/>
                <w:szCs w:val="19"/>
                <w:color w:val="auto"/>
              </w:rPr>
              <w:t>4.5%</w:t>
            </w:r>
          </w:p>
        </w:tc>
        <w:tc>
          <w:tcPr>
            <w:tcW w:w="0" w:type="dxa"/>
            <w:vAlign w:val="bottom"/>
          </w:tcPr>
          <w:p>
            <w:pPr>
              <w:spacing w:after="0"/>
              <w:rPr>
                <w:sz w:val="1"/>
                <w:szCs w:val="1"/>
                <w:color w:val="auto"/>
              </w:rPr>
            </w:pPr>
          </w:p>
        </w:tc>
      </w:tr>
      <w:tr>
        <w:trPr>
          <w:trHeight w:val="20"/>
        </w:trPr>
        <w:tc>
          <w:tcPr>
            <w:tcW w:w="87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per-ton average selling price for the aggregates product line was $11.78 and $10.99 for the nine months ended September 30, 2015 and 2014, respectively.</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47 of 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7" w:name="page48"/>
    <w:bookmarkEnd w:id="47"/>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September 30, 2015</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rPr>
          <w:sz w:val="20"/>
          <w:szCs w:val="20"/>
          <w:color w:val="auto"/>
        </w:rPr>
      </w:pPr>
      <w:r>
        <w:rPr>
          <w:rFonts w:ascii="Arial" w:cs="Arial" w:eastAsia="Arial" w:hAnsi="Arial"/>
          <w:sz w:val="20"/>
          <w:szCs w:val="20"/>
          <w:color w:val="auto"/>
        </w:rPr>
        <w:t>Third Quarter Ended September 30, 2015</w:t>
      </w:r>
    </w:p>
    <w:p>
      <w:pPr>
        <w:jc w:val="center"/>
        <w:spacing w:after="0"/>
        <w:rPr>
          <w:sz w:val="20"/>
          <w:szCs w:val="20"/>
          <w:color w:val="auto"/>
        </w:rPr>
      </w:pPr>
      <w:r>
        <w:rPr>
          <w:rFonts w:ascii="Arial" w:cs="Arial" w:eastAsia="Arial" w:hAnsi="Arial"/>
          <w:sz w:val="20"/>
          <w:szCs w:val="20"/>
          <w:color w:val="auto"/>
        </w:rPr>
        <w:t>(Continued)</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Average selling prices by product line for the Corporation’s aggregates-related downstream operations are as follows: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7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60" w:type="dxa"/>
            <w:vAlign w:val="bottom"/>
            <w:gridSpan w:val="7"/>
          </w:tcPr>
          <w:p>
            <w:pPr>
              <w:ind w:left="920"/>
              <w:spacing w:after="0"/>
              <w:rPr>
                <w:sz w:val="20"/>
                <w:szCs w:val="20"/>
                <w:color w:val="auto"/>
              </w:rPr>
            </w:pPr>
            <w:r>
              <w:rPr>
                <w:rFonts w:ascii="Arial" w:cs="Arial" w:eastAsia="Arial" w:hAnsi="Arial"/>
                <w:sz w:val="20"/>
                <w:szCs w:val="20"/>
                <w:color w:val="auto"/>
              </w:rPr>
              <w:t>Nine Months Ended</w:t>
            </w:r>
          </w:p>
        </w:tc>
      </w:tr>
      <w:tr>
        <w:trPr>
          <w:trHeight w:val="246"/>
        </w:trPr>
        <w:tc>
          <w:tcPr>
            <w:tcW w:w="77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60" w:type="dxa"/>
            <w:vAlign w:val="bottom"/>
            <w:tcBorders>
              <w:bottom w:val="single" w:sz="8" w:color="auto"/>
            </w:tcBorders>
            <w:gridSpan w:val="7"/>
          </w:tcPr>
          <w:p>
            <w:pPr>
              <w:ind w:left="1160"/>
              <w:spacing w:after="0"/>
              <w:rPr>
                <w:sz w:val="20"/>
                <w:szCs w:val="20"/>
                <w:color w:val="auto"/>
              </w:rPr>
            </w:pPr>
            <w:r>
              <w:rPr>
                <w:rFonts w:ascii="Arial" w:cs="Arial" w:eastAsia="Arial" w:hAnsi="Arial"/>
                <w:sz w:val="20"/>
                <w:szCs w:val="20"/>
                <w:color w:val="auto"/>
              </w:rPr>
              <w:t>September 30,</w:t>
            </w:r>
          </w:p>
        </w:tc>
      </w:tr>
      <w:tr>
        <w:trPr>
          <w:trHeight w:val="237"/>
        </w:trPr>
        <w:tc>
          <w:tcPr>
            <w:tcW w:w="7740" w:type="dxa"/>
            <w:vAlign w:val="bottom"/>
            <w:tcBorders>
              <w:bottom w:val="single" w:sz="8" w:color="CFF0FC"/>
            </w:tcBorders>
          </w:tcPr>
          <w:p>
            <w:pPr>
              <w:spacing w:after="0"/>
              <w:rPr>
                <w:sz w:val="20"/>
                <w:szCs w:val="20"/>
                <w:color w:val="auto"/>
              </w:rPr>
            </w:pPr>
          </w:p>
        </w:tc>
        <w:tc>
          <w:tcPr>
            <w:tcW w:w="220" w:type="dxa"/>
            <w:vAlign w:val="bottom"/>
            <w:tcBorders>
              <w:bottom w:val="single" w:sz="8" w:color="CFF0FC"/>
            </w:tcBorders>
          </w:tcPr>
          <w:p>
            <w:pPr>
              <w:spacing w:after="0"/>
              <w:rPr>
                <w:sz w:val="20"/>
                <w:szCs w:val="20"/>
                <w:color w:val="auto"/>
              </w:rPr>
            </w:pPr>
          </w:p>
        </w:tc>
        <w:tc>
          <w:tcPr>
            <w:tcW w:w="1400" w:type="dxa"/>
            <w:vAlign w:val="bottom"/>
            <w:tcBorders>
              <w:bottom w:val="single" w:sz="8" w:color="auto"/>
            </w:tcBorders>
          </w:tcPr>
          <w:p>
            <w:pPr>
              <w:jc w:val="center"/>
              <w:ind w:left="141"/>
              <w:spacing w:after="0"/>
              <w:rPr>
                <w:sz w:val="20"/>
                <w:szCs w:val="20"/>
                <w:color w:val="auto"/>
              </w:rPr>
            </w:pPr>
            <w:r>
              <w:rPr>
                <w:rFonts w:ascii="Arial" w:cs="Arial" w:eastAsia="Arial" w:hAnsi="Arial"/>
                <w:sz w:val="20"/>
                <w:szCs w:val="20"/>
                <w:color w:val="auto"/>
                <w:w w:val="89"/>
              </w:rPr>
              <w:t>2015</w:t>
            </w:r>
          </w:p>
        </w:tc>
        <w:tc>
          <w:tcPr>
            <w:tcW w:w="2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CFF0FC"/>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181"/>
              <w:spacing w:after="0"/>
              <w:rPr>
                <w:sz w:val="20"/>
                <w:szCs w:val="20"/>
                <w:color w:val="auto"/>
              </w:rPr>
            </w:pPr>
            <w:r>
              <w:rPr>
                <w:rFonts w:ascii="Arial" w:cs="Arial" w:eastAsia="Arial" w:hAnsi="Arial"/>
                <w:sz w:val="20"/>
                <w:szCs w:val="20"/>
                <w:color w:val="auto"/>
                <w:w w:val="85"/>
              </w:rPr>
              <w:t>2014</w:t>
            </w:r>
          </w:p>
        </w:tc>
        <w:tc>
          <w:tcPr>
            <w:tcW w:w="120" w:type="dxa"/>
            <w:vAlign w:val="bottom"/>
            <w:tcBorders>
              <w:bottom w:val="single" w:sz="8" w:color="auto"/>
            </w:tcBorders>
          </w:tcPr>
          <w:p>
            <w:pPr>
              <w:spacing w:after="0"/>
              <w:rPr>
                <w:sz w:val="20"/>
                <w:szCs w:val="20"/>
                <w:color w:val="auto"/>
              </w:rPr>
            </w:pPr>
          </w:p>
        </w:tc>
      </w:tr>
      <w:tr>
        <w:trPr>
          <w:trHeight w:val="237"/>
        </w:trPr>
        <w:tc>
          <w:tcPr>
            <w:tcW w:w="7960" w:type="dxa"/>
            <w:vAlign w:val="bottom"/>
            <w:gridSpan w:val="2"/>
            <w:shd w:val="clear" w:color="auto" w:fill="CFF0FC"/>
          </w:tcPr>
          <w:p>
            <w:pPr>
              <w:spacing w:after="0"/>
              <w:rPr>
                <w:sz w:val="20"/>
                <w:szCs w:val="20"/>
                <w:color w:val="auto"/>
              </w:rPr>
            </w:pPr>
            <w:r>
              <w:rPr>
                <w:rFonts w:ascii="Arial" w:cs="Arial" w:eastAsia="Arial" w:hAnsi="Arial"/>
                <w:sz w:val="20"/>
                <w:szCs w:val="20"/>
                <w:color w:val="auto"/>
              </w:rPr>
              <w:t>Heritage:</w:t>
            </w:r>
          </w:p>
        </w:tc>
        <w:tc>
          <w:tcPr>
            <w:tcW w:w="14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r>
      <w:tr>
        <w:trPr>
          <w:trHeight w:val="243"/>
        </w:trPr>
        <w:tc>
          <w:tcPr>
            <w:tcW w:w="7960" w:type="dxa"/>
            <w:vAlign w:val="bottom"/>
            <w:gridSpan w:val="2"/>
          </w:tcPr>
          <w:p>
            <w:pPr>
              <w:ind w:left="140"/>
              <w:spacing w:after="0"/>
              <w:rPr>
                <w:sz w:val="20"/>
                <w:szCs w:val="20"/>
                <w:color w:val="auto"/>
              </w:rPr>
            </w:pPr>
            <w:r>
              <w:rPr>
                <w:rFonts w:ascii="Arial" w:cs="Arial" w:eastAsia="Arial" w:hAnsi="Arial"/>
                <w:sz w:val="20"/>
                <w:szCs w:val="20"/>
                <w:color w:val="auto"/>
              </w:rPr>
              <w:t>Asphalt</w:t>
            </w:r>
          </w:p>
        </w:tc>
        <w:tc>
          <w:tcPr>
            <w:tcW w:w="2160" w:type="dxa"/>
            <w:vAlign w:val="bottom"/>
            <w:gridSpan w:val="5"/>
          </w:tcPr>
          <w:p>
            <w:pPr>
              <w:jc w:val="center"/>
              <w:ind w:right="500"/>
              <w:spacing w:after="0"/>
              <w:rPr>
                <w:sz w:val="20"/>
                <w:szCs w:val="20"/>
                <w:color w:val="auto"/>
              </w:rPr>
            </w:pPr>
            <w:r>
              <w:rPr>
                <w:rFonts w:ascii="Arial" w:cs="Arial" w:eastAsia="Arial" w:hAnsi="Arial"/>
                <w:sz w:val="20"/>
                <w:szCs w:val="20"/>
                <w:color w:val="auto"/>
                <w:w w:val="90"/>
              </w:rPr>
              <w:t>$42.80/ton</w:t>
            </w:r>
          </w:p>
        </w:tc>
        <w:tc>
          <w:tcPr>
            <w:tcW w:w="1300" w:type="dxa"/>
            <w:vAlign w:val="bottom"/>
            <w:gridSpan w:val="2"/>
          </w:tcPr>
          <w:p>
            <w:pPr>
              <w:jc w:val="center"/>
              <w:ind w:right="400"/>
              <w:spacing w:after="0"/>
              <w:rPr>
                <w:sz w:val="20"/>
                <w:szCs w:val="20"/>
                <w:color w:val="auto"/>
              </w:rPr>
            </w:pPr>
            <w:r>
              <w:rPr>
                <w:rFonts w:ascii="Arial" w:cs="Arial" w:eastAsia="Arial" w:hAnsi="Arial"/>
                <w:sz w:val="20"/>
                <w:szCs w:val="20"/>
                <w:color w:val="auto"/>
                <w:w w:val="90"/>
              </w:rPr>
              <w:t>$41.68/ton</w:t>
            </w:r>
          </w:p>
        </w:tc>
      </w:tr>
      <w:tr>
        <w:trPr>
          <w:trHeight w:val="243"/>
        </w:trPr>
        <w:tc>
          <w:tcPr>
            <w:tcW w:w="7960" w:type="dxa"/>
            <w:vAlign w:val="bottom"/>
            <w:gridSpan w:val="2"/>
            <w:shd w:val="clear" w:color="auto" w:fill="CFF0FC"/>
          </w:tcPr>
          <w:p>
            <w:pPr>
              <w:ind w:left="140"/>
              <w:spacing w:after="0"/>
              <w:rPr>
                <w:sz w:val="20"/>
                <w:szCs w:val="20"/>
                <w:color w:val="auto"/>
              </w:rPr>
            </w:pPr>
            <w:r>
              <w:rPr>
                <w:rFonts w:ascii="Arial" w:cs="Arial" w:eastAsia="Arial" w:hAnsi="Arial"/>
                <w:sz w:val="20"/>
                <w:szCs w:val="20"/>
                <w:color w:val="auto"/>
              </w:rPr>
              <w:t>Ready Mixed Concrete</w:t>
            </w:r>
          </w:p>
        </w:tc>
        <w:tc>
          <w:tcPr>
            <w:tcW w:w="2160" w:type="dxa"/>
            <w:vAlign w:val="bottom"/>
            <w:gridSpan w:val="5"/>
            <w:shd w:val="clear" w:color="auto" w:fill="CFF0FC"/>
          </w:tcPr>
          <w:p>
            <w:pPr>
              <w:jc w:val="center"/>
              <w:ind w:right="520"/>
              <w:spacing w:after="0"/>
              <w:rPr>
                <w:sz w:val="20"/>
                <w:szCs w:val="20"/>
                <w:color w:val="auto"/>
              </w:rPr>
            </w:pPr>
            <w:r>
              <w:rPr>
                <w:rFonts w:ascii="Arial" w:cs="Arial" w:eastAsia="Arial" w:hAnsi="Arial"/>
                <w:sz w:val="20"/>
                <w:szCs w:val="20"/>
                <w:color w:val="auto"/>
                <w:w w:val="90"/>
              </w:rPr>
              <w:t>$101.63/yd³</w:t>
            </w:r>
          </w:p>
        </w:tc>
        <w:tc>
          <w:tcPr>
            <w:tcW w:w="1300" w:type="dxa"/>
            <w:vAlign w:val="bottom"/>
            <w:gridSpan w:val="2"/>
            <w:shd w:val="clear" w:color="auto" w:fill="CFF0FC"/>
          </w:tcPr>
          <w:p>
            <w:pPr>
              <w:jc w:val="center"/>
              <w:ind w:right="400"/>
              <w:spacing w:after="0"/>
              <w:rPr>
                <w:sz w:val="20"/>
                <w:szCs w:val="20"/>
                <w:color w:val="auto"/>
              </w:rPr>
            </w:pPr>
            <w:r>
              <w:rPr>
                <w:rFonts w:ascii="Arial" w:cs="Arial" w:eastAsia="Arial" w:hAnsi="Arial"/>
                <w:sz w:val="20"/>
                <w:szCs w:val="20"/>
                <w:color w:val="auto"/>
                <w:w w:val="90"/>
              </w:rPr>
              <w:t>$92.39/yd³</w:t>
            </w:r>
          </w:p>
        </w:tc>
      </w:tr>
      <w:tr>
        <w:trPr>
          <w:trHeight w:val="243"/>
        </w:trPr>
        <w:tc>
          <w:tcPr>
            <w:tcW w:w="7960" w:type="dxa"/>
            <w:vAlign w:val="bottom"/>
            <w:gridSpan w:val="2"/>
          </w:tcPr>
          <w:p>
            <w:pPr>
              <w:spacing w:after="0"/>
              <w:rPr>
                <w:sz w:val="20"/>
                <w:szCs w:val="20"/>
                <w:color w:val="auto"/>
              </w:rPr>
            </w:pPr>
            <w:r>
              <w:rPr>
                <w:rFonts w:ascii="Arial" w:cs="Arial" w:eastAsia="Arial" w:hAnsi="Arial"/>
                <w:sz w:val="20"/>
                <w:szCs w:val="20"/>
                <w:color w:val="auto"/>
              </w:rPr>
              <w:t>Acquisitions:</w:t>
            </w:r>
          </w:p>
        </w:tc>
        <w:tc>
          <w:tcPr>
            <w:tcW w:w="1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43"/>
        </w:trPr>
        <w:tc>
          <w:tcPr>
            <w:tcW w:w="7960" w:type="dxa"/>
            <w:vAlign w:val="bottom"/>
            <w:gridSpan w:val="2"/>
            <w:shd w:val="clear" w:color="auto" w:fill="CFF0FC"/>
          </w:tcPr>
          <w:p>
            <w:pPr>
              <w:ind w:left="140"/>
              <w:spacing w:after="0"/>
              <w:rPr>
                <w:sz w:val="20"/>
                <w:szCs w:val="20"/>
                <w:color w:val="auto"/>
              </w:rPr>
            </w:pPr>
            <w:r>
              <w:rPr>
                <w:rFonts w:ascii="Arial" w:cs="Arial" w:eastAsia="Arial" w:hAnsi="Arial"/>
                <w:sz w:val="20"/>
                <w:szCs w:val="20"/>
                <w:color w:val="auto"/>
              </w:rPr>
              <w:t xml:space="preserve">Ready Mixed Concrete </w:t>
            </w:r>
            <w:r>
              <w:rPr>
                <w:rFonts w:ascii="Arial" w:cs="Arial" w:eastAsia="Arial" w:hAnsi="Arial"/>
                <w:sz w:val="16"/>
                <w:szCs w:val="16"/>
                <w:color w:val="auto"/>
              </w:rPr>
              <w:t>(4)</w:t>
            </w:r>
          </w:p>
        </w:tc>
        <w:tc>
          <w:tcPr>
            <w:tcW w:w="2160" w:type="dxa"/>
            <w:vAlign w:val="bottom"/>
            <w:gridSpan w:val="5"/>
            <w:shd w:val="clear" w:color="auto" w:fill="CFF0FC"/>
          </w:tcPr>
          <w:p>
            <w:pPr>
              <w:jc w:val="center"/>
              <w:ind w:right="500"/>
              <w:spacing w:after="0"/>
              <w:rPr>
                <w:sz w:val="20"/>
                <w:szCs w:val="20"/>
                <w:color w:val="auto"/>
              </w:rPr>
            </w:pPr>
            <w:r>
              <w:rPr>
                <w:rFonts w:ascii="Arial" w:cs="Arial" w:eastAsia="Arial" w:hAnsi="Arial"/>
                <w:sz w:val="20"/>
                <w:szCs w:val="20"/>
                <w:color w:val="auto"/>
                <w:w w:val="90"/>
              </w:rPr>
              <w:t>$90.93/yd³</w:t>
            </w:r>
          </w:p>
        </w:tc>
        <w:tc>
          <w:tcPr>
            <w:tcW w:w="1300" w:type="dxa"/>
            <w:vAlign w:val="bottom"/>
            <w:gridSpan w:val="2"/>
            <w:shd w:val="clear" w:color="auto" w:fill="CFF0FC"/>
          </w:tcPr>
          <w:p>
            <w:pPr>
              <w:jc w:val="center"/>
              <w:ind w:right="400"/>
              <w:spacing w:after="0"/>
              <w:rPr>
                <w:sz w:val="20"/>
                <w:szCs w:val="20"/>
                <w:color w:val="auto"/>
              </w:rPr>
            </w:pPr>
            <w:r>
              <w:rPr>
                <w:rFonts w:ascii="Arial" w:cs="Arial" w:eastAsia="Arial" w:hAnsi="Arial"/>
                <w:sz w:val="20"/>
                <w:szCs w:val="20"/>
                <w:color w:val="auto"/>
                <w:w w:val="90"/>
              </w:rPr>
              <w:t>$86.10/yd³</w:t>
            </w:r>
          </w:p>
        </w:tc>
      </w:tr>
      <w:tr>
        <w:trPr>
          <w:trHeight w:val="450"/>
        </w:trPr>
        <w:tc>
          <w:tcPr>
            <w:tcW w:w="10120" w:type="dxa"/>
            <w:vAlign w:val="bottom"/>
            <w:gridSpan w:val="7"/>
          </w:tcPr>
          <w:p>
            <w:pPr>
              <w:spacing w:after="0"/>
              <w:rPr>
                <w:sz w:val="20"/>
                <w:szCs w:val="20"/>
                <w:color w:val="auto"/>
              </w:rPr>
            </w:pPr>
            <w:r>
              <w:rPr>
                <w:rFonts w:ascii="Arial" w:cs="Arial" w:eastAsia="Arial" w:hAnsi="Arial"/>
                <w:sz w:val="20"/>
                <w:szCs w:val="20"/>
                <w:color w:val="auto"/>
              </w:rPr>
              <w:t>Unit shipments by product line for the Corporation’s aggregates-related downstream operations are as follows:</w:t>
            </w: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38"/>
        </w:trPr>
        <w:tc>
          <w:tcPr>
            <w:tcW w:w="7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60" w:type="dxa"/>
            <w:vAlign w:val="bottom"/>
            <w:gridSpan w:val="7"/>
          </w:tcPr>
          <w:p>
            <w:pPr>
              <w:ind w:left="760"/>
              <w:spacing w:after="0"/>
              <w:rPr>
                <w:sz w:val="20"/>
                <w:szCs w:val="20"/>
                <w:color w:val="auto"/>
              </w:rPr>
            </w:pPr>
            <w:r>
              <w:rPr>
                <w:rFonts w:ascii="Arial" w:cs="Arial" w:eastAsia="Arial" w:hAnsi="Arial"/>
                <w:sz w:val="20"/>
                <w:szCs w:val="20"/>
                <w:color w:val="auto"/>
              </w:rPr>
              <w:t>Nine Months Ended</w:t>
            </w:r>
          </w:p>
        </w:tc>
      </w:tr>
      <w:tr>
        <w:trPr>
          <w:trHeight w:val="246"/>
        </w:trPr>
        <w:tc>
          <w:tcPr>
            <w:tcW w:w="77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160" w:type="dxa"/>
            <w:vAlign w:val="bottom"/>
            <w:tcBorders>
              <w:bottom w:val="single" w:sz="8" w:color="auto"/>
            </w:tcBorders>
            <w:gridSpan w:val="5"/>
          </w:tcPr>
          <w:p>
            <w:pPr>
              <w:ind w:left="980"/>
              <w:spacing w:after="0"/>
              <w:rPr>
                <w:sz w:val="20"/>
                <w:szCs w:val="20"/>
                <w:color w:val="auto"/>
              </w:rPr>
            </w:pPr>
            <w:r>
              <w:rPr>
                <w:rFonts w:ascii="Arial" w:cs="Arial" w:eastAsia="Arial" w:hAnsi="Arial"/>
                <w:sz w:val="20"/>
                <w:szCs w:val="20"/>
                <w:color w:val="auto"/>
                <w:w w:val="88"/>
              </w:rPr>
              <w:t>September 30,</w:t>
            </w:r>
          </w:p>
        </w:tc>
        <w:tc>
          <w:tcPr>
            <w:tcW w:w="118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r>
      <w:tr>
        <w:trPr>
          <w:trHeight w:val="237"/>
        </w:trPr>
        <w:tc>
          <w:tcPr>
            <w:tcW w:w="77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ind w:left="380"/>
              <w:spacing w:after="0"/>
              <w:rPr>
                <w:sz w:val="20"/>
                <w:szCs w:val="20"/>
                <w:color w:val="auto"/>
              </w:rPr>
            </w:pPr>
            <w:r>
              <w:rPr>
                <w:rFonts w:ascii="Arial" w:cs="Arial" w:eastAsia="Arial" w:hAnsi="Arial"/>
                <w:sz w:val="20"/>
                <w:szCs w:val="20"/>
                <w:color w:val="auto"/>
              </w:rPr>
              <w:t>2015</w:t>
            </w:r>
          </w:p>
        </w:tc>
        <w:tc>
          <w:tcPr>
            <w:tcW w:w="20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81"/>
              <w:spacing w:after="0"/>
              <w:rPr>
                <w:sz w:val="20"/>
                <w:szCs w:val="20"/>
                <w:color w:val="auto"/>
              </w:rPr>
            </w:pPr>
            <w:r>
              <w:rPr>
                <w:rFonts w:ascii="Arial" w:cs="Arial" w:eastAsia="Arial" w:hAnsi="Arial"/>
                <w:sz w:val="20"/>
                <w:szCs w:val="20"/>
                <w:color w:val="auto"/>
              </w:rPr>
              <w:t>2014</w:t>
            </w:r>
          </w:p>
        </w:tc>
        <w:tc>
          <w:tcPr>
            <w:tcW w:w="120" w:type="dxa"/>
            <w:vAlign w:val="bottom"/>
          </w:tcPr>
          <w:p>
            <w:pPr>
              <w:spacing w:after="0"/>
              <w:rPr>
                <w:sz w:val="20"/>
                <w:szCs w:val="20"/>
                <w:color w:val="auto"/>
              </w:rPr>
            </w:pPr>
          </w:p>
        </w:tc>
      </w:tr>
      <w:tr>
        <w:trPr>
          <w:trHeight w:val="237"/>
        </w:trPr>
        <w:tc>
          <w:tcPr>
            <w:tcW w:w="7740" w:type="dxa"/>
            <w:vAlign w:val="bottom"/>
          </w:tcPr>
          <w:p>
            <w:pPr>
              <w:spacing w:after="0"/>
              <w:rPr>
                <w:sz w:val="20"/>
                <w:szCs w:val="20"/>
                <w:color w:val="auto"/>
              </w:rPr>
            </w:pPr>
            <w:r>
              <w:rPr>
                <w:rFonts w:ascii="Arial" w:cs="Arial" w:eastAsia="Arial" w:hAnsi="Arial"/>
                <w:sz w:val="20"/>
                <w:szCs w:val="20"/>
                <w:color w:val="auto"/>
              </w:rPr>
              <w:t>Asphalt Product Line (in thousands):</w:t>
            </w:r>
          </w:p>
        </w:tc>
        <w:tc>
          <w:tcPr>
            <w:tcW w:w="2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43"/>
        </w:trPr>
        <w:tc>
          <w:tcPr>
            <w:tcW w:w="7960" w:type="dxa"/>
            <w:vAlign w:val="bottom"/>
            <w:gridSpan w:val="2"/>
            <w:shd w:val="clear" w:color="auto" w:fill="CFF0FC"/>
          </w:tcPr>
          <w:p>
            <w:pPr>
              <w:ind w:left="260"/>
              <w:spacing w:after="0"/>
              <w:rPr>
                <w:sz w:val="20"/>
                <w:szCs w:val="20"/>
                <w:color w:val="auto"/>
              </w:rPr>
            </w:pPr>
            <w:r>
              <w:rPr>
                <w:rFonts w:ascii="Arial" w:cs="Arial" w:eastAsia="Arial" w:hAnsi="Arial"/>
                <w:sz w:val="20"/>
                <w:szCs w:val="20"/>
                <w:color w:val="auto"/>
              </w:rPr>
              <w:t>Tons to external customers</w:t>
            </w:r>
          </w:p>
        </w:tc>
        <w:tc>
          <w:tcPr>
            <w:tcW w:w="1400" w:type="dxa"/>
            <w:vAlign w:val="bottom"/>
            <w:shd w:val="clear" w:color="auto" w:fill="CFF0FC"/>
          </w:tcPr>
          <w:p>
            <w:pPr>
              <w:ind w:left="940"/>
              <w:spacing w:after="0"/>
              <w:rPr>
                <w:sz w:val="20"/>
                <w:szCs w:val="20"/>
                <w:color w:val="auto"/>
              </w:rPr>
            </w:pPr>
            <w:r>
              <w:rPr>
                <w:rFonts w:ascii="Arial" w:cs="Arial" w:eastAsia="Arial" w:hAnsi="Arial"/>
                <w:sz w:val="20"/>
                <w:szCs w:val="20"/>
                <w:color w:val="auto"/>
                <w:w w:val="87"/>
              </w:rPr>
              <w:t>1,042</w:t>
            </w:r>
          </w:p>
        </w:tc>
        <w:tc>
          <w:tcPr>
            <w:tcW w:w="20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1,182</w:t>
            </w:r>
          </w:p>
        </w:tc>
        <w:tc>
          <w:tcPr>
            <w:tcW w:w="120" w:type="dxa"/>
            <w:vAlign w:val="bottom"/>
            <w:shd w:val="clear" w:color="auto" w:fill="CFF0FC"/>
          </w:tcPr>
          <w:p>
            <w:pPr>
              <w:spacing w:after="0"/>
              <w:rPr>
                <w:sz w:val="21"/>
                <w:szCs w:val="21"/>
                <w:color w:val="auto"/>
              </w:rPr>
            </w:pPr>
          </w:p>
        </w:tc>
      </w:tr>
      <w:tr>
        <w:trPr>
          <w:trHeight w:val="243"/>
        </w:trPr>
        <w:tc>
          <w:tcPr>
            <w:tcW w:w="7960" w:type="dxa"/>
            <w:vAlign w:val="bottom"/>
            <w:gridSpan w:val="2"/>
          </w:tcPr>
          <w:p>
            <w:pPr>
              <w:ind w:left="260"/>
              <w:spacing w:after="0"/>
              <w:rPr>
                <w:sz w:val="20"/>
                <w:szCs w:val="20"/>
                <w:color w:val="auto"/>
              </w:rPr>
            </w:pPr>
            <w:r>
              <w:rPr>
                <w:rFonts w:ascii="Arial" w:cs="Arial" w:eastAsia="Arial" w:hAnsi="Arial"/>
                <w:sz w:val="20"/>
                <w:szCs w:val="20"/>
                <w:color w:val="auto"/>
              </w:rPr>
              <w:t>Internal tons used in road paving business</w:t>
            </w:r>
          </w:p>
        </w:tc>
        <w:tc>
          <w:tcPr>
            <w:tcW w:w="1400" w:type="dxa"/>
            <w:vAlign w:val="bottom"/>
          </w:tcPr>
          <w:p>
            <w:pPr>
              <w:ind w:left="940"/>
              <w:spacing w:after="0"/>
              <w:rPr>
                <w:sz w:val="20"/>
                <w:szCs w:val="20"/>
                <w:color w:val="auto"/>
              </w:rPr>
            </w:pPr>
            <w:r>
              <w:rPr>
                <w:rFonts w:ascii="Arial" w:cs="Arial" w:eastAsia="Arial" w:hAnsi="Arial"/>
                <w:sz w:val="20"/>
                <w:szCs w:val="20"/>
                <w:color w:val="auto"/>
                <w:w w:val="87"/>
              </w:rPr>
              <w:t>1,296</w:t>
            </w: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1,347</w:t>
            </w:r>
          </w:p>
        </w:tc>
        <w:tc>
          <w:tcPr>
            <w:tcW w:w="120" w:type="dxa"/>
            <w:vAlign w:val="bottom"/>
          </w:tcPr>
          <w:p>
            <w:pPr>
              <w:spacing w:after="0"/>
              <w:rPr>
                <w:sz w:val="21"/>
                <w:szCs w:val="21"/>
                <w:color w:val="auto"/>
              </w:rPr>
            </w:pPr>
          </w:p>
        </w:tc>
      </w:tr>
      <w:tr>
        <w:trPr>
          <w:trHeight w:val="237"/>
        </w:trPr>
        <w:tc>
          <w:tcPr>
            <w:tcW w:w="77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Total asphalt tons</w:t>
            </w:r>
          </w:p>
        </w:tc>
        <w:tc>
          <w:tcPr>
            <w:tcW w:w="220" w:type="dxa"/>
            <w:vAlign w:val="bottom"/>
            <w:tcBorders>
              <w:top w:val="single" w:sz="8" w:color="auto"/>
              <w:bottom w:val="single" w:sz="8" w:color="auto"/>
            </w:tcBorders>
            <w:shd w:val="clear" w:color="auto" w:fill="CFF0FC"/>
          </w:tcPr>
          <w:p>
            <w:pPr>
              <w:spacing w:after="0"/>
              <w:rPr>
                <w:sz w:val="20"/>
                <w:szCs w:val="20"/>
                <w:color w:val="auto"/>
              </w:rPr>
            </w:pPr>
          </w:p>
        </w:tc>
        <w:tc>
          <w:tcPr>
            <w:tcW w:w="1400" w:type="dxa"/>
            <w:vAlign w:val="bottom"/>
            <w:tcBorders>
              <w:top w:val="single" w:sz="8" w:color="auto"/>
              <w:bottom w:val="single" w:sz="8" w:color="auto"/>
            </w:tcBorders>
            <w:shd w:val="clear" w:color="auto" w:fill="CFF0FC"/>
          </w:tcPr>
          <w:p>
            <w:pPr>
              <w:ind w:left="940"/>
              <w:spacing w:after="0"/>
              <w:rPr>
                <w:sz w:val="20"/>
                <w:szCs w:val="20"/>
                <w:color w:val="auto"/>
              </w:rPr>
            </w:pPr>
            <w:r>
              <w:rPr>
                <w:rFonts w:ascii="Arial" w:cs="Arial" w:eastAsia="Arial" w:hAnsi="Arial"/>
                <w:sz w:val="20"/>
                <w:szCs w:val="20"/>
                <w:color w:val="auto"/>
                <w:w w:val="87"/>
              </w:rPr>
              <w:t>2,338</w:t>
            </w:r>
          </w:p>
        </w:tc>
        <w:tc>
          <w:tcPr>
            <w:tcW w:w="200" w:type="dxa"/>
            <w:vAlign w:val="bottom"/>
            <w:tcBorders>
              <w:top w:val="single" w:sz="8" w:color="CFF0FC"/>
              <w:bottom w:val="single" w:sz="8" w:color="CFF0FC"/>
            </w:tcBorders>
            <w:shd w:val="clear" w:color="auto" w:fill="CFF0FC"/>
          </w:tcPr>
          <w:p>
            <w:pPr>
              <w:spacing w:after="0"/>
              <w:rPr>
                <w:sz w:val="20"/>
                <w:szCs w:val="20"/>
                <w:color w:val="auto"/>
              </w:rPr>
            </w:pPr>
          </w:p>
        </w:tc>
        <w:tc>
          <w:tcPr>
            <w:tcW w:w="60" w:type="dxa"/>
            <w:vAlign w:val="bottom"/>
            <w:tcBorders>
              <w:top w:val="single" w:sz="8" w:color="auto"/>
              <w:bottom w:val="single" w:sz="8" w:color="auto"/>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spacing w:after="0"/>
              <w:rPr>
                <w:sz w:val="20"/>
                <w:szCs w:val="20"/>
                <w:color w:val="auto"/>
              </w:rPr>
            </w:pPr>
          </w:p>
        </w:tc>
        <w:tc>
          <w:tcPr>
            <w:tcW w:w="380" w:type="dxa"/>
            <w:vAlign w:val="bottom"/>
            <w:tcBorders>
              <w:top w:val="single" w:sz="8" w:color="auto"/>
              <w:bottom w:val="single" w:sz="8" w:color="auto"/>
            </w:tcBorders>
            <w:shd w:val="clear" w:color="auto" w:fill="CFF0FC"/>
          </w:tcPr>
          <w:p>
            <w:pPr>
              <w:spacing w:after="0"/>
              <w:rPr>
                <w:sz w:val="20"/>
                <w:szCs w:val="20"/>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2,529</w:t>
            </w:r>
          </w:p>
        </w:tc>
        <w:tc>
          <w:tcPr>
            <w:tcW w:w="120" w:type="dxa"/>
            <w:vAlign w:val="bottom"/>
            <w:tcBorders>
              <w:top w:val="single" w:sz="8" w:color="CFF0FC"/>
              <w:bottom w:val="single" w:sz="8" w:color="CFF0FC"/>
            </w:tcBorders>
            <w:shd w:val="clear" w:color="auto" w:fill="CFF0FC"/>
          </w:tcPr>
          <w:p>
            <w:pPr>
              <w:spacing w:after="0"/>
              <w:rPr>
                <w:sz w:val="20"/>
                <w:szCs w:val="20"/>
                <w:color w:val="auto"/>
              </w:rPr>
            </w:pPr>
          </w:p>
        </w:tc>
      </w:tr>
      <w:tr>
        <w:trPr>
          <w:trHeight w:val="20"/>
        </w:trPr>
        <w:tc>
          <w:tcPr>
            <w:tcW w:w="796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4"/>
        </w:trPr>
        <w:tc>
          <w:tcPr>
            <w:tcW w:w="7740" w:type="dxa"/>
            <w:vAlign w:val="bottom"/>
          </w:tcPr>
          <w:p>
            <w:pPr>
              <w:spacing w:after="0" w:line="224" w:lineRule="exact"/>
              <w:rPr>
                <w:sz w:val="20"/>
                <w:szCs w:val="20"/>
                <w:color w:val="auto"/>
              </w:rPr>
            </w:pPr>
            <w:r>
              <w:rPr>
                <w:rFonts w:ascii="Arial" w:cs="Arial" w:eastAsia="Arial" w:hAnsi="Arial"/>
                <w:sz w:val="20"/>
                <w:szCs w:val="20"/>
                <w:color w:val="auto"/>
              </w:rPr>
              <w:t>Ready Mixed Concrete (in thousands of cubic yards):</w:t>
            </w:r>
          </w:p>
        </w:tc>
        <w:tc>
          <w:tcPr>
            <w:tcW w:w="22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43"/>
        </w:trPr>
        <w:tc>
          <w:tcPr>
            <w:tcW w:w="7960" w:type="dxa"/>
            <w:vAlign w:val="bottom"/>
            <w:gridSpan w:val="2"/>
            <w:shd w:val="clear" w:color="auto" w:fill="CFF0FC"/>
          </w:tcPr>
          <w:p>
            <w:pPr>
              <w:ind w:left="260"/>
              <w:spacing w:after="0"/>
              <w:rPr>
                <w:sz w:val="20"/>
                <w:szCs w:val="20"/>
                <w:color w:val="auto"/>
              </w:rPr>
            </w:pPr>
            <w:r>
              <w:rPr>
                <w:rFonts w:ascii="Arial" w:cs="Arial" w:eastAsia="Arial" w:hAnsi="Arial"/>
                <w:sz w:val="20"/>
                <w:szCs w:val="20"/>
                <w:color w:val="auto"/>
              </w:rPr>
              <w:t>Heritage</w:t>
            </w:r>
          </w:p>
        </w:tc>
        <w:tc>
          <w:tcPr>
            <w:tcW w:w="1400" w:type="dxa"/>
            <w:vAlign w:val="bottom"/>
            <w:shd w:val="clear" w:color="auto" w:fill="CFF0FC"/>
          </w:tcPr>
          <w:p>
            <w:pPr>
              <w:ind w:left="940"/>
              <w:spacing w:after="0"/>
              <w:rPr>
                <w:sz w:val="20"/>
                <w:szCs w:val="20"/>
                <w:color w:val="auto"/>
              </w:rPr>
            </w:pPr>
            <w:r>
              <w:rPr>
                <w:rFonts w:ascii="Arial" w:cs="Arial" w:eastAsia="Arial" w:hAnsi="Arial"/>
                <w:sz w:val="20"/>
                <w:szCs w:val="20"/>
                <w:color w:val="auto"/>
                <w:w w:val="87"/>
              </w:rPr>
              <w:t>1,587</w:t>
            </w:r>
          </w:p>
        </w:tc>
        <w:tc>
          <w:tcPr>
            <w:tcW w:w="20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1,539</w:t>
            </w:r>
          </w:p>
        </w:tc>
        <w:tc>
          <w:tcPr>
            <w:tcW w:w="120" w:type="dxa"/>
            <w:vAlign w:val="bottom"/>
            <w:shd w:val="clear" w:color="auto" w:fill="CFF0FC"/>
          </w:tcPr>
          <w:p>
            <w:pPr>
              <w:spacing w:after="0"/>
              <w:rPr>
                <w:sz w:val="21"/>
                <w:szCs w:val="21"/>
                <w:color w:val="auto"/>
              </w:rPr>
            </w:pPr>
          </w:p>
        </w:tc>
      </w:tr>
      <w:tr>
        <w:trPr>
          <w:trHeight w:val="243"/>
        </w:trPr>
        <w:tc>
          <w:tcPr>
            <w:tcW w:w="7960" w:type="dxa"/>
            <w:vAlign w:val="bottom"/>
            <w:gridSpan w:val="2"/>
          </w:tcPr>
          <w:p>
            <w:pPr>
              <w:ind w:left="260"/>
              <w:spacing w:after="0"/>
              <w:rPr>
                <w:sz w:val="20"/>
                <w:szCs w:val="20"/>
                <w:color w:val="auto"/>
              </w:rPr>
            </w:pPr>
            <w:r>
              <w:rPr>
                <w:rFonts w:ascii="Arial" w:cs="Arial" w:eastAsia="Arial" w:hAnsi="Arial"/>
                <w:sz w:val="20"/>
                <w:szCs w:val="20"/>
                <w:color w:val="auto"/>
              </w:rPr>
              <w:t>Acquisitions</w:t>
            </w:r>
            <w:r>
              <w:rPr>
                <w:rFonts w:ascii="Arial" w:cs="Arial" w:eastAsia="Arial" w:hAnsi="Arial"/>
                <w:sz w:val="16"/>
                <w:szCs w:val="16"/>
                <w:color w:val="auto"/>
              </w:rPr>
              <w:t>(4)</w:t>
            </w:r>
          </w:p>
        </w:tc>
        <w:tc>
          <w:tcPr>
            <w:tcW w:w="1400" w:type="dxa"/>
            <w:vAlign w:val="bottom"/>
          </w:tcPr>
          <w:p>
            <w:pPr>
              <w:ind w:left="940"/>
              <w:spacing w:after="0"/>
              <w:rPr>
                <w:sz w:val="20"/>
                <w:szCs w:val="20"/>
                <w:color w:val="auto"/>
              </w:rPr>
            </w:pPr>
            <w:r>
              <w:rPr>
                <w:rFonts w:ascii="Arial" w:cs="Arial" w:eastAsia="Arial" w:hAnsi="Arial"/>
                <w:sz w:val="20"/>
                <w:szCs w:val="20"/>
                <w:color w:val="auto"/>
                <w:w w:val="87"/>
              </w:rPr>
              <w:t>3,501</w:t>
            </w: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1,466</w:t>
            </w:r>
          </w:p>
        </w:tc>
        <w:tc>
          <w:tcPr>
            <w:tcW w:w="120" w:type="dxa"/>
            <w:vAlign w:val="bottom"/>
          </w:tcPr>
          <w:p>
            <w:pPr>
              <w:spacing w:after="0"/>
              <w:rPr>
                <w:sz w:val="21"/>
                <w:szCs w:val="21"/>
                <w:color w:val="auto"/>
              </w:rPr>
            </w:pPr>
          </w:p>
        </w:tc>
      </w:tr>
      <w:tr>
        <w:trPr>
          <w:trHeight w:val="237"/>
        </w:trPr>
        <w:tc>
          <w:tcPr>
            <w:tcW w:w="77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Total cubic yards</w:t>
            </w:r>
          </w:p>
        </w:tc>
        <w:tc>
          <w:tcPr>
            <w:tcW w:w="220" w:type="dxa"/>
            <w:vAlign w:val="bottom"/>
            <w:tcBorders>
              <w:top w:val="single" w:sz="8" w:color="auto"/>
              <w:bottom w:val="single" w:sz="8" w:color="auto"/>
            </w:tcBorders>
            <w:shd w:val="clear" w:color="auto" w:fill="CFF0FC"/>
          </w:tcPr>
          <w:p>
            <w:pPr>
              <w:spacing w:after="0"/>
              <w:rPr>
                <w:sz w:val="20"/>
                <w:szCs w:val="20"/>
                <w:color w:val="auto"/>
              </w:rPr>
            </w:pPr>
          </w:p>
        </w:tc>
        <w:tc>
          <w:tcPr>
            <w:tcW w:w="1400" w:type="dxa"/>
            <w:vAlign w:val="bottom"/>
            <w:tcBorders>
              <w:top w:val="single" w:sz="8" w:color="auto"/>
              <w:bottom w:val="single" w:sz="8" w:color="auto"/>
            </w:tcBorders>
            <w:shd w:val="clear" w:color="auto" w:fill="CFF0FC"/>
          </w:tcPr>
          <w:p>
            <w:pPr>
              <w:ind w:left="940"/>
              <w:spacing w:after="0"/>
              <w:rPr>
                <w:sz w:val="20"/>
                <w:szCs w:val="20"/>
                <w:color w:val="auto"/>
              </w:rPr>
            </w:pPr>
            <w:r>
              <w:rPr>
                <w:rFonts w:ascii="Arial" w:cs="Arial" w:eastAsia="Arial" w:hAnsi="Arial"/>
                <w:sz w:val="20"/>
                <w:szCs w:val="20"/>
                <w:color w:val="auto"/>
                <w:w w:val="87"/>
              </w:rPr>
              <w:t>5,088</w:t>
            </w:r>
          </w:p>
        </w:tc>
        <w:tc>
          <w:tcPr>
            <w:tcW w:w="200" w:type="dxa"/>
            <w:vAlign w:val="bottom"/>
            <w:tcBorders>
              <w:top w:val="single" w:sz="8" w:color="CFF0FC"/>
              <w:bottom w:val="single" w:sz="8" w:color="CFF0FC"/>
            </w:tcBorders>
            <w:shd w:val="clear" w:color="auto" w:fill="CFF0FC"/>
          </w:tcPr>
          <w:p>
            <w:pPr>
              <w:spacing w:after="0"/>
              <w:rPr>
                <w:sz w:val="20"/>
                <w:szCs w:val="20"/>
                <w:color w:val="auto"/>
              </w:rPr>
            </w:pPr>
          </w:p>
        </w:tc>
        <w:tc>
          <w:tcPr>
            <w:tcW w:w="60" w:type="dxa"/>
            <w:vAlign w:val="bottom"/>
            <w:tcBorders>
              <w:top w:val="single" w:sz="8" w:color="auto"/>
              <w:bottom w:val="single" w:sz="8" w:color="auto"/>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spacing w:after="0"/>
              <w:rPr>
                <w:sz w:val="20"/>
                <w:szCs w:val="20"/>
                <w:color w:val="auto"/>
              </w:rPr>
            </w:pPr>
          </w:p>
        </w:tc>
        <w:tc>
          <w:tcPr>
            <w:tcW w:w="380" w:type="dxa"/>
            <w:vAlign w:val="bottom"/>
            <w:tcBorders>
              <w:top w:val="single" w:sz="8" w:color="auto"/>
              <w:bottom w:val="single" w:sz="8" w:color="auto"/>
            </w:tcBorders>
            <w:shd w:val="clear" w:color="auto" w:fill="CFF0FC"/>
          </w:tcPr>
          <w:p>
            <w:pPr>
              <w:spacing w:after="0"/>
              <w:rPr>
                <w:sz w:val="20"/>
                <w:szCs w:val="20"/>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3,005</w:t>
            </w:r>
          </w:p>
        </w:tc>
        <w:tc>
          <w:tcPr>
            <w:tcW w:w="120" w:type="dxa"/>
            <w:vAlign w:val="bottom"/>
            <w:tcBorders>
              <w:top w:val="single" w:sz="8" w:color="CFF0FC"/>
              <w:bottom w:val="single" w:sz="8" w:color="CFF0FC"/>
            </w:tcBorders>
            <w:shd w:val="clear" w:color="auto" w:fill="CFF0FC"/>
          </w:tcPr>
          <w:p>
            <w:pPr>
              <w:spacing w:after="0"/>
              <w:rPr>
                <w:sz w:val="20"/>
                <w:szCs w:val="20"/>
                <w:color w:val="auto"/>
              </w:rPr>
            </w:pPr>
          </w:p>
        </w:tc>
      </w:tr>
      <w:tr>
        <w:trPr>
          <w:trHeight w:val="20"/>
        </w:trPr>
        <w:tc>
          <w:tcPr>
            <w:tcW w:w="7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94" w:lineRule="exact"/>
        <w:rPr>
          <w:sz w:val="20"/>
          <w:szCs w:val="20"/>
          <w:color w:val="auto"/>
        </w:rPr>
      </w:pPr>
    </w:p>
    <w:p>
      <w:pPr>
        <w:ind w:left="260" w:hanging="252"/>
        <w:spacing w:after="0"/>
        <w:tabs>
          <w:tab w:leader="none" w:pos="260" w:val="left"/>
        </w:tabs>
        <w:numPr>
          <w:ilvl w:val="0"/>
          <w:numId w:val="35"/>
        </w:numPr>
        <w:rPr>
          <w:rFonts w:ascii="Arial" w:cs="Arial" w:eastAsia="Arial" w:hAnsi="Arial"/>
          <w:sz w:val="15"/>
          <w:szCs w:val="15"/>
          <w:color w:val="auto"/>
        </w:rPr>
      </w:pPr>
      <w:r>
        <w:rPr>
          <w:rFonts w:ascii="Arial" w:cs="Arial" w:eastAsia="Arial" w:hAnsi="Arial"/>
          <w:sz w:val="18"/>
          <w:szCs w:val="18"/>
          <w:color w:val="auto"/>
        </w:rPr>
        <w:t>TXI ready mixed concrete operations acquired on July 1, 2014.</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color w:val="auto"/>
        </w:rPr>
        <w:t>Average selling price per-ton for the cement operations for the nine months ended September 30, 2015 was $97.48.</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Cement shipments for the nine months ended September 30, 2015 were (tons in thousands):</w:t>
      </w:r>
    </w:p>
    <w:p>
      <w:pPr>
        <w:spacing w:after="0" w:line="243" w:lineRule="exact"/>
        <w:rPr>
          <w:sz w:val="20"/>
          <w:szCs w:val="20"/>
          <w:color w:val="auto"/>
        </w:rPr>
      </w:pPr>
    </w:p>
    <w:p>
      <w:pPr>
        <w:jc w:val="center"/>
        <w:ind w:left="6860"/>
        <w:spacing w:after="0"/>
        <w:rPr>
          <w:sz w:val="20"/>
          <w:szCs w:val="20"/>
          <w:color w:val="auto"/>
        </w:rPr>
      </w:pPr>
      <w:r>
        <w:rPr>
          <w:rFonts w:ascii="Arial" w:cs="Arial" w:eastAsia="Arial" w:hAnsi="Arial"/>
          <w:sz w:val="20"/>
          <w:szCs w:val="20"/>
          <w:color w:val="auto"/>
        </w:rPr>
        <w:t>Nine Months Ended</w:t>
      </w:r>
    </w:p>
    <w:p>
      <w:pPr>
        <w:spacing w:after="0" w:line="20" w:lineRule="exact"/>
        <w:rPr>
          <w:sz w:val="20"/>
          <w:szCs w:val="20"/>
          <w:color w:val="auto"/>
        </w:rPr>
      </w:pPr>
    </w:p>
    <w:p>
      <w:pPr>
        <w:jc w:val="center"/>
        <w:ind w:left="6860"/>
        <w:spacing w:after="0"/>
        <w:rPr>
          <w:sz w:val="20"/>
          <w:szCs w:val="20"/>
          <w:color w:val="auto"/>
        </w:rPr>
      </w:pPr>
      <w:r>
        <w:rPr>
          <w:rFonts w:ascii="Arial" w:cs="Arial" w:eastAsia="Arial" w:hAnsi="Arial"/>
          <w:sz w:val="20"/>
          <w:szCs w:val="20"/>
          <w:color w:val="auto"/>
        </w:rPr>
        <w:t>September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000" w:type="dxa"/>
            <w:vAlign w:val="bottom"/>
            <w:tcBorders>
              <w:bottom w:val="single" w:sz="8" w:color="CFF0FC"/>
            </w:tcBorders>
          </w:tcPr>
          <w:p>
            <w:pPr>
              <w:spacing w:after="0"/>
              <w:rPr>
                <w:sz w:val="20"/>
                <w:szCs w:val="20"/>
                <w:color w:val="auto"/>
              </w:rPr>
            </w:pPr>
          </w:p>
        </w:tc>
        <w:tc>
          <w:tcPr>
            <w:tcW w:w="134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20"/>
                <w:szCs w:val="20"/>
                <w:color w:val="auto"/>
              </w:rPr>
              <w:t>2015</w:t>
            </w:r>
          </w:p>
        </w:tc>
        <w:tc>
          <w:tcPr>
            <w:tcW w:w="640" w:type="dxa"/>
            <w:vAlign w:val="bottom"/>
            <w:tcBorders>
              <w:top w:val="single" w:sz="8" w:color="auto"/>
              <w:bottom w:val="single" w:sz="8" w:color="auto"/>
            </w:tcBorders>
          </w:tcPr>
          <w:p>
            <w:pPr>
              <w:spacing w:after="0"/>
              <w:rPr>
                <w:sz w:val="20"/>
                <w:szCs w:val="20"/>
                <w:color w:val="auto"/>
              </w:rPr>
            </w:pPr>
          </w:p>
        </w:tc>
        <w:tc>
          <w:tcPr>
            <w:tcW w:w="320" w:type="dxa"/>
            <w:vAlign w:val="bottom"/>
            <w:tcBorders>
              <w:top w:val="single" w:sz="8" w:color="auto"/>
              <w:bottom w:val="single" w:sz="8" w:color="CFF0FC"/>
            </w:tcBorders>
          </w:tcPr>
          <w:p>
            <w:pPr>
              <w:spacing w:after="0"/>
              <w:rPr>
                <w:sz w:val="20"/>
                <w:szCs w:val="20"/>
                <w:color w:val="auto"/>
              </w:rPr>
            </w:pPr>
          </w:p>
        </w:tc>
        <w:tc>
          <w:tcPr>
            <w:tcW w:w="2000" w:type="dxa"/>
            <w:vAlign w:val="bottom"/>
            <w:tcBorders>
              <w:top w:val="single" w:sz="8" w:color="auto"/>
              <w:bottom w:val="single" w:sz="8" w:color="auto"/>
            </w:tcBorders>
          </w:tcPr>
          <w:p>
            <w:pPr>
              <w:jc w:val="right"/>
              <w:ind w:right="701"/>
              <w:spacing w:after="0"/>
              <w:rPr>
                <w:sz w:val="20"/>
                <w:szCs w:val="20"/>
                <w:color w:val="auto"/>
              </w:rPr>
            </w:pPr>
            <w:r>
              <w:rPr>
                <w:rFonts w:ascii="Arial" w:cs="Arial" w:eastAsia="Arial" w:hAnsi="Arial"/>
                <w:sz w:val="20"/>
                <w:szCs w:val="20"/>
                <w:color w:val="auto"/>
              </w:rPr>
              <w:t>2014</w:t>
            </w:r>
          </w:p>
        </w:tc>
        <w:tc>
          <w:tcPr>
            <w:tcW w:w="120" w:type="dxa"/>
            <w:vAlign w:val="bottom"/>
            <w:tcBorders>
              <w:bottom w:val="single" w:sz="8" w:color="CFF0FC"/>
            </w:tcBorders>
          </w:tcPr>
          <w:p>
            <w:pPr>
              <w:spacing w:after="0"/>
              <w:rPr>
                <w:sz w:val="20"/>
                <w:szCs w:val="20"/>
                <w:color w:val="auto"/>
              </w:rPr>
            </w:pPr>
          </w:p>
        </w:tc>
      </w:tr>
      <w:tr>
        <w:trPr>
          <w:trHeight w:val="237"/>
        </w:trPr>
        <w:tc>
          <w:tcPr>
            <w:tcW w:w="7000" w:type="dxa"/>
            <w:vAlign w:val="bottom"/>
            <w:shd w:val="clear" w:color="auto" w:fill="CFF0FC"/>
          </w:tcPr>
          <w:p>
            <w:pPr>
              <w:spacing w:after="0"/>
              <w:rPr>
                <w:sz w:val="20"/>
                <w:szCs w:val="20"/>
                <w:color w:val="auto"/>
              </w:rPr>
            </w:pPr>
            <w:r>
              <w:rPr>
                <w:rFonts w:ascii="Arial" w:cs="Arial" w:eastAsia="Arial" w:hAnsi="Arial"/>
                <w:sz w:val="20"/>
                <w:szCs w:val="20"/>
                <w:color w:val="auto"/>
              </w:rPr>
              <w:t>Tons to external customers</w:t>
            </w:r>
          </w:p>
        </w:tc>
        <w:tc>
          <w:tcPr>
            <w:tcW w:w="134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3,100</w:t>
            </w:r>
          </w:p>
        </w:tc>
        <w:tc>
          <w:tcPr>
            <w:tcW w:w="320" w:type="dxa"/>
            <w:vAlign w:val="bottom"/>
            <w:shd w:val="clear" w:color="auto" w:fill="CFF0FC"/>
          </w:tcPr>
          <w:p>
            <w:pPr>
              <w:spacing w:after="0"/>
              <w:rPr>
                <w:sz w:val="20"/>
                <w:szCs w:val="20"/>
                <w:color w:val="auto"/>
              </w:rPr>
            </w:pPr>
          </w:p>
        </w:tc>
        <w:tc>
          <w:tcPr>
            <w:tcW w:w="20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1,272</w:t>
            </w:r>
          </w:p>
        </w:tc>
        <w:tc>
          <w:tcPr>
            <w:tcW w:w="120" w:type="dxa"/>
            <w:vAlign w:val="bottom"/>
            <w:shd w:val="clear" w:color="auto" w:fill="CFF0FC"/>
          </w:tcPr>
          <w:p>
            <w:pPr>
              <w:spacing w:after="0"/>
              <w:rPr>
                <w:sz w:val="20"/>
                <w:szCs w:val="20"/>
                <w:color w:val="auto"/>
              </w:rPr>
            </w:pPr>
          </w:p>
        </w:tc>
      </w:tr>
      <w:tr>
        <w:trPr>
          <w:trHeight w:val="243"/>
        </w:trPr>
        <w:tc>
          <w:tcPr>
            <w:tcW w:w="8340" w:type="dxa"/>
            <w:vAlign w:val="bottom"/>
            <w:gridSpan w:val="2"/>
          </w:tcPr>
          <w:p>
            <w:pPr>
              <w:spacing w:after="0"/>
              <w:rPr>
                <w:sz w:val="20"/>
                <w:szCs w:val="20"/>
                <w:color w:val="auto"/>
              </w:rPr>
            </w:pPr>
            <w:r>
              <w:rPr>
                <w:rFonts w:ascii="Arial" w:cs="Arial" w:eastAsia="Arial" w:hAnsi="Arial"/>
                <w:sz w:val="20"/>
                <w:szCs w:val="20"/>
                <w:color w:val="auto"/>
              </w:rPr>
              <w:t>Internal tons used in other product lines</w:t>
            </w:r>
          </w:p>
        </w:tc>
        <w:tc>
          <w:tcPr>
            <w:tcW w:w="640" w:type="dxa"/>
            <w:vAlign w:val="bottom"/>
          </w:tcPr>
          <w:p>
            <w:pPr>
              <w:jc w:val="right"/>
              <w:spacing w:after="0"/>
              <w:rPr>
                <w:sz w:val="20"/>
                <w:szCs w:val="20"/>
                <w:color w:val="auto"/>
              </w:rPr>
            </w:pPr>
            <w:r>
              <w:rPr>
                <w:rFonts w:ascii="Arial" w:cs="Arial" w:eastAsia="Arial" w:hAnsi="Arial"/>
                <w:sz w:val="20"/>
                <w:szCs w:val="20"/>
                <w:color w:val="auto"/>
              </w:rPr>
              <w:t>657</w:t>
            </w:r>
          </w:p>
        </w:tc>
        <w:tc>
          <w:tcPr>
            <w:tcW w:w="320" w:type="dxa"/>
            <w:vAlign w:val="bottom"/>
          </w:tcPr>
          <w:p>
            <w:pPr>
              <w:spacing w:after="0"/>
              <w:rPr>
                <w:sz w:val="21"/>
                <w:szCs w:val="21"/>
                <w:color w:val="auto"/>
              </w:rPr>
            </w:pPr>
          </w:p>
        </w:tc>
        <w:tc>
          <w:tcPr>
            <w:tcW w:w="2000" w:type="dxa"/>
            <w:vAlign w:val="bottom"/>
          </w:tcPr>
          <w:p>
            <w:pPr>
              <w:jc w:val="right"/>
              <w:spacing w:after="0"/>
              <w:rPr>
                <w:sz w:val="20"/>
                <w:szCs w:val="20"/>
                <w:color w:val="auto"/>
              </w:rPr>
            </w:pPr>
            <w:r>
              <w:rPr>
                <w:rFonts w:ascii="Arial" w:cs="Arial" w:eastAsia="Arial" w:hAnsi="Arial"/>
                <w:sz w:val="20"/>
                <w:szCs w:val="20"/>
                <w:color w:val="auto"/>
              </w:rPr>
              <w:t>253</w:t>
            </w:r>
          </w:p>
        </w:tc>
        <w:tc>
          <w:tcPr>
            <w:tcW w:w="120" w:type="dxa"/>
            <w:vAlign w:val="bottom"/>
          </w:tcPr>
          <w:p>
            <w:pPr>
              <w:spacing w:after="0"/>
              <w:rPr>
                <w:sz w:val="21"/>
                <w:szCs w:val="21"/>
                <w:color w:val="auto"/>
              </w:rPr>
            </w:pPr>
          </w:p>
        </w:tc>
      </w:tr>
      <w:tr>
        <w:trPr>
          <w:trHeight w:val="237"/>
        </w:trPr>
        <w:tc>
          <w:tcPr>
            <w:tcW w:w="700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20"/>
                <w:szCs w:val="20"/>
                <w:color w:val="auto"/>
              </w:rPr>
              <w:t>Total cement tons</w:t>
            </w:r>
          </w:p>
        </w:tc>
        <w:tc>
          <w:tcPr>
            <w:tcW w:w="1340" w:type="dxa"/>
            <w:vAlign w:val="bottom"/>
            <w:tcBorders>
              <w:top w:val="single" w:sz="8" w:color="auto"/>
              <w:bottom w:val="single" w:sz="8" w:color="auto"/>
            </w:tcBorders>
            <w:shd w:val="clear" w:color="auto" w:fill="CFF0FC"/>
          </w:tcPr>
          <w:p>
            <w:pPr>
              <w:spacing w:after="0"/>
              <w:rPr>
                <w:sz w:val="20"/>
                <w:szCs w:val="20"/>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3,757</w:t>
            </w:r>
          </w:p>
        </w:tc>
        <w:tc>
          <w:tcPr>
            <w:tcW w:w="320" w:type="dxa"/>
            <w:vAlign w:val="bottom"/>
            <w:tcBorders>
              <w:top w:val="single" w:sz="8" w:color="CFF0FC"/>
              <w:bottom w:val="single" w:sz="8" w:color="CFF0FC"/>
            </w:tcBorders>
            <w:shd w:val="clear" w:color="auto" w:fill="CFF0FC"/>
          </w:tcPr>
          <w:p>
            <w:pPr>
              <w:spacing w:after="0"/>
              <w:rPr>
                <w:sz w:val="20"/>
                <w:szCs w:val="20"/>
                <w:color w:val="auto"/>
              </w:rPr>
            </w:pPr>
          </w:p>
        </w:tc>
        <w:tc>
          <w:tcPr>
            <w:tcW w:w="2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1,525</w:t>
            </w:r>
          </w:p>
        </w:tc>
        <w:tc>
          <w:tcPr>
            <w:tcW w:w="120" w:type="dxa"/>
            <w:vAlign w:val="bottom"/>
            <w:tcBorders>
              <w:top w:val="single" w:sz="8" w:color="CFF0FC"/>
              <w:bottom w:val="single" w:sz="8" w:color="CFF0FC"/>
            </w:tcBorders>
            <w:shd w:val="clear" w:color="auto" w:fill="CFF0FC"/>
          </w:tcPr>
          <w:p>
            <w:pPr>
              <w:spacing w:after="0"/>
              <w:rPr>
                <w:sz w:val="20"/>
                <w:szCs w:val="20"/>
                <w:color w:val="auto"/>
              </w:rPr>
            </w:pPr>
          </w:p>
        </w:tc>
      </w:tr>
      <w:tr>
        <w:trPr>
          <w:trHeight w:val="20"/>
        </w:trPr>
        <w:tc>
          <w:tcPr>
            <w:tcW w:w="70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For 2015, Magnesia Specialties reported net sales of $176.5 million, relatively flat compared with the prior-year period. Earnings from operations were $53.5 million compared with $55.0 million.</w:t>
      </w:r>
    </w:p>
    <w:p>
      <w:pPr>
        <w:spacing w:after="0" w:line="177" w:lineRule="exact"/>
        <w:rPr>
          <w:sz w:val="20"/>
          <w:szCs w:val="20"/>
          <w:color w:val="auto"/>
        </w:rPr>
      </w:pPr>
    </w:p>
    <w:p>
      <w:pPr>
        <w:ind w:left="5160" w:right="2040" w:hanging="5158"/>
        <w:spacing w:after="0" w:line="486" w:lineRule="auto"/>
        <w:rPr>
          <w:sz w:val="20"/>
          <w:szCs w:val="20"/>
          <w:color w:val="auto"/>
        </w:rPr>
      </w:pPr>
      <w:r>
        <w:rPr>
          <w:rFonts w:ascii="Arial" w:cs="Arial" w:eastAsia="Arial" w:hAnsi="Arial"/>
          <w:sz w:val="20"/>
          <w:szCs w:val="20"/>
          <w:color w:val="auto"/>
        </w:rPr>
        <w:t>Consolidated gross margin (excluding freight and delivery revenues) was 21.6% for 2015 versus 18.8% for 2014. The Page 48 of 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-95250</wp:posOffset>
            </wp:positionV>
            <wp:extent cx="72891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8" w:name="page49"/>
    <w:bookmarkEnd w:id="48"/>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September 30, 2015</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rPr>
          <w:sz w:val="20"/>
          <w:szCs w:val="20"/>
          <w:color w:val="auto"/>
        </w:rPr>
      </w:pPr>
      <w:r>
        <w:rPr>
          <w:rFonts w:ascii="Arial" w:cs="Arial" w:eastAsia="Arial" w:hAnsi="Arial"/>
          <w:sz w:val="20"/>
          <w:szCs w:val="20"/>
          <w:color w:val="auto"/>
        </w:rPr>
        <w:t>Third Quarter Ended September 30, 2015</w:t>
      </w:r>
    </w:p>
    <w:p>
      <w:pPr>
        <w:jc w:val="center"/>
        <w:spacing w:after="0"/>
        <w:rPr>
          <w:sz w:val="20"/>
          <w:szCs w:val="20"/>
          <w:color w:val="auto"/>
        </w:rPr>
      </w:pPr>
      <w:r>
        <w:rPr>
          <w:rFonts w:ascii="Arial" w:cs="Arial" w:eastAsia="Arial" w:hAnsi="Arial"/>
          <w:sz w:val="20"/>
          <w:szCs w:val="20"/>
          <w:color w:val="auto"/>
        </w:rPr>
        <w:t>(Continued)</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7360" w:type="dxa"/>
            <w:vAlign w:val="bottom"/>
            <w:gridSpan w:val="3"/>
          </w:tcPr>
          <w:p>
            <w:pPr>
              <w:spacing w:after="0"/>
              <w:rPr>
                <w:sz w:val="20"/>
                <w:szCs w:val="20"/>
                <w:color w:val="auto"/>
              </w:rPr>
            </w:pPr>
            <w:r>
              <w:rPr>
                <w:rFonts w:ascii="Arial" w:cs="Arial" w:eastAsia="Arial" w:hAnsi="Arial"/>
                <w:sz w:val="20"/>
                <w:szCs w:val="20"/>
                <w:color w:val="auto"/>
                <w:w w:val="96"/>
              </w:rPr>
              <w:t>following presents a rollforward of the Corporation’s gross profit (dollars in thousands):</w:t>
            </w:r>
          </w:p>
        </w:tc>
        <w:tc>
          <w:tcPr>
            <w:tcW w:w="3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7"/>
        </w:trPr>
        <w:tc>
          <w:tcPr>
            <w:tcW w:w="7360" w:type="dxa"/>
            <w:vAlign w:val="bottom"/>
            <w:gridSpan w:val="3"/>
          </w:tcPr>
          <w:p>
            <w:pPr>
              <w:spacing w:after="0"/>
              <w:rPr>
                <w:sz w:val="20"/>
                <w:szCs w:val="20"/>
                <w:color w:val="auto"/>
              </w:rPr>
            </w:pPr>
            <w:r>
              <w:rPr>
                <w:rFonts w:ascii="Arial" w:cs="Arial" w:eastAsia="Arial" w:hAnsi="Arial"/>
                <w:sz w:val="20"/>
                <w:szCs w:val="20"/>
                <w:color w:val="auto"/>
              </w:rPr>
              <w:t>Consolidated gross profit, nine months ended September 30, 2014</w:t>
            </w: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gridSpan w:val="2"/>
          </w:tcPr>
          <w:p>
            <w:pPr>
              <w:jc w:val="right"/>
              <w:ind w:right="40"/>
              <w:spacing w:after="0"/>
              <w:rPr>
                <w:sz w:val="20"/>
                <w:szCs w:val="20"/>
                <w:color w:val="auto"/>
              </w:rPr>
            </w:pPr>
            <w:r>
              <w:rPr>
                <w:rFonts w:ascii="Arial" w:cs="Arial" w:eastAsia="Arial" w:hAnsi="Arial"/>
                <w:sz w:val="20"/>
                <w:szCs w:val="20"/>
                <w:color w:val="auto"/>
                <w:w w:val="71"/>
              </w:rPr>
              <w:t>$</w:t>
            </w:r>
          </w:p>
        </w:tc>
        <w:tc>
          <w:tcPr>
            <w:tcW w:w="5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357,030</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34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20"/>
                <w:szCs w:val="20"/>
                <w:color w:val="auto"/>
              </w:rPr>
              <w:t>Heritage aggregates product line:</w:t>
            </w:r>
          </w:p>
        </w:tc>
        <w:tc>
          <w:tcPr>
            <w:tcW w:w="380" w:type="dxa"/>
            <w:vAlign w:val="bottom"/>
            <w:tcBorders>
              <w:top w:val="single" w:sz="8" w:color="CFF0FC"/>
            </w:tcBorders>
            <w:shd w:val="clear" w:color="auto" w:fill="CFF0FC"/>
          </w:tcPr>
          <w:p>
            <w:pPr>
              <w:spacing w:after="0"/>
              <w:rPr>
                <w:sz w:val="20"/>
                <w:szCs w:val="20"/>
                <w:color w:val="auto"/>
              </w:rPr>
            </w:pPr>
          </w:p>
        </w:tc>
        <w:tc>
          <w:tcPr>
            <w:tcW w:w="340" w:type="dxa"/>
            <w:vAlign w:val="bottom"/>
            <w:tcBorders>
              <w:top w:val="single" w:sz="8" w:color="CFF0FC"/>
            </w:tcBorders>
            <w:shd w:val="clear" w:color="auto" w:fill="CFF0FC"/>
          </w:tcPr>
          <w:p>
            <w:pPr>
              <w:spacing w:after="0"/>
              <w:rPr>
                <w:sz w:val="20"/>
                <w:szCs w:val="20"/>
                <w:color w:val="auto"/>
              </w:rPr>
            </w:pPr>
          </w:p>
        </w:tc>
        <w:tc>
          <w:tcPr>
            <w:tcW w:w="1280" w:type="dxa"/>
            <w:vAlign w:val="bottom"/>
            <w:tcBorders>
              <w:top w:val="single" w:sz="8" w:color="CFF0FC"/>
            </w:tcBorders>
            <w:shd w:val="clear" w:color="auto" w:fill="CFF0FC"/>
          </w:tcPr>
          <w:p>
            <w:pPr>
              <w:spacing w:after="0"/>
              <w:rPr>
                <w:sz w:val="20"/>
                <w:szCs w:val="20"/>
                <w:color w:val="auto"/>
              </w:rPr>
            </w:pPr>
          </w:p>
        </w:tc>
        <w:tc>
          <w:tcPr>
            <w:tcW w:w="80" w:type="dxa"/>
            <w:vAlign w:val="bottom"/>
            <w:tcBorders>
              <w:top w:val="single" w:sz="8" w:color="CFF0FC"/>
            </w:tcBorders>
            <w:shd w:val="clear" w:color="auto" w:fill="CFF0FC"/>
          </w:tcPr>
          <w:p>
            <w:pPr>
              <w:spacing w:after="0"/>
              <w:rPr>
                <w:sz w:val="20"/>
                <w:szCs w:val="20"/>
                <w:color w:val="auto"/>
              </w:rPr>
            </w:pPr>
          </w:p>
        </w:tc>
        <w:tc>
          <w:tcPr>
            <w:tcW w:w="40" w:type="dxa"/>
            <w:vAlign w:val="bottom"/>
            <w:tcBorders>
              <w:top w:val="single" w:sz="8" w:color="auto"/>
            </w:tcBorders>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spacing w:after="0"/>
              <w:rPr>
                <w:sz w:val="20"/>
                <w:szCs w:val="20"/>
                <w:color w:val="auto"/>
              </w:rPr>
            </w:pPr>
          </w:p>
        </w:tc>
        <w:tc>
          <w:tcPr>
            <w:tcW w:w="580" w:type="dxa"/>
            <w:vAlign w:val="bottom"/>
            <w:tcBorders>
              <w:top w:val="single" w:sz="8" w:color="auto"/>
            </w:tcBorders>
            <w:shd w:val="clear" w:color="auto" w:fill="CFF0FC"/>
          </w:tcPr>
          <w:p>
            <w:pPr>
              <w:spacing w:after="0"/>
              <w:rPr>
                <w:sz w:val="20"/>
                <w:szCs w:val="20"/>
                <w:color w:val="auto"/>
              </w:rPr>
            </w:pPr>
          </w:p>
        </w:tc>
        <w:tc>
          <w:tcPr>
            <w:tcW w:w="1140" w:type="dxa"/>
            <w:vAlign w:val="bottom"/>
            <w:tcBorders>
              <w:top w:val="single" w:sz="8" w:color="auto"/>
            </w:tcBorders>
            <w:shd w:val="clear" w:color="auto" w:fill="CFF0FC"/>
          </w:tcPr>
          <w:p>
            <w:pPr>
              <w:spacing w:after="0"/>
              <w:rPr>
                <w:sz w:val="20"/>
                <w:szCs w:val="20"/>
                <w:color w:val="auto"/>
              </w:rPr>
            </w:pPr>
          </w:p>
        </w:tc>
        <w:tc>
          <w:tcPr>
            <w:tcW w:w="20" w:type="dxa"/>
            <w:vAlign w:val="bottom"/>
            <w:tcBorders>
              <w:top w:val="single" w:sz="8" w:color="CFF0FC"/>
            </w:tcBorders>
            <w:shd w:val="clear" w:color="auto" w:fill="CFF0FC"/>
          </w:tcPr>
          <w:p>
            <w:pPr>
              <w:spacing w:after="0"/>
              <w:rPr>
                <w:sz w:val="20"/>
                <w:szCs w:val="20"/>
                <w:color w:val="auto"/>
              </w:rPr>
            </w:pPr>
          </w:p>
        </w:tc>
        <w:tc>
          <w:tcPr>
            <w:tcW w:w="100" w:type="dxa"/>
            <w:vAlign w:val="bottom"/>
            <w:tcBorders>
              <w:top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340" w:type="dxa"/>
            <w:vAlign w:val="bottom"/>
            <w:gridSpan w:val="2"/>
          </w:tcPr>
          <w:p>
            <w:pPr>
              <w:ind w:left="240"/>
              <w:spacing w:after="0"/>
              <w:rPr>
                <w:sz w:val="20"/>
                <w:szCs w:val="20"/>
                <w:color w:val="auto"/>
              </w:rPr>
            </w:pPr>
            <w:r>
              <w:rPr>
                <w:rFonts w:ascii="Arial" w:cs="Arial" w:eastAsia="Arial" w:hAnsi="Arial"/>
                <w:sz w:val="20"/>
                <w:szCs w:val="20"/>
                <w:color w:val="auto"/>
              </w:rPr>
              <w:t>Volume strength</w:t>
            </w:r>
          </w:p>
        </w:tc>
        <w:tc>
          <w:tcPr>
            <w:tcW w:w="3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24,651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340" w:type="dxa"/>
            <w:vAlign w:val="bottom"/>
            <w:gridSpan w:val="2"/>
            <w:shd w:val="clear" w:color="auto" w:fill="CFF0FC"/>
          </w:tcPr>
          <w:p>
            <w:pPr>
              <w:ind w:left="240"/>
              <w:spacing w:after="0"/>
              <w:rPr>
                <w:sz w:val="20"/>
                <w:szCs w:val="20"/>
                <w:color w:val="auto"/>
              </w:rPr>
            </w:pPr>
            <w:r>
              <w:rPr>
                <w:rFonts w:ascii="Arial" w:cs="Arial" w:eastAsia="Arial" w:hAnsi="Arial"/>
                <w:sz w:val="20"/>
                <w:szCs w:val="20"/>
                <w:color w:val="auto"/>
              </w:rPr>
              <w:t>Pricing strength</w:t>
            </w:r>
          </w:p>
        </w:tc>
        <w:tc>
          <w:tcPr>
            <w:tcW w:w="3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78,199</w:t>
            </w: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340" w:type="dxa"/>
            <w:vAlign w:val="bottom"/>
            <w:gridSpan w:val="2"/>
          </w:tcPr>
          <w:p>
            <w:pPr>
              <w:ind w:left="240"/>
              <w:spacing w:after="0"/>
              <w:rPr>
                <w:sz w:val="20"/>
                <w:szCs w:val="20"/>
                <w:color w:val="auto"/>
              </w:rPr>
            </w:pPr>
            <w:r>
              <w:rPr>
                <w:rFonts w:ascii="Arial" w:cs="Arial" w:eastAsia="Arial" w:hAnsi="Arial"/>
                <w:sz w:val="20"/>
                <w:szCs w:val="20"/>
                <w:color w:val="auto"/>
              </w:rPr>
              <w:t>Cost increases, net</w:t>
            </w:r>
          </w:p>
        </w:tc>
        <w:tc>
          <w:tcPr>
            <w:tcW w:w="3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60" w:type="dxa"/>
            <w:vAlign w:val="bottom"/>
            <w:gridSpan w:val="3"/>
          </w:tcPr>
          <w:p>
            <w:pPr>
              <w:jc w:val="right"/>
              <w:ind w:right="60"/>
              <w:spacing w:after="0"/>
              <w:rPr>
                <w:sz w:val="20"/>
                <w:szCs w:val="20"/>
                <w:color w:val="auto"/>
              </w:rPr>
            </w:pPr>
            <w:r>
              <w:rPr>
                <w:rFonts w:ascii="Arial" w:cs="Arial" w:eastAsia="Arial" w:hAnsi="Arial"/>
                <w:sz w:val="20"/>
                <w:szCs w:val="20"/>
                <w:color w:val="auto"/>
              </w:rPr>
              <w:t>(16,186)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34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20"/>
                <w:szCs w:val="20"/>
                <w:color w:val="auto"/>
              </w:rPr>
              <w:t>Increase in heritage aggregates product line gross profit</w:t>
            </w:r>
          </w:p>
        </w:tc>
        <w:tc>
          <w:tcPr>
            <w:tcW w:w="380" w:type="dxa"/>
            <w:vAlign w:val="bottom"/>
            <w:tcBorders>
              <w:top w:val="single" w:sz="8" w:color="CFF0FC"/>
            </w:tcBorders>
            <w:shd w:val="clear" w:color="auto" w:fill="CFF0FC"/>
          </w:tcPr>
          <w:p>
            <w:pPr>
              <w:spacing w:after="0"/>
              <w:rPr>
                <w:sz w:val="20"/>
                <w:szCs w:val="20"/>
                <w:color w:val="auto"/>
              </w:rPr>
            </w:pPr>
          </w:p>
        </w:tc>
        <w:tc>
          <w:tcPr>
            <w:tcW w:w="340" w:type="dxa"/>
            <w:vAlign w:val="bottom"/>
            <w:tcBorders>
              <w:top w:val="single" w:sz="8" w:color="CFF0FC"/>
            </w:tcBorders>
            <w:shd w:val="clear" w:color="auto" w:fill="CFF0FC"/>
          </w:tcPr>
          <w:p>
            <w:pPr>
              <w:spacing w:after="0"/>
              <w:rPr>
                <w:sz w:val="20"/>
                <w:szCs w:val="20"/>
                <w:color w:val="auto"/>
              </w:rPr>
            </w:pPr>
          </w:p>
        </w:tc>
        <w:tc>
          <w:tcPr>
            <w:tcW w:w="1280" w:type="dxa"/>
            <w:vAlign w:val="bottom"/>
            <w:tcBorders>
              <w:top w:val="single" w:sz="8" w:color="CFF0FC"/>
            </w:tcBorders>
            <w:shd w:val="clear" w:color="auto" w:fill="CFF0FC"/>
          </w:tcPr>
          <w:p>
            <w:pPr>
              <w:spacing w:after="0"/>
              <w:rPr>
                <w:sz w:val="20"/>
                <w:szCs w:val="20"/>
                <w:color w:val="auto"/>
              </w:rPr>
            </w:pPr>
          </w:p>
        </w:tc>
        <w:tc>
          <w:tcPr>
            <w:tcW w:w="80" w:type="dxa"/>
            <w:vAlign w:val="bottom"/>
            <w:tcBorders>
              <w:top w:val="single" w:sz="8" w:color="CFF0FC"/>
            </w:tcBorders>
            <w:shd w:val="clear" w:color="auto" w:fill="CFF0FC"/>
          </w:tcPr>
          <w:p>
            <w:pPr>
              <w:spacing w:after="0"/>
              <w:rPr>
                <w:sz w:val="20"/>
                <w:szCs w:val="20"/>
                <w:color w:val="auto"/>
              </w:rPr>
            </w:pPr>
          </w:p>
        </w:tc>
        <w:tc>
          <w:tcPr>
            <w:tcW w:w="40" w:type="dxa"/>
            <w:vAlign w:val="bottom"/>
            <w:tcBorders>
              <w:top w:val="single" w:sz="8" w:color="auto"/>
            </w:tcBorders>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spacing w:after="0"/>
              <w:rPr>
                <w:sz w:val="20"/>
                <w:szCs w:val="20"/>
                <w:color w:val="auto"/>
              </w:rPr>
            </w:pPr>
          </w:p>
        </w:tc>
        <w:tc>
          <w:tcPr>
            <w:tcW w:w="580" w:type="dxa"/>
            <w:vAlign w:val="bottom"/>
            <w:tcBorders>
              <w:top w:val="single" w:sz="8" w:color="auto"/>
            </w:tcBorders>
            <w:shd w:val="clear" w:color="auto" w:fill="CFF0FC"/>
          </w:tcPr>
          <w:p>
            <w:pPr>
              <w:spacing w:after="0"/>
              <w:rPr>
                <w:sz w:val="20"/>
                <w:szCs w:val="20"/>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86,664</w:t>
            </w:r>
          </w:p>
        </w:tc>
        <w:tc>
          <w:tcPr>
            <w:tcW w:w="20" w:type="dxa"/>
            <w:vAlign w:val="bottom"/>
            <w:tcBorders>
              <w:top w:val="single" w:sz="8" w:color="CFF0FC"/>
            </w:tcBorders>
            <w:shd w:val="clear" w:color="auto" w:fill="CFF0FC"/>
          </w:tcPr>
          <w:p>
            <w:pPr>
              <w:spacing w:after="0"/>
              <w:rPr>
                <w:sz w:val="20"/>
                <w:szCs w:val="20"/>
                <w:color w:val="auto"/>
              </w:rPr>
            </w:pPr>
          </w:p>
        </w:tc>
        <w:tc>
          <w:tcPr>
            <w:tcW w:w="100" w:type="dxa"/>
            <w:vAlign w:val="bottom"/>
            <w:tcBorders>
              <w:top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340" w:type="dxa"/>
            <w:vAlign w:val="bottom"/>
            <w:gridSpan w:val="2"/>
          </w:tcPr>
          <w:p>
            <w:pPr>
              <w:spacing w:after="0"/>
              <w:rPr>
                <w:sz w:val="20"/>
                <w:szCs w:val="20"/>
                <w:color w:val="auto"/>
              </w:rPr>
            </w:pPr>
            <w:r>
              <w:rPr>
                <w:rFonts w:ascii="Arial" w:cs="Arial" w:eastAsia="Arial" w:hAnsi="Arial"/>
                <w:sz w:val="20"/>
                <w:szCs w:val="20"/>
                <w:color w:val="auto"/>
              </w:rPr>
              <w:t>Heritage aggregates-related downstream product lines</w:t>
            </w:r>
          </w:p>
        </w:tc>
        <w:tc>
          <w:tcPr>
            <w:tcW w:w="3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18,468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340" w:type="dxa"/>
            <w:vAlign w:val="bottom"/>
            <w:gridSpan w:val="2"/>
            <w:shd w:val="clear" w:color="auto" w:fill="CFF0FC"/>
          </w:tcPr>
          <w:p>
            <w:pPr>
              <w:spacing w:after="0"/>
              <w:rPr>
                <w:sz w:val="20"/>
                <w:szCs w:val="20"/>
                <w:color w:val="auto"/>
              </w:rPr>
            </w:pPr>
            <w:r>
              <w:rPr>
                <w:rFonts w:ascii="Arial" w:cs="Arial" w:eastAsia="Arial" w:hAnsi="Arial"/>
                <w:sz w:val="20"/>
                <w:szCs w:val="20"/>
                <w:color w:val="auto"/>
              </w:rPr>
              <w:t>Acquired aggregates business operations</w:t>
            </w:r>
          </w:p>
        </w:tc>
        <w:tc>
          <w:tcPr>
            <w:tcW w:w="3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28,390</w:t>
            </w: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340" w:type="dxa"/>
            <w:vAlign w:val="bottom"/>
            <w:gridSpan w:val="2"/>
          </w:tcPr>
          <w:p>
            <w:pPr>
              <w:spacing w:after="0"/>
              <w:rPr>
                <w:sz w:val="20"/>
                <w:szCs w:val="20"/>
                <w:color w:val="auto"/>
              </w:rPr>
            </w:pPr>
            <w:r>
              <w:rPr>
                <w:rFonts w:ascii="Arial" w:cs="Arial" w:eastAsia="Arial" w:hAnsi="Arial"/>
                <w:sz w:val="20"/>
                <w:szCs w:val="20"/>
                <w:color w:val="auto"/>
              </w:rPr>
              <w:t>Increase in Cement</w:t>
            </w:r>
          </w:p>
        </w:tc>
        <w:tc>
          <w:tcPr>
            <w:tcW w:w="3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63,448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340" w:type="dxa"/>
            <w:vAlign w:val="bottom"/>
            <w:gridSpan w:val="2"/>
            <w:shd w:val="clear" w:color="auto" w:fill="CFF0FC"/>
          </w:tcPr>
          <w:p>
            <w:pPr>
              <w:spacing w:after="0"/>
              <w:rPr>
                <w:sz w:val="20"/>
                <w:szCs w:val="20"/>
                <w:color w:val="auto"/>
              </w:rPr>
            </w:pPr>
            <w:r>
              <w:rPr>
                <w:rFonts w:ascii="Arial" w:cs="Arial" w:eastAsia="Arial" w:hAnsi="Arial"/>
                <w:sz w:val="20"/>
                <w:szCs w:val="20"/>
                <w:color w:val="auto"/>
              </w:rPr>
              <w:t>Decrease in Magnesia Specialties</w:t>
            </w:r>
          </w:p>
        </w:tc>
        <w:tc>
          <w:tcPr>
            <w:tcW w:w="3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1260" w:type="dxa"/>
            <w:vAlign w:val="bottom"/>
            <w:gridSpan w:val="3"/>
            <w:shd w:val="clear" w:color="auto" w:fill="CFF0FC"/>
          </w:tcPr>
          <w:p>
            <w:pPr>
              <w:jc w:val="right"/>
              <w:ind w:right="60"/>
              <w:spacing w:after="0"/>
              <w:rPr>
                <w:sz w:val="20"/>
                <w:szCs w:val="20"/>
                <w:color w:val="auto"/>
              </w:rPr>
            </w:pPr>
            <w:r>
              <w:rPr>
                <w:rFonts w:ascii="Arial" w:cs="Arial" w:eastAsia="Arial" w:hAnsi="Arial"/>
                <w:sz w:val="20"/>
                <w:szCs w:val="20"/>
                <w:color w:val="auto"/>
              </w:rPr>
              <w:t>(1,399)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340" w:type="dxa"/>
            <w:vAlign w:val="bottom"/>
            <w:gridSpan w:val="2"/>
          </w:tcPr>
          <w:p>
            <w:pPr>
              <w:spacing w:after="0"/>
              <w:rPr>
                <w:sz w:val="20"/>
                <w:szCs w:val="20"/>
                <w:color w:val="auto"/>
              </w:rPr>
            </w:pPr>
            <w:r>
              <w:rPr>
                <w:rFonts w:ascii="Arial" w:cs="Arial" w:eastAsia="Arial" w:hAnsi="Arial"/>
                <w:sz w:val="20"/>
                <w:szCs w:val="20"/>
                <w:color w:val="auto"/>
              </w:rPr>
              <w:t>Decrease in Corporate</w:t>
            </w:r>
          </w:p>
        </w:tc>
        <w:tc>
          <w:tcPr>
            <w:tcW w:w="3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60" w:type="dxa"/>
            <w:vAlign w:val="bottom"/>
            <w:gridSpan w:val="3"/>
          </w:tcPr>
          <w:p>
            <w:pPr>
              <w:jc w:val="right"/>
              <w:ind w:right="60"/>
              <w:spacing w:after="0"/>
              <w:rPr>
                <w:sz w:val="20"/>
                <w:szCs w:val="20"/>
                <w:color w:val="auto"/>
              </w:rPr>
            </w:pPr>
            <w:r>
              <w:rPr>
                <w:rFonts w:ascii="Arial" w:cs="Arial" w:eastAsia="Arial" w:hAnsi="Arial"/>
                <w:sz w:val="20"/>
                <w:szCs w:val="20"/>
                <w:color w:val="auto"/>
              </w:rPr>
              <w:t>(15,683)</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34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20"/>
                <w:szCs w:val="20"/>
                <w:color w:val="auto"/>
              </w:rPr>
              <w:t>Increase in consolidated gross profit</w:t>
            </w:r>
          </w:p>
        </w:tc>
        <w:tc>
          <w:tcPr>
            <w:tcW w:w="380" w:type="dxa"/>
            <w:vAlign w:val="bottom"/>
            <w:tcBorders>
              <w:top w:val="single" w:sz="8" w:color="CFF0FC"/>
            </w:tcBorders>
            <w:shd w:val="clear" w:color="auto" w:fill="CFF0FC"/>
          </w:tcPr>
          <w:p>
            <w:pPr>
              <w:spacing w:after="0"/>
              <w:rPr>
                <w:sz w:val="20"/>
                <w:szCs w:val="20"/>
                <w:color w:val="auto"/>
              </w:rPr>
            </w:pPr>
          </w:p>
        </w:tc>
        <w:tc>
          <w:tcPr>
            <w:tcW w:w="340" w:type="dxa"/>
            <w:vAlign w:val="bottom"/>
            <w:tcBorders>
              <w:top w:val="single" w:sz="8" w:color="CFF0FC"/>
            </w:tcBorders>
            <w:shd w:val="clear" w:color="auto" w:fill="CFF0FC"/>
          </w:tcPr>
          <w:p>
            <w:pPr>
              <w:spacing w:after="0"/>
              <w:rPr>
                <w:sz w:val="20"/>
                <w:szCs w:val="20"/>
                <w:color w:val="auto"/>
              </w:rPr>
            </w:pPr>
          </w:p>
        </w:tc>
        <w:tc>
          <w:tcPr>
            <w:tcW w:w="1280" w:type="dxa"/>
            <w:vAlign w:val="bottom"/>
            <w:tcBorders>
              <w:top w:val="single" w:sz="8" w:color="CFF0FC"/>
            </w:tcBorders>
            <w:shd w:val="clear" w:color="auto" w:fill="CFF0FC"/>
          </w:tcPr>
          <w:p>
            <w:pPr>
              <w:spacing w:after="0"/>
              <w:rPr>
                <w:sz w:val="20"/>
                <w:szCs w:val="20"/>
                <w:color w:val="auto"/>
              </w:rPr>
            </w:pPr>
          </w:p>
        </w:tc>
        <w:tc>
          <w:tcPr>
            <w:tcW w:w="80" w:type="dxa"/>
            <w:vAlign w:val="bottom"/>
            <w:tcBorders>
              <w:top w:val="single" w:sz="8" w:color="CFF0FC"/>
            </w:tcBorders>
            <w:shd w:val="clear" w:color="auto" w:fill="CFF0FC"/>
          </w:tcPr>
          <w:p>
            <w:pPr>
              <w:spacing w:after="0"/>
              <w:rPr>
                <w:sz w:val="20"/>
                <w:szCs w:val="20"/>
                <w:color w:val="auto"/>
              </w:rPr>
            </w:pPr>
          </w:p>
        </w:tc>
        <w:tc>
          <w:tcPr>
            <w:tcW w:w="40" w:type="dxa"/>
            <w:vAlign w:val="bottom"/>
            <w:tcBorders>
              <w:top w:val="single" w:sz="8" w:color="auto"/>
              <w:bottom w:val="single" w:sz="8" w:color="auto"/>
            </w:tcBorders>
            <w:shd w:val="clear" w:color="auto" w:fill="CFF0FC"/>
          </w:tcPr>
          <w:p>
            <w:pPr>
              <w:spacing w:after="0"/>
              <w:rPr>
                <w:sz w:val="20"/>
                <w:szCs w:val="20"/>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p>
        </w:tc>
        <w:tc>
          <w:tcPr>
            <w:tcW w:w="580" w:type="dxa"/>
            <w:vAlign w:val="bottom"/>
            <w:tcBorders>
              <w:top w:val="single" w:sz="8" w:color="auto"/>
              <w:bottom w:val="single" w:sz="8" w:color="auto"/>
            </w:tcBorders>
            <w:shd w:val="clear" w:color="auto" w:fill="CFF0FC"/>
          </w:tcPr>
          <w:p>
            <w:pPr>
              <w:spacing w:after="0"/>
              <w:rPr>
                <w:sz w:val="20"/>
                <w:szCs w:val="20"/>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179,888</w:t>
            </w:r>
          </w:p>
        </w:tc>
        <w:tc>
          <w:tcPr>
            <w:tcW w:w="20" w:type="dxa"/>
            <w:vAlign w:val="bottom"/>
            <w:tcBorders>
              <w:top w:val="single" w:sz="8" w:color="CFF0FC"/>
            </w:tcBorders>
            <w:shd w:val="clear" w:color="auto" w:fill="CFF0FC"/>
          </w:tcPr>
          <w:p>
            <w:pPr>
              <w:spacing w:after="0"/>
              <w:rPr>
                <w:sz w:val="20"/>
                <w:szCs w:val="20"/>
                <w:color w:val="auto"/>
              </w:rPr>
            </w:pPr>
          </w:p>
        </w:tc>
        <w:tc>
          <w:tcPr>
            <w:tcW w:w="100" w:type="dxa"/>
            <w:vAlign w:val="bottom"/>
            <w:tcBorders>
              <w:top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360" w:type="dxa"/>
            <w:vAlign w:val="bottom"/>
            <w:gridSpan w:val="3"/>
          </w:tcPr>
          <w:p>
            <w:pPr>
              <w:spacing w:after="0"/>
              <w:rPr>
                <w:sz w:val="20"/>
                <w:szCs w:val="20"/>
                <w:color w:val="auto"/>
              </w:rPr>
            </w:pPr>
            <w:r>
              <w:rPr>
                <w:rFonts w:ascii="Arial" w:cs="Arial" w:eastAsia="Arial" w:hAnsi="Arial"/>
                <w:sz w:val="20"/>
                <w:szCs w:val="20"/>
                <w:color w:val="auto"/>
              </w:rPr>
              <w:t>Consolidated gross profit, nine months ended September 30, 2015</w:t>
            </w: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20"/>
                <w:szCs w:val="20"/>
                <w:color w:val="auto"/>
                <w:w w:val="71"/>
              </w:rPr>
              <w:t>$</w:t>
            </w:r>
          </w:p>
        </w:tc>
        <w:tc>
          <w:tcPr>
            <w:tcW w:w="5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536,918</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360" w:type="dxa"/>
            <w:vAlign w:val="bottom"/>
            <w:gridSpan w:val="3"/>
            <w:vMerge w:val="restart"/>
          </w:tcPr>
          <w:p>
            <w:pPr>
              <w:spacing w:after="0"/>
              <w:rPr>
                <w:sz w:val="20"/>
                <w:szCs w:val="20"/>
                <w:color w:val="auto"/>
              </w:rPr>
            </w:pPr>
            <w:r>
              <w:rPr>
                <w:rFonts w:ascii="Arial" w:cs="Arial" w:eastAsia="Arial" w:hAnsi="Arial"/>
                <w:sz w:val="20"/>
                <w:szCs w:val="20"/>
                <w:color w:val="auto"/>
              </w:rPr>
              <w:t>Gross profit (loss) by business is as follows:</w:t>
            </w: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0"/>
        </w:trPr>
        <w:tc>
          <w:tcPr>
            <w:tcW w:w="7360" w:type="dxa"/>
            <w:vAlign w:val="bottom"/>
            <w:gridSpan w:val="3"/>
            <w:vMerge w:val="continue"/>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340" w:type="dxa"/>
            <w:vAlign w:val="bottom"/>
            <w:gridSpan w:val="8"/>
            <w:vMerge w:val="restart"/>
          </w:tcPr>
          <w:p>
            <w:pPr>
              <w:jc w:val="center"/>
              <w:ind w:right="460"/>
              <w:spacing w:after="0"/>
              <w:rPr>
                <w:sz w:val="20"/>
                <w:szCs w:val="20"/>
                <w:color w:val="auto"/>
              </w:rPr>
            </w:pPr>
            <w:r>
              <w:rPr>
                <w:rFonts w:ascii="Arial" w:cs="Arial" w:eastAsia="Arial" w:hAnsi="Arial"/>
                <w:sz w:val="20"/>
                <w:szCs w:val="20"/>
                <w:color w:val="auto"/>
                <w:w w:val="91"/>
              </w:rPr>
              <w:t>Nine Months Ended</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58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340" w:type="dxa"/>
            <w:vAlign w:val="bottom"/>
            <w:gridSpan w:val="8"/>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58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2080" w:type="dxa"/>
            <w:vAlign w:val="bottom"/>
            <w:tcBorders>
              <w:bottom w:val="single" w:sz="8" w:color="auto"/>
            </w:tcBorders>
            <w:gridSpan w:val="5"/>
          </w:tcPr>
          <w:p>
            <w:pPr>
              <w:jc w:val="center"/>
              <w:ind w:left="681"/>
              <w:spacing w:after="0"/>
              <w:rPr>
                <w:sz w:val="20"/>
                <w:szCs w:val="20"/>
                <w:color w:val="auto"/>
              </w:rPr>
            </w:pPr>
            <w:r>
              <w:rPr>
                <w:rFonts w:ascii="Arial" w:cs="Arial" w:eastAsia="Arial" w:hAnsi="Arial"/>
                <w:sz w:val="20"/>
                <w:szCs w:val="20"/>
                <w:color w:val="auto"/>
                <w:w w:val="86"/>
              </w:rPr>
              <w:t>September 30,</w:t>
            </w:r>
          </w:p>
        </w:tc>
        <w:tc>
          <w:tcPr>
            <w:tcW w:w="11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58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21"/>
              <w:spacing w:after="0"/>
              <w:rPr>
                <w:sz w:val="20"/>
                <w:szCs w:val="20"/>
                <w:color w:val="auto"/>
              </w:rPr>
            </w:pPr>
            <w:r>
              <w:rPr>
                <w:rFonts w:ascii="Arial" w:cs="Arial" w:eastAsia="Arial" w:hAnsi="Arial"/>
                <w:sz w:val="20"/>
                <w:szCs w:val="20"/>
                <w:color w:val="auto"/>
              </w:rPr>
              <w:t>2015</w:t>
            </w:r>
          </w:p>
        </w:tc>
        <w:tc>
          <w:tcPr>
            <w:tcW w:w="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61"/>
              <w:spacing w:after="0"/>
              <w:rPr>
                <w:sz w:val="20"/>
                <w:szCs w:val="20"/>
                <w:color w:val="auto"/>
              </w:rPr>
            </w:pPr>
            <w:r>
              <w:rPr>
                <w:rFonts w:ascii="Arial" w:cs="Arial" w:eastAsia="Arial" w:hAnsi="Arial"/>
                <w:sz w:val="20"/>
                <w:szCs w:val="20"/>
                <w:color w:val="auto"/>
              </w:rPr>
              <w:t>2014</w:t>
            </w:r>
          </w:p>
        </w:tc>
        <w:tc>
          <w:tcPr>
            <w:tcW w:w="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58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40" w:type="dxa"/>
            <w:vAlign w:val="bottom"/>
            <w:gridSpan w:val="7"/>
          </w:tcPr>
          <w:p>
            <w:pPr>
              <w:jc w:val="center"/>
              <w:ind w:right="360"/>
              <w:spacing w:after="0"/>
              <w:rPr>
                <w:sz w:val="20"/>
                <w:szCs w:val="20"/>
                <w:color w:val="auto"/>
              </w:rPr>
            </w:pPr>
            <w:r>
              <w:rPr>
                <w:rFonts w:ascii="Arial" w:cs="Arial" w:eastAsia="Arial" w:hAnsi="Arial"/>
                <w:sz w:val="20"/>
                <w:szCs w:val="20"/>
                <w:i w:val="1"/>
                <w:iCs w:val="1"/>
                <w:color w:val="auto"/>
                <w:w w:val="91"/>
              </w:rPr>
              <w:t>(Dollars in Thousands)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40" w:type="dxa"/>
            <w:vAlign w:val="bottom"/>
            <w:gridSpan w:val="2"/>
            <w:shd w:val="clear" w:color="auto" w:fill="CFF0FC"/>
          </w:tcPr>
          <w:p>
            <w:pPr>
              <w:spacing w:after="0" w:line="203" w:lineRule="exact"/>
              <w:rPr>
                <w:sz w:val="20"/>
                <w:szCs w:val="20"/>
                <w:color w:val="auto"/>
              </w:rPr>
            </w:pPr>
            <w:r>
              <w:rPr>
                <w:rFonts w:ascii="Arial" w:cs="Arial" w:eastAsia="Arial" w:hAnsi="Arial"/>
                <w:sz w:val="20"/>
                <w:szCs w:val="20"/>
                <w:color w:val="auto"/>
              </w:rPr>
              <w:t>Gross profit (loss):</w:t>
            </w:r>
          </w:p>
        </w:tc>
        <w:tc>
          <w:tcPr>
            <w:tcW w:w="3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480" w:type="dxa"/>
            <w:vAlign w:val="bottom"/>
            <w:tcBorders>
              <w:top w:val="single" w:sz="8" w:color="auto"/>
            </w:tcBorders>
          </w:tcPr>
          <w:p>
            <w:pPr>
              <w:spacing w:after="0"/>
              <w:rPr>
                <w:sz w:val="20"/>
                <w:szCs w:val="20"/>
                <w:color w:val="auto"/>
              </w:rPr>
            </w:pPr>
            <w:r>
              <w:rPr>
                <w:rFonts w:ascii="Arial" w:cs="Arial" w:eastAsia="Arial" w:hAnsi="Arial"/>
                <w:sz w:val="20"/>
                <w:szCs w:val="20"/>
                <w:color w:val="auto"/>
              </w:rPr>
              <w:t>Heritage:</w:t>
            </w:r>
          </w:p>
        </w:tc>
        <w:tc>
          <w:tcPr>
            <w:tcW w:w="5860" w:type="dxa"/>
            <w:vAlign w:val="bottom"/>
            <w:tcBorders>
              <w:top w:val="single" w:sz="8" w:color="CFF0FC"/>
            </w:tcBorders>
          </w:tcPr>
          <w:p>
            <w:pPr>
              <w:spacing w:after="0"/>
              <w:rPr>
                <w:sz w:val="21"/>
                <w:szCs w:val="21"/>
                <w:color w:val="auto"/>
              </w:rPr>
            </w:pPr>
          </w:p>
        </w:tc>
        <w:tc>
          <w:tcPr>
            <w:tcW w:w="380" w:type="dxa"/>
            <w:vAlign w:val="bottom"/>
            <w:tcBorders>
              <w:top w:val="single" w:sz="8" w:color="CFF0FC"/>
            </w:tcBorders>
          </w:tcPr>
          <w:p>
            <w:pPr>
              <w:spacing w:after="0"/>
              <w:rPr>
                <w:sz w:val="21"/>
                <w:szCs w:val="21"/>
                <w:color w:val="auto"/>
              </w:rPr>
            </w:pPr>
          </w:p>
        </w:tc>
        <w:tc>
          <w:tcPr>
            <w:tcW w:w="340" w:type="dxa"/>
            <w:vAlign w:val="bottom"/>
            <w:tcBorders>
              <w:top w:val="single" w:sz="8" w:color="CFF0FC"/>
            </w:tcBorders>
          </w:tcPr>
          <w:p>
            <w:pPr>
              <w:spacing w:after="0"/>
              <w:rPr>
                <w:sz w:val="21"/>
                <w:szCs w:val="21"/>
                <w:color w:val="auto"/>
              </w:rPr>
            </w:pPr>
          </w:p>
        </w:tc>
        <w:tc>
          <w:tcPr>
            <w:tcW w:w="1280" w:type="dxa"/>
            <w:vAlign w:val="bottom"/>
            <w:tcBorders>
              <w:top w:val="single" w:sz="8" w:color="CFF0FC"/>
            </w:tcBorders>
          </w:tcPr>
          <w:p>
            <w:pPr>
              <w:spacing w:after="0"/>
              <w:rPr>
                <w:sz w:val="21"/>
                <w:szCs w:val="21"/>
                <w:color w:val="auto"/>
              </w:rPr>
            </w:pPr>
          </w:p>
        </w:tc>
        <w:tc>
          <w:tcPr>
            <w:tcW w:w="80" w:type="dxa"/>
            <w:vAlign w:val="bottom"/>
            <w:tcBorders>
              <w:top w:val="single" w:sz="8" w:color="CFF0FC"/>
            </w:tcBorders>
          </w:tcPr>
          <w:p>
            <w:pPr>
              <w:spacing w:after="0"/>
              <w:rPr>
                <w:sz w:val="21"/>
                <w:szCs w:val="21"/>
                <w:color w:val="auto"/>
              </w:rPr>
            </w:pPr>
          </w:p>
        </w:tc>
        <w:tc>
          <w:tcPr>
            <w:tcW w:w="40" w:type="dxa"/>
            <w:vAlign w:val="bottom"/>
            <w:tcBorders>
              <w:top w:val="single" w:sz="8" w:color="CFF0FC"/>
            </w:tcBorders>
          </w:tcPr>
          <w:p>
            <w:pPr>
              <w:spacing w:after="0"/>
              <w:rPr>
                <w:sz w:val="21"/>
                <w:szCs w:val="21"/>
                <w:color w:val="auto"/>
              </w:rPr>
            </w:pPr>
          </w:p>
        </w:tc>
        <w:tc>
          <w:tcPr>
            <w:tcW w:w="100" w:type="dxa"/>
            <w:vAlign w:val="bottom"/>
            <w:tcBorders>
              <w:top w:val="single" w:sz="8" w:color="CFF0FC"/>
            </w:tcBorders>
          </w:tcPr>
          <w:p>
            <w:pPr>
              <w:spacing w:after="0"/>
              <w:rPr>
                <w:sz w:val="21"/>
                <w:szCs w:val="21"/>
                <w:color w:val="auto"/>
              </w:rPr>
            </w:pPr>
          </w:p>
        </w:tc>
        <w:tc>
          <w:tcPr>
            <w:tcW w:w="580" w:type="dxa"/>
            <w:vAlign w:val="bottom"/>
            <w:tcBorders>
              <w:top w:val="single" w:sz="8" w:color="CFF0FC"/>
            </w:tcBorders>
          </w:tcPr>
          <w:p>
            <w:pPr>
              <w:spacing w:after="0"/>
              <w:rPr>
                <w:sz w:val="21"/>
                <w:szCs w:val="21"/>
                <w:color w:val="auto"/>
              </w:rPr>
            </w:pPr>
          </w:p>
        </w:tc>
        <w:tc>
          <w:tcPr>
            <w:tcW w:w="1140" w:type="dxa"/>
            <w:vAlign w:val="bottom"/>
            <w:tcBorders>
              <w:top w:val="single" w:sz="8" w:color="CFF0FC"/>
            </w:tcBorders>
          </w:tcPr>
          <w:p>
            <w:pPr>
              <w:spacing w:after="0"/>
              <w:rPr>
                <w:sz w:val="21"/>
                <w:szCs w:val="21"/>
                <w:color w:val="auto"/>
              </w:rPr>
            </w:pPr>
          </w:p>
        </w:tc>
        <w:tc>
          <w:tcPr>
            <w:tcW w:w="20" w:type="dxa"/>
            <w:vAlign w:val="bottom"/>
            <w:tcBorders>
              <w:top w:val="single" w:sz="8" w:color="CFF0FC"/>
            </w:tcBorders>
          </w:tcPr>
          <w:p>
            <w:pPr>
              <w:spacing w:after="0"/>
              <w:rPr>
                <w:sz w:val="21"/>
                <w:szCs w:val="21"/>
                <w:color w:val="auto"/>
              </w:rPr>
            </w:pPr>
          </w:p>
        </w:tc>
        <w:tc>
          <w:tcPr>
            <w:tcW w:w="100" w:type="dxa"/>
            <w:vAlign w:val="bottom"/>
            <w:tcBorders>
              <w:top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340" w:type="dxa"/>
            <w:vAlign w:val="bottom"/>
            <w:gridSpan w:val="2"/>
            <w:shd w:val="clear" w:color="auto" w:fill="CFF0FC"/>
          </w:tcPr>
          <w:p>
            <w:pPr>
              <w:ind w:left="480"/>
              <w:spacing w:after="0"/>
              <w:rPr>
                <w:sz w:val="20"/>
                <w:szCs w:val="20"/>
                <w:color w:val="auto"/>
              </w:rPr>
            </w:pPr>
            <w:r>
              <w:rPr>
                <w:rFonts w:ascii="Arial" w:cs="Arial" w:eastAsia="Arial" w:hAnsi="Arial"/>
                <w:sz w:val="20"/>
                <w:szCs w:val="20"/>
                <w:color w:val="auto"/>
              </w:rPr>
              <w:t>Aggregates</w:t>
            </w:r>
          </w:p>
        </w:tc>
        <w:tc>
          <w:tcPr>
            <w:tcW w:w="720" w:type="dxa"/>
            <w:vAlign w:val="bottom"/>
            <w:gridSpan w:val="2"/>
            <w:shd w:val="clear" w:color="auto" w:fill="CFF0FC"/>
          </w:tcPr>
          <w:p>
            <w:pPr>
              <w:jc w:val="right"/>
              <w:ind w:right="141"/>
              <w:spacing w:after="0"/>
              <w:rPr>
                <w:sz w:val="20"/>
                <w:szCs w:val="20"/>
                <w:color w:val="auto"/>
              </w:rPr>
            </w:pPr>
            <w:r>
              <w:rPr>
                <w:rFonts w:ascii="Arial" w:cs="Arial" w:eastAsia="Arial" w:hAnsi="Arial"/>
                <w:sz w:val="20"/>
                <w:szCs w:val="20"/>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315,822</w:t>
            </w:r>
          </w:p>
        </w:tc>
        <w:tc>
          <w:tcPr>
            <w:tcW w:w="80" w:type="dxa"/>
            <w:vAlign w:val="bottom"/>
            <w:shd w:val="clear" w:color="auto" w:fill="CFF0FC"/>
          </w:tcPr>
          <w:p>
            <w:pPr>
              <w:spacing w:after="0"/>
              <w:rPr>
                <w:sz w:val="21"/>
                <w:szCs w:val="21"/>
                <w:color w:val="auto"/>
              </w:rPr>
            </w:pPr>
          </w:p>
        </w:tc>
        <w:tc>
          <w:tcPr>
            <w:tcW w:w="720" w:type="dxa"/>
            <w:vAlign w:val="bottom"/>
            <w:gridSpan w:val="3"/>
            <w:shd w:val="clear" w:color="auto" w:fill="CFF0FC"/>
          </w:tcPr>
          <w:p>
            <w:pPr>
              <w:jc w:val="right"/>
              <w:ind w:right="381"/>
              <w:spacing w:after="0"/>
              <w:rPr>
                <w:sz w:val="20"/>
                <w:szCs w:val="20"/>
                <w:color w:val="auto"/>
              </w:rPr>
            </w:pPr>
            <w:r>
              <w:rPr>
                <w:rFonts w:ascii="Arial" w:cs="Arial" w:eastAsia="Arial" w:hAnsi="Arial"/>
                <w:sz w:val="20"/>
                <w:szCs w:val="20"/>
                <w:color w:val="auto"/>
              </w:rPr>
              <w:t>$</w:t>
            </w:r>
          </w:p>
        </w:tc>
        <w:tc>
          <w:tcPr>
            <w:tcW w:w="1160" w:type="dxa"/>
            <w:vAlign w:val="bottom"/>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229,158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340" w:type="dxa"/>
            <w:vAlign w:val="bottom"/>
            <w:gridSpan w:val="2"/>
          </w:tcPr>
          <w:p>
            <w:pPr>
              <w:ind w:left="480"/>
              <w:spacing w:after="0"/>
              <w:rPr>
                <w:sz w:val="20"/>
                <w:szCs w:val="20"/>
                <w:color w:val="auto"/>
              </w:rPr>
            </w:pPr>
            <w:r>
              <w:rPr>
                <w:rFonts w:ascii="Arial" w:cs="Arial" w:eastAsia="Arial" w:hAnsi="Arial"/>
                <w:sz w:val="20"/>
                <w:szCs w:val="20"/>
                <w:color w:val="auto"/>
              </w:rPr>
              <w:t>Asphalt</w:t>
            </w:r>
          </w:p>
        </w:tc>
        <w:tc>
          <w:tcPr>
            <w:tcW w:w="3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20"/>
                <w:szCs w:val="20"/>
                <w:color w:val="auto"/>
              </w:rPr>
              <w:t>13,644</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20"/>
                <w:szCs w:val="20"/>
                <w:color w:val="auto"/>
              </w:rPr>
              <w:t>10,799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340" w:type="dxa"/>
            <w:vAlign w:val="bottom"/>
            <w:gridSpan w:val="2"/>
            <w:shd w:val="clear" w:color="auto" w:fill="CFF0FC"/>
          </w:tcPr>
          <w:p>
            <w:pPr>
              <w:ind w:left="480"/>
              <w:spacing w:after="0"/>
              <w:rPr>
                <w:sz w:val="20"/>
                <w:szCs w:val="20"/>
                <w:color w:val="auto"/>
              </w:rPr>
            </w:pPr>
            <w:r>
              <w:rPr>
                <w:rFonts w:ascii="Arial" w:cs="Arial" w:eastAsia="Arial" w:hAnsi="Arial"/>
                <w:sz w:val="20"/>
                <w:szCs w:val="20"/>
                <w:color w:val="auto"/>
              </w:rPr>
              <w:t>Ready Mixed Concrete</w:t>
            </w:r>
          </w:p>
        </w:tc>
        <w:tc>
          <w:tcPr>
            <w:tcW w:w="3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25,643</w:t>
            </w:r>
          </w:p>
        </w:tc>
        <w:tc>
          <w:tcPr>
            <w:tcW w:w="8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18,884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340" w:type="dxa"/>
            <w:vAlign w:val="bottom"/>
            <w:tcBorders>
              <w:bottom w:val="single" w:sz="8" w:color="CFF0FC"/>
            </w:tcBorders>
            <w:gridSpan w:val="2"/>
          </w:tcPr>
          <w:p>
            <w:pPr>
              <w:ind w:left="480"/>
              <w:spacing w:after="0"/>
              <w:rPr>
                <w:sz w:val="20"/>
                <w:szCs w:val="20"/>
                <w:color w:val="auto"/>
              </w:rPr>
            </w:pPr>
            <w:r>
              <w:rPr>
                <w:rFonts w:ascii="Arial" w:cs="Arial" w:eastAsia="Arial" w:hAnsi="Arial"/>
                <w:sz w:val="20"/>
                <w:szCs w:val="20"/>
                <w:color w:val="auto"/>
              </w:rPr>
              <w:t>Road Paving</w:t>
            </w:r>
          </w:p>
        </w:tc>
        <w:tc>
          <w:tcPr>
            <w:tcW w:w="380" w:type="dxa"/>
            <w:vAlign w:val="bottom"/>
            <w:tcBorders>
              <w:bottom w:val="single" w:sz="8" w:color="CFF0FC"/>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11,529</w:t>
            </w:r>
          </w:p>
        </w:tc>
        <w:tc>
          <w:tcPr>
            <w:tcW w:w="80" w:type="dxa"/>
            <w:vAlign w:val="bottom"/>
            <w:tcBorders>
              <w:bottom w:val="single" w:sz="8" w:color="CFF0FC"/>
            </w:tcBorders>
          </w:tcPr>
          <w:p>
            <w:pPr>
              <w:spacing w:after="0"/>
              <w:rPr>
                <w:sz w:val="21"/>
                <w:szCs w:val="21"/>
                <w:color w:val="auto"/>
              </w:rPr>
            </w:pPr>
          </w:p>
        </w:tc>
        <w:tc>
          <w:tcPr>
            <w:tcW w:w="40" w:type="dxa"/>
            <w:vAlign w:val="bottom"/>
            <w:tcBorders>
              <w:bottom w:val="single" w:sz="8" w:color="CFF0FC"/>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20"/>
                <w:szCs w:val="20"/>
                <w:color w:val="auto"/>
              </w:rPr>
              <w:t>2,665</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340" w:type="dxa"/>
            <w:vAlign w:val="bottom"/>
            <w:gridSpan w:val="2"/>
            <w:shd w:val="clear" w:color="auto" w:fill="CFF0FC"/>
          </w:tcPr>
          <w:p>
            <w:pPr>
              <w:ind w:left="480"/>
              <w:spacing w:after="0"/>
              <w:rPr>
                <w:sz w:val="20"/>
                <w:szCs w:val="20"/>
                <w:color w:val="auto"/>
              </w:rPr>
            </w:pPr>
            <w:r>
              <w:rPr>
                <w:rFonts w:ascii="Arial" w:cs="Arial" w:eastAsia="Arial" w:hAnsi="Arial"/>
                <w:sz w:val="20"/>
                <w:szCs w:val="20"/>
                <w:color w:val="auto"/>
              </w:rPr>
              <w:t>Total Aggregates Business</w:t>
            </w:r>
          </w:p>
        </w:tc>
        <w:tc>
          <w:tcPr>
            <w:tcW w:w="38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366,638</w:t>
            </w:r>
          </w:p>
        </w:tc>
        <w:tc>
          <w:tcPr>
            <w:tcW w:w="8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261,506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340" w:type="dxa"/>
            <w:vAlign w:val="bottom"/>
            <w:gridSpan w:val="2"/>
          </w:tcPr>
          <w:p>
            <w:pPr>
              <w:ind w:left="240"/>
              <w:spacing w:after="0"/>
              <w:rPr>
                <w:sz w:val="20"/>
                <w:szCs w:val="20"/>
                <w:color w:val="auto"/>
              </w:rPr>
            </w:pPr>
            <w:r>
              <w:rPr>
                <w:rFonts w:ascii="Arial" w:cs="Arial" w:eastAsia="Arial" w:hAnsi="Arial"/>
                <w:sz w:val="20"/>
                <w:szCs w:val="20"/>
                <w:color w:val="auto"/>
              </w:rPr>
              <w:t>Magnesia Specialties</w:t>
            </w:r>
          </w:p>
        </w:tc>
        <w:tc>
          <w:tcPr>
            <w:tcW w:w="3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20"/>
                <w:szCs w:val="20"/>
                <w:color w:val="auto"/>
              </w:rPr>
              <w:t>60,793</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20"/>
                <w:szCs w:val="20"/>
                <w:color w:val="auto"/>
              </w:rPr>
              <w:t>62,192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340" w:type="dxa"/>
            <w:vAlign w:val="bottom"/>
            <w:gridSpan w:val="2"/>
            <w:shd w:val="clear" w:color="auto" w:fill="CFF0FC"/>
          </w:tcPr>
          <w:p>
            <w:pPr>
              <w:ind w:left="240"/>
              <w:spacing w:after="0"/>
              <w:rPr>
                <w:sz w:val="20"/>
                <w:szCs w:val="20"/>
                <w:color w:val="auto"/>
              </w:rPr>
            </w:pPr>
            <w:r>
              <w:rPr>
                <w:rFonts w:ascii="Arial" w:cs="Arial" w:eastAsia="Arial" w:hAnsi="Arial"/>
                <w:sz w:val="20"/>
                <w:szCs w:val="20"/>
                <w:color w:val="auto"/>
              </w:rPr>
              <w:t>Corporate</w:t>
            </w:r>
          </w:p>
        </w:tc>
        <w:tc>
          <w:tcPr>
            <w:tcW w:w="3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(14,835)</w:t>
            </w:r>
          </w:p>
        </w:tc>
        <w:tc>
          <w:tcPr>
            <w:tcW w:w="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1260" w:type="dxa"/>
            <w:vAlign w:val="bottom"/>
            <w:gridSpan w:val="3"/>
            <w:shd w:val="clear" w:color="auto" w:fill="CFF0FC"/>
          </w:tcPr>
          <w:p>
            <w:pPr>
              <w:jc w:val="right"/>
              <w:ind w:right="40"/>
              <w:spacing w:after="0"/>
              <w:rPr>
                <w:sz w:val="20"/>
                <w:szCs w:val="20"/>
                <w:color w:val="auto"/>
              </w:rPr>
            </w:pPr>
            <w:r>
              <w:rPr>
                <w:rFonts w:ascii="Arial" w:cs="Arial" w:eastAsia="Arial" w:hAnsi="Arial"/>
                <w:sz w:val="20"/>
                <w:szCs w:val="20"/>
                <w:color w:val="auto"/>
              </w:rPr>
              <w:t>(291)</w:t>
            </w:r>
          </w:p>
        </w:tc>
        <w:tc>
          <w:tcPr>
            <w:tcW w:w="0" w:type="dxa"/>
            <w:vAlign w:val="bottom"/>
          </w:tcPr>
          <w:p>
            <w:pPr>
              <w:spacing w:after="0"/>
              <w:rPr>
                <w:sz w:val="1"/>
                <w:szCs w:val="1"/>
                <w:color w:val="auto"/>
              </w:rPr>
            </w:pPr>
          </w:p>
        </w:tc>
      </w:tr>
      <w:tr>
        <w:trPr>
          <w:trHeight w:val="237"/>
        </w:trPr>
        <w:tc>
          <w:tcPr>
            <w:tcW w:w="7360" w:type="dxa"/>
            <w:vAlign w:val="bottom"/>
            <w:gridSpan w:val="3"/>
          </w:tcPr>
          <w:p>
            <w:pPr>
              <w:spacing w:after="0"/>
              <w:rPr>
                <w:sz w:val="20"/>
                <w:szCs w:val="20"/>
                <w:color w:val="auto"/>
              </w:rPr>
            </w:pPr>
            <w:r>
              <w:rPr>
                <w:rFonts w:ascii="Arial" w:cs="Arial" w:eastAsia="Arial" w:hAnsi="Arial"/>
                <w:sz w:val="20"/>
                <w:szCs w:val="20"/>
                <w:color w:val="auto"/>
              </w:rPr>
              <w:t>Total Heritage</w:t>
            </w:r>
          </w:p>
        </w:tc>
        <w:tc>
          <w:tcPr>
            <w:tcW w:w="3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412,596</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20"/>
                <w:szCs w:val="20"/>
                <w:color w:val="auto"/>
              </w:rPr>
              <w:t>323,407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34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20"/>
                <w:szCs w:val="20"/>
                <w:color w:val="auto"/>
              </w:rPr>
              <w:t>Acquisitions:</w:t>
            </w:r>
          </w:p>
        </w:tc>
        <w:tc>
          <w:tcPr>
            <w:tcW w:w="380" w:type="dxa"/>
            <w:vAlign w:val="bottom"/>
            <w:tcBorders>
              <w:top w:val="single" w:sz="8" w:color="CFF0FC"/>
            </w:tcBorders>
            <w:shd w:val="clear" w:color="auto" w:fill="CFF0FC"/>
          </w:tcPr>
          <w:p>
            <w:pPr>
              <w:spacing w:after="0"/>
              <w:rPr>
                <w:sz w:val="20"/>
                <w:szCs w:val="20"/>
                <w:color w:val="auto"/>
              </w:rPr>
            </w:pPr>
          </w:p>
        </w:tc>
        <w:tc>
          <w:tcPr>
            <w:tcW w:w="340" w:type="dxa"/>
            <w:vAlign w:val="bottom"/>
            <w:tcBorders>
              <w:top w:val="single" w:sz="8" w:color="auto"/>
            </w:tcBorders>
            <w:shd w:val="clear" w:color="auto" w:fill="CFF0FC"/>
          </w:tcPr>
          <w:p>
            <w:pPr>
              <w:spacing w:after="0"/>
              <w:rPr>
                <w:sz w:val="20"/>
                <w:szCs w:val="20"/>
                <w:color w:val="auto"/>
              </w:rPr>
            </w:pPr>
          </w:p>
        </w:tc>
        <w:tc>
          <w:tcPr>
            <w:tcW w:w="1280" w:type="dxa"/>
            <w:vAlign w:val="bottom"/>
            <w:tcBorders>
              <w:top w:val="single" w:sz="8" w:color="auto"/>
            </w:tcBorders>
            <w:shd w:val="clear" w:color="auto" w:fill="CFF0FC"/>
          </w:tcPr>
          <w:p>
            <w:pPr>
              <w:spacing w:after="0"/>
              <w:rPr>
                <w:sz w:val="20"/>
                <w:szCs w:val="20"/>
                <w:color w:val="auto"/>
              </w:rPr>
            </w:pPr>
          </w:p>
        </w:tc>
        <w:tc>
          <w:tcPr>
            <w:tcW w:w="80" w:type="dxa"/>
            <w:vAlign w:val="bottom"/>
            <w:tcBorders>
              <w:top w:val="single" w:sz="8" w:color="CFF0FC"/>
            </w:tcBorders>
            <w:shd w:val="clear" w:color="auto" w:fill="CFF0FC"/>
          </w:tcPr>
          <w:p>
            <w:pPr>
              <w:spacing w:after="0"/>
              <w:rPr>
                <w:sz w:val="20"/>
                <w:szCs w:val="20"/>
                <w:color w:val="auto"/>
              </w:rPr>
            </w:pPr>
          </w:p>
        </w:tc>
        <w:tc>
          <w:tcPr>
            <w:tcW w:w="40" w:type="dxa"/>
            <w:vAlign w:val="bottom"/>
            <w:tcBorders>
              <w:top w:val="single" w:sz="8" w:color="CFF0FC"/>
            </w:tcBorders>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spacing w:after="0"/>
              <w:rPr>
                <w:sz w:val="20"/>
                <w:szCs w:val="20"/>
                <w:color w:val="auto"/>
              </w:rPr>
            </w:pPr>
          </w:p>
        </w:tc>
        <w:tc>
          <w:tcPr>
            <w:tcW w:w="580" w:type="dxa"/>
            <w:vAlign w:val="bottom"/>
            <w:tcBorders>
              <w:top w:val="single" w:sz="8" w:color="auto"/>
            </w:tcBorders>
            <w:shd w:val="clear" w:color="auto" w:fill="CFF0FC"/>
          </w:tcPr>
          <w:p>
            <w:pPr>
              <w:spacing w:after="0"/>
              <w:rPr>
                <w:sz w:val="20"/>
                <w:szCs w:val="20"/>
                <w:color w:val="auto"/>
              </w:rPr>
            </w:pPr>
          </w:p>
        </w:tc>
        <w:tc>
          <w:tcPr>
            <w:tcW w:w="1140" w:type="dxa"/>
            <w:vAlign w:val="bottom"/>
            <w:tcBorders>
              <w:top w:val="single" w:sz="8" w:color="auto"/>
            </w:tcBorders>
            <w:shd w:val="clear" w:color="auto" w:fill="CFF0FC"/>
          </w:tcPr>
          <w:p>
            <w:pPr>
              <w:spacing w:after="0"/>
              <w:rPr>
                <w:sz w:val="20"/>
                <w:szCs w:val="20"/>
                <w:color w:val="auto"/>
              </w:rPr>
            </w:pPr>
          </w:p>
        </w:tc>
        <w:tc>
          <w:tcPr>
            <w:tcW w:w="20" w:type="dxa"/>
            <w:vAlign w:val="bottom"/>
            <w:tcBorders>
              <w:top w:val="single" w:sz="8" w:color="auto"/>
            </w:tcBorders>
            <w:shd w:val="clear" w:color="auto" w:fill="CFF0FC"/>
          </w:tcPr>
          <w:p>
            <w:pPr>
              <w:spacing w:after="0"/>
              <w:rPr>
                <w:sz w:val="20"/>
                <w:szCs w:val="20"/>
                <w:color w:val="auto"/>
              </w:rPr>
            </w:pPr>
          </w:p>
        </w:tc>
        <w:tc>
          <w:tcPr>
            <w:tcW w:w="100" w:type="dxa"/>
            <w:vAlign w:val="bottom"/>
            <w:tcBorders>
              <w:top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340" w:type="dxa"/>
            <w:vAlign w:val="bottom"/>
            <w:gridSpan w:val="2"/>
          </w:tcPr>
          <w:p>
            <w:pPr>
              <w:ind w:left="240"/>
              <w:spacing w:after="0"/>
              <w:rPr>
                <w:sz w:val="20"/>
                <w:szCs w:val="20"/>
                <w:color w:val="auto"/>
              </w:rPr>
            </w:pPr>
            <w:r>
              <w:rPr>
                <w:rFonts w:ascii="Arial" w:cs="Arial" w:eastAsia="Arial" w:hAnsi="Arial"/>
                <w:sz w:val="20"/>
                <w:szCs w:val="20"/>
                <w:color w:val="auto"/>
              </w:rPr>
              <w:t>Aggregates</w:t>
            </w:r>
          </w:p>
        </w:tc>
        <w:tc>
          <w:tcPr>
            <w:tcW w:w="3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20"/>
                <w:szCs w:val="20"/>
                <w:color w:val="auto"/>
              </w:rPr>
              <w:t>29,035</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313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340" w:type="dxa"/>
            <w:vAlign w:val="bottom"/>
            <w:gridSpan w:val="2"/>
            <w:shd w:val="clear" w:color="auto" w:fill="CFF0FC"/>
          </w:tcPr>
          <w:p>
            <w:pPr>
              <w:ind w:left="240"/>
              <w:spacing w:after="0"/>
              <w:rPr>
                <w:sz w:val="20"/>
                <w:szCs w:val="20"/>
                <w:color w:val="auto"/>
              </w:rPr>
            </w:pPr>
            <w:r>
              <w:rPr>
                <w:rFonts w:ascii="Arial" w:cs="Arial" w:eastAsia="Arial" w:hAnsi="Arial"/>
                <w:sz w:val="20"/>
                <w:szCs w:val="20"/>
                <w:color w:val="auto"/>
              </w:rPr>
              <w:t>Ready Mixed Concrete</w:t>
            </w:r>
          </w:p>
        </w:tc>
        <w:tc>
          <w:tcPr>
            <w:tcW w:w="3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9,338</w:t>
            </w:r>
          </w:p>
        </w:tc>
        <w:tc>
          <w:tcPr>
            <w:tcW w:w="8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9,670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340" w:type="dxa"/>
            <w:vAlign w:val="bottom"/>
            <w:gridSpan w:val="2"/>
          </w:tcPr>
          <w:p>
            <w:pPr>
              <w:ind w:left="240"/>
              <w:spacing w:after="0"/>
              <w:rPr>
                <w:sz w:val="20"/>
                <w:szCs w:val="20"/>
                <w:color w:val="auto"/>
              </w:rPr>
            </w:pPr>
            <w:r>
              <w:rPr>
                <w:rFonts w:ascii="Arial" w:cs="Arial" w:eastAsia="Arial" w:hAnsi="Arial"/>
                <w:sz w:val="20"/>
                <w:szCs w:val="20"/>
                <w:color w:val="auto"/>
              </w:rPr>
              <w:t>Cement</w:t>
            </w:r>
          </w:p>
        </w:tc>
        <w:tc>
          <w:tcPr>
            <w:tcW w:w="3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20"/>
                <w:szCs w:val="20"/>
                <w:color w:val="auto"/>
              </w:rPr>
              <w:t>87,642</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20"/>
                <w:szCs w:val="20"/>
                <w:color w:val="auto"/>
              </w:rPr>
              <w:t>24,194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340" w:type="dxa"/>
            <w:vAlign w:val="bottom"/>
            <w:gridSpan w:val="2"/>
            <w:shd w:val="clear" w:color="auto" w:fill="CFF0FC"/>
          </w:tcPr>
          <w:p>
            <w:pPr>
              <w:ind w:left="240"/>
              <w:spacing w:after="0"/>
              <w:rPr>
                <w:sz w:val="20"/>
                <w:szCs w:val="20"/>
                <w:color w:val="auto"/>
              </w:rPr>
            </w:pPr>
            <w:r>
              <w:rPr>
                <w:rFonts w:ascii="Arial" w:cs="Arial" w:eastAsia="Arial" w:hAnsi="Arial"/>
                <w:sz w:val="20"/>
                <w:szCs w:val="20"/>
                <w:color w:val="auto"/>
              </w:rPr>
              <w:t>Corporate</w:t>
            </w:r>
          </w:p>
        </w:tc>
        <w:tc>
          <w:tcPr>
            <w:tcW w:w="3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(1,693)</w:t>
            </w:r>
          </w:p>
        </w:tc>
        <w:tc>
          <w:tcPr>
            <w:tcW w:w="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1260" w:type="dxa"/>
            <w:vAlign w:val="bottom"/>
            <w:gridSpan w:val="3"/>
            <w:shd w:val="clear" w:color="auto" w:fill="CFF0FC"/>
          </w:tcPr>
          <w:p>
            <w:pPr>
              <w:jc w:val="right"/>
              <w:ind w:right="40"/>
              <w:spacing w:after="0"/>
              <w:rPr>
                <w:sz w:val="20"/>
                <w:szCs w:val="20"/>
                <w:color w:val="auto"/>
              </w:rPr>
            </w:pPr>
            <w:r>
              <w:rPr>
                <w:rFonts w:ascii="Arial" w:cs="Arial" w:eastAsia="Arial" w:hAnsi="Arial"/>
                <w:sz w:val="20"/>
                <w:szCs w:val="20"/>
                <w:color w:val="auto"/>
              </w:rPr>
              <w:t>(554)</w:t>
            </w:r>
          </w:p>
        </w:tc>
        <w:tc>
          <w:tcPr>
            <w:tcW w:w="0" w:type="dxa"/>
            <w:vAlign w:val="bottom"/>
          </w:tcPr>
          <w:p>
            <w:pPr>
              <w:spacing w:after="0"/>
              <w:rPr>
                <w:sz w:val="1"/>
                <w:szCs w:val="1"/>
                <w:color w:val="auto"/>
              </w:rPr>
            </w:pPr>
          </w:p>
        </w:tc>
      </w:tr>
      <w:tr>
        <w:trPr>
          <w:trHeight w:val="237"/>
        </w:trPr>
        <w:tc>
          <w:tcPr>
            <w:tcW w:w="7360" w:type="dxa"/>
            <w:vAlign w:val="bottom"/>
            <w:gridSpan w:val="3"/>
          </w:tcPr>
          <w:p>
            <w:pPr>
              <w:spacing w:after="0"/>
              <w:rPr>
                <w:sz w:val="20"/>
                <w:szCs w:val="20"/>
                <w:color w:val="auto"/>
              </w:rPr>
            </w:pPr>
            <w:r>
              <w:rPr>
                <w:rFonts w:ascii="Arial" w:cs="Arial" w:eastAsia="Arial" w:hAnsi="Arial"/>
                <w:sz w:val="20"/>
                <w:szCs w:val="20"/>
                <w:color w:val="auto"/>
              </w:rPr>
              <w:t>Total Acquisitions</w:t>
            </w:r>
          </w:p>
        </w:tc>
        <w:tc>
          <w:tcPr>
            <w:tcW w:w="3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124,322</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20"/>
                <w:szCs w:val="20"/>
                <w:color w:val="auto"/>
              </w:rPr>
              <w:t>33,623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34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20"/>
                <w:szCs w:val="20"/>
                <w:color w:val="auto"/>
              </w:rPr>
              <w:t>Total</w:t>
            </w:r>
          </w:p>
        </w:tc>
        <w:tc>
          <w:tcPr>
            <w:tcW w:w="380" w:type="dxa"/>
            <w:vAlign w:val="bottom"/>
            <w:tcBorders>
              <w:top w:val="single" w:sz="8" w:color="CFF0FC"/>
              <w:bottom w:val="single" w:sz="8" w:color="CFF0FC"/>
            </w:tcBorders>
            <w:shd w:val="clear" w:color="auto" w:fill="CFF0FC"/>
          </w:tcPr>
          <w:p>
            <w:pPr>
              <w:spacing w:after="0"/>
              <w:rPr>
                <w:sz w:val="20"/>
                <w:szCs w:val="20"/>
                <w:color w:val="auto"/>
              </w:rPr>
            </w:pPr>
          </w:p>
        </w:tc>
        <w:tc>
          <w:tcPr>
            <w:tcW w:w="340" w:type="dxa"/>
            <w:vAlign w:val="bottom"/>
            <w:tcBorders>
              <w:top w:val="single" w:sz="8" w:color="auto"/>
              <w:bottom w:val="single" w:sz="8" w:color="auto"/>
            </w:tcBorders>
            <w:shd w:val="clear" w:color="auto" w:fill="CFF0FC"/>
          </w:tcPr>
          <w:p>
            <w:pPr>
              <w:jc w:val="right"/>
              <w:ind w:right="141"/>
              <w:spacing w:after="0"/>
              <w:rPr>
                <w:sz w:val="20"/>
                <w:szCs w:val="20"/>
                <w:color w:val="auto"/>
              </w:rPr>
            </w:pPr>
            <w:r>
              <w:rPr>
                <w:rFonts w:ascii="Arial" w:cs="Arial" w:eastAsia="Arial" w:hAnsi="Arial"/>
                <w:sz w:val="20"/>
                <w:szCs w:val="20"/>
                <w:color w:val="auto"/>
                <w:w w:val="71"/>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536,918</w:t>
            </w:r>
          </w:p>
        </w:tc>
        <w:tc>
          <w:tcPr>
            <w:tcW w:w="80" w:type="dxa"/>
            <w:vAlign w:val="bottom"/>
            <w:tcBorders>
              <w:top w:val="single" w:sz="8" w:color="CFF0FC"/>
              <w:bottom w:val="single" w:sz="8" w:color="CFF0FC"/>
            </w:tcBorders>
            <w:shd w:val="clear" w:color="auto" w:fill="CFF0FC"/>
          </w:tcPr>
          <w:p>
            <w:pPr>
              <w:spacing w:after="0"/>
              <w:rPr>
                <w:sz w:val="20"/>
                <w:szCs w:val="20"/>
                <w:color w:val="auto"/>
              </w:rPr>
            </w:pPr>
          </w:p>
        </w:tc>
        <w:tc>
          <w:tcPr>
            <w:tcW w:w="40" w:type="dxa"/>
            <w:vAlign w:val="bottom"/>
            <w:tcBorders>
              <w:top w:val="single" w:sz="8" w:color="CFF0FC"/>
              <w:bottom w:val="single" w:sz="8" w:color="CFF0FC"/>
            </w:tcBorders>
            <w:shd w:val="clear" w:color="auto" w:fill="CFF0FC"/>
          </w:tcPr>
          <w:p>
            <w:pPr>
              <w:spacing w:after="0"/>
              <w:rPr>
                <w:sz w:val="20"/>
                <w:szCs w:val="20"/>
                <w:color w:val="auto"/>
              </w:rPr>
            </w:pP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c>
          <w:tcPr>
            <w:tcW w:w="580" w:type="dxa"/>
            <w:vAlign w:val="bottom"/>
            <w:tcBorders>
              <w:top w:val="single" w:sz="8" w:color="auto"/>
              <w:bottom w:val="single" w:sz="8" w:color="auto"/>
            </w:tcBorders>
            <w:shd w:val="clear" w:color="auto" w:fill="CFF0FC"/>
          </w:tcPr>
          <w:p>
            <w:pPr>
              <w:jc w:val="right"/>
              <w:ind w:right="381"/>
              <w:spacing w:after="0"/>
              <w:rPr>
                <w:sz w:val="20"/>
                <w:szCs w:val="20"/>
                <w:color w:val="auto"/>
              </w:rPr>
            </w:pPr>
            <w:r>
              <w:rPr>
                <w:rFonts w:ascii="Arial" w:cs="Arial" w:eastAsia="Arial" w:hAnsi="Arial"/>
                <w:sz w:val="20"/>
                <w:szCs w:val="20"/>
                <w:color w:val="auto"/>
                <w:w w:val="71"/>
              </w:rPr>
              <w:t>$</w:t>
            </w:r>
          </w:p>
        </w:tc>
        <w:tc>
          <w:tcPr>
            <w:tcW w:w="116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357,030</w:t>
            </w: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Consolidated SG&amp;A expenses were 6.5% of net sales, up 20 basis points compared with the prior-year period, driven by higher pension expense.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49 of 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9" w:name="page50"/>
    <w:bookmarkEnd w:id="49"/>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September 30, 2015</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rPr>
          <w:sz w:val="20"/>
          <w:szCs w:val="20"/>
          <w:color w:val="auto"/>
        </w:rPr>
      </w:pPr>
      <w:r>
        <w:rPr>
          <w:rFonts w:ascii="Arial" w:cs="Arial" w:eastAsia="Arial" w:hAnsi="Arial"/>
          <w:sz w:val="20"/>
          <w:szCs w:val="20"/>
          <w:color w:val="auto"/>
        </w:rPr>
        <w:t>Third Quarter Ended September 30, 2015</w:t>
      </w:r>
    </w:p>
    <w:p>
      <w:pPr>
        <w:jc w:val="center"/>
        <w:spacing w:after="0"/>
        <w:rPr>
          <w:sz w:val="20"/>
          <w:szCs w:val="20"/>
          <w:color w:val="auto"/>
        </w:rPr>
      </w:pPr>
      <w:r>
        <w:rPr>
          <w:rFonts w:ascii="Arial" w:cs="Arial" w:eastAsia="Arial" w:hAnsi="Arial"/>
          <w:sz w:val="20"/>
          <w:szCs w:val="20"/>
          <w:color w:val="auto"/>
        </w:rPr>
        <w:t>(Continued)</w:t>
      </w:r>
    </w:p>
    <w:p>
      <w:pPr>
        <w:spacing w:after="0" w:line="200" w:lineRule="exact"/>
        <w:rPr>
          <w:sz w:val="20"/>
          <w:szCs w:val="20"/>
          <w:color w:val="auto"/>
        </w:rPr>
      </w:pPr>
    </w:p>
    <w:p>
      <w:pPr>
        <w:spacing w:after="0" w:line="229"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For the first nine months, consolidated other operating income and expenses, net, was an expense of $28.0 million in 2015 compared with expense of $0.3 million in 2014, predominantly due to the loss and related expenses recognized with the sale of the California cement operations.</w:t>
      </w:r>
    </w:p>
    <w:p>
      <w:pPr>
        <w:spacing w:after="0" w:line="186"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In addition to other offsetting amounts, other nonoperating income and expenses, net, are comprised generally of interest income and net equity earnings from nonconsolidated investments. Consolidated other nonoperating income and expenses, net, for the nine months ended September 30, 2015 was income of $6.6 million in 2015 compared with expense of $1.3 million in 2014, primarily driven by increased income from nonconsolidated affiliates in 2015.</w:t>
      </w:r>
    </w:p>
    <w:p>
      <w:pPr>
        <w:spacing w:after="0" w:line="300" w:lineRule="exact"/>
        <w:rPr>
          <w:sz w:val="20"/>
          <w:szCs w:val="20"/>
          <w:color w:val="auto"/>
        </w:rPr>
      </w:pPr>
    </w:p>
    <w:p>
      <w:pPr>
        <w:spacing w:after="0"/>
        <w:rPr>
          <w:sz w:val="20"/>
          <w:szCs w:val="20"/>
          <w:color w:val="auto"/>
        </w:rPr>
      </w:pPr>
      <w:r>
        <w:rPr>
          <w:rFonts w:ascii="Arial" w:cs="Arial" w:eastAsia="Arial" w:hAnsi="Arial"/>
          <w:sz w:val="20"/>
          <w:szCs w:val="20"/>
          <w:color w:val="auto"/>
        </w:rPr>
        <w:t>LIQUIDITY AND CAPITAL RESOURCES</w:t>
      </w:r>
    </w:p>
    <w:p>
      <w:pPr>
        <w:spacing w:after="0" w:line="216"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Cash provided by operating activities for the nine months ended September 30, 2015 was $319.6 million compared with $201.6 million for the same period in 2014. The increase was primarily attributable to higher earnings before depreciation, depletion and amortization expense, partially offset by increased working capital requirements and cash payments in 2015 for 2014 taxes that were ineligible for NOL utilization. Operating cash flow is primarily derived from consolidated net earnings before deducting depreciation, depletion and amortization, and the impact of changes in working capital. Depreciation, depletion and amortization were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9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120" w:type="dxa"/>
            <w:vAlign w:val="bottom"/>
            <w:gridSpan w:val="4"/>
          </w:tcPr>
          <w:p>
            <w:pPr>
              <w:jc w:val="center"/>
              <w:ind w:right="381"/>
              <w:spacing w:after="0"/>
              <w:rPr>
                <w:sz w:val="20"/>
                <w:szCs w:val="20"/>
                <w:color w:val="auto"/>
              </w:rPr>
            </w:pPr>
            <w:r>
              <w:rPr>
                <w:rFonts w:ascii="Arial" w:cs="Arial" w:eastAsia="Arial" w:hAnsi="Arial"/>
                <w:sz w:val="20"/>
                <w:szCs w:val="20"/>
                <w:color w:val="auto"/>
                <w:w w:val="91"/>
              </w:rPr>
              <w:t>Nine Months Ended</w:t>
            </w:r>
          </w:p>
        </w:tc>
      </w:tr>
      <w:tr>
        <w:trPr>
          <w:trHeight w:val="246"/>
        </w:trPr>
        <w:tc>
          <w:tcPr>
            <w:tcW w:w="796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960" w:type="dxa"/>
            <w:vAlign w:val="bottom"/>
            <w:tcBorders>
              <w:bottom w:val="single" w:sz="8" w:color="auto"/>
            </w:tcBorders>
            <w:gridSpan w:val="3"/>
          </w:tcPr>
          <w:p>
            <w:pPr>
              <w:jc w:val="center"/>
              <w:ind w:left="601"/>
              <w:spacing w:after="0"/>
              <w:rPr>
                <w:sz w:val="20"/>
                <w:szCs w:val="20"/>
                <w:color w:val="auto"/>
              </w:rPr>
            </w:pPr>
            <w:r>
              <w:rPr>
                <w:rFonts w:ascii="Arial" w:cs="Arial" w:eastAsia="Arial" w:hAnsi="Arial"/>
                <w:sz w:val="20"/>
                <w:szCs w:val="20"/>
                <w:color w:val="auto"/>
                <w:w w:val="86"/>
              </w:rPr>
              <w:t>September 30,</w:t>
            </w:r>
          </w:p>
        </w:tc>
        <w:tc>
          <w:tcPr>
            <w:tcW w:w="1160" w:type="dxa"/>
            <w:vAlign w:val="bottom"/>
            <w:tcBorders>
              <w:bottom w:val="single" w:sz="8" w:color="auto"/>
            </w:tcBorders>
          </w:tcPr>
          <w:p>
            <w:pPr>
              <w:spacing w:after="0"/>
              <w:rPr>
                <w:sz w:val="21"/>
                <w:szCs w:val="21"/>
                <w:color w:val="auto"/>
              </w:rPr>
            </w:pPr>
          </w:p>
        </w:tc>
      </w:tr>
      <w:tr>
        <w:trPr>
          <w:trHeight w:val="237"/>
        </w:trPr>
        <w:tc>
          <w:tcPr>
            <w:tcW w:w="79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81"/>
              <w:spacing w:after="0"/>
              <w:rPr>
                <w:sz w:val="20"/>
                <w:szCs w:val="20"/>
                <w:color w:val="auto"/>
              </w:rPr>
            </w:pPr>
            <w:r>
              <w:rPr>
                <w:rFonts w:ascii="Arial" w:cs="Arial" w:eastAsia="Arial" w:hAnsi="Arial"/>
                <w:sz w:val="20"/>
                <w:szCs w:val="20"/>
                <w:color w:val="auto"/>
              </w:rPr>
              <w:t>2015</w:t>
            </w:r>
          </w:p>
        </w:tc>
        <w:tc>
          <w:tcPr>
            <w:tcW w:w="1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621"/>
              <w:spacing w:after="0"/>
              <w:rPr>
                <w:sz w:val="20"/>
                <w:szCs w:val="20"/>
                <w:color w:val="auto"/>
              </w:rPr>
            </w:pPr>
            <w:r>
              <w:rPr>
                <w:rFonts w:ascii="Arial" w:cs="Arial" w:eastAsia="Arial" w:hAnsi="Arial"/>
                <w:sz w:val="20"/>
                <w:szCs w:val="20"/>
                <w:color w:val="auto"/>
                <w:w w:val="94"/>
              </w:rPr>
              <w:t>2014</w:t>
            </w:r>
          </w:p>
        </w:tc>
      </w:tr>
      <w:tr>
        <w:trPr>
          <w:trHeight w:val="233"/>
        </w:trPr>
        <w:tc>
          <w:tcPr>
            <w:tcW w:w="7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120" w:type="dxa"/>
            <w:vAlign w:val="bottom"/>
            <w:gridSpan w:val="4"/>
          </w:tcPr>
          <w:p>
            <w:pPr>
              <w:jc w:val="center"/>
              <w:ind w:right="381"/>
              <w:spacing w:after="0"/>
              <w:rPr>
                <w:sz w:val="20"/>
                <w:szCs w:val="20"/>
                <w:color w:val="auto"/>
              </w:rPr>
            </w:pPr>
            <w:r>
              <w:rPr>
                <w:rFonts w:ascii="Arial" w:cs="Arial" w:eastAsia="Arial" w:hAnsi="Arial"/>
                <w:sz w:val="20"/>
                <w:szCs w:val="20"/>
                <w:i w:val="1"/>
                <w:iCs w:val="1"/>
                <w:color w:val="auto"/>
                <w:w w:val="91"/>
              </w:rPr>
              <w:t>(Dollars in Thousands)</w:t>
            </w:r>
          </w:p>
        </w:tc>
      </w:tr>
      <w:tr>
        <w:trPr>
          <w:trHeight w:val="246"/>
        </w:trPr>
        <w:tc>
          <w:tcPr>
            <w:tcW w:w="7960" w:type="dxa"/>
            <w:vAlign w:val="bottom"/>
          </w:tcPr>
          <w:p>
            <w:pPr>
              <w:spacing w:after="0"/>
              <w:rPr>
                <w:sz w:val="20"/>
                <w:szCs w:val="20"/>
                <w:color w:val="auto"/>
              </w:rPr>
            </w:pPr>
            <w:r>
              <w:rPr>
                <w:rFonts w:ascii="Arial" w:cs="Arial" w:eastAsia="Arial" w:hAnsi="Arial"/>
                <w:sz w:val="20"/>
                <w:szCs w:val="20"/>
                <w:color w:val="auto"/>
              </w:rPr>
              <w:t>Depreciation</w:t>
            </w:r>
          </w:p>
        </w:tc>
        <w:tc>
          <w:tcPr>
            <w:tcW w:w="340" w:type="dxa"/>
            <w:vAlign w:val="bottom"/>
          </w:tcPr>
          <w:p>
            <w:pPr>
              <w:jc w:val="right"/>
              <w:ind w:right="121"/>
              <w:spacing w:after="0"/>
              <w:rPr>
                <w:sz w:val="20"/>
                <w:szCs w:val="20"/>
                <w:color w:val="auto"/>
              </w:rPr>
            </w:pPr>
            <w:r>
              <w:rPr>
                <w:rFonts w:ascii="Arial" w:cs="Arial" w:eastAsia="Arial" w:hAnsi="Arial"/>
                <w:sz w:val="20"/>
                <w:szCs w:val="20"/>
                <w:color w:val="auto"/>
                <w:w w:val="89"/>
              </w:rPr>
              <w:t>$</w:t>
            </w:r>
          </w:p>
        </w:tc>
        <w:tc>
          <w:tcPr>
            <w:tcW w:w="1320" w:type="dxa"/>
            <w:vAlign w:val="bottom"/>
          </w:tcPr>
          <w:p>
            <w:pPr>
              <w:jc w:val="right"/>
              <w:ind w:right="21"/>
              <w:spacing w:after="0"/>
              <w:rPr>
                <w:sz w:val="20"/>
                <w:szCs w:val="20"/>
                <w:color w:val="auto"/>
              </w:rPr>
            </w:pPr>
            <w:r>
              <w:rPr>
                <w:rFonts w:ascii="Arial" w:cs="Arial" w:eastAsia="Arial" w:hAnsi="Arial"/>
                <w:sz w:val="20"/>
                <w:szCs w:val="20"/>
                <w:color w:val="auto"/>
              </w:rPr>
              <w:t>176,634</w:t>
            </w:r>
          </w:p>
        </w:tc>
        <w:tc>
          <w:tcPr>
            <w:tcW w:w="120" w:type="dxa"/>
            <w:vAlign w:val="bottom"/>
          </w:tcPr>
          <w:p>
            <w:pPr>
              <w:spacing w:after="0"/>
              <w:rPr>
                <w:sz w:val="21"/>
                <w:szCs w:val="21"/>
                <w:color w:val="auto"/>
              </w:rPr>
            </w:pPr>
          </w:p>
        </w:tc>
        <w:tc>
          <w:tcPr>
            <w:tcW w:w="520" w:type="dxa"/>
            <w:vAlign w:val="bottom"/>
          </w:tcPr>
          <w:p>
            <w:pPr>
              <w:jc w:val="right"/>
              <w:ind w:right="321"/>
              <w:spacing w:after="0"/>
              <w:rPr>
                <w:sz w:val="20"/>
                <w:szCs w:val="20"/>
                <w:color w:val="auto"/>
              </w:rPr>
            </w:pPr>
            <w:r>
              <w:rPr>
                <w:rFonts w:ascii="Arial" w:cs="Arial" w:eastAsia="Arial" w:hAnsi="Arial"/>
                <w:sz w:val="20"/>
                <w:szCs w:val="20"/>
                <w:color w:val="auto"/>
                <w:w w:val="71"/>
              </w:rPr>
              <w:t>$</w:t>
            </w:r>
          </w:p>
        </w:tc>
        <w:tc>
          <w:tcPr>
            <w:tcW w:w="1160" w:type="dxa"/>
            <w:vAlign w:val="bottom"/>
          </w:tcPr>
          <w:p>
            <w:pPr>
              <w:jc w:val="right"/>
              <w:ind w:right="41"/>
              <w:spacing w:after="0"/>
              <w:rPr>
                <w:sz w:val="20"/>
                <w:szCs w:val="20"/>
                <w:color w:val="auto"/>
              </w:rPr>
            </w:pPr>
            <w:r>
              <w:rPr>
                <w:rFonts w:ascii="Arial" w:cs="Arial" w:eastAsia="Arial" w:hAnsi="Arial"/>
                <w:sz w:val="20"/>
                <w:szCs w:val="20"/>
                <w:color w:val="auto"/>
              </w:rPr>
              <w:t>140,778</w:t>
            </w:r>
          </w:p>
        </w:tc>
      </w:tr>
      <w:tr>
        <w:trPr>
          <w:trHeight w:val="243"/>
        </w:trPr>
        <w:tc>
          <w:tcPr>
            <w:tcW w:w="7960" w:type="dxa"/>
            <w:vAlign w:val="bottom"/>
            <w:shd w:val="clear" w:color="auto" w:fill="CFF0FC"/>
          </w:tcPr>
          <w:p>
            <w:pPr>
              <w:spacing w:after="0"/>
              <w:rPr>
                <w:sz w:val="20"/>
                <w:szCs w:val="20"/>
                <w:color w:val="auto"/>
              </w:rPr>
            </w:pPr>
            <w:r>
              <w:rPr>
                <w:rFonts w:ascii="Arial" w:cs="Arial" w:eastAsia="Arial" w:hAnsi="Arial"/>
                <w:sz w:val="20"/>
                <w:szCs w:val="20"/>
                <w:color w:val="auto"/>
              </w:rPr>
              <w:t>Depletion</w:t>
            </w:r>
          </w:p>
        </w:tc>
        <w:tc>
          <w:tcPr>
            <w:tcW w:w="340" w:type="dxa"/>
            <w:vAlign w:val="bottom"/>
            <w:shd w:val="clear" w:color="auto" w:fill="CFF0FC"/>
          </w:tcPr>
          <w:p>
            <w:pPr>
              <w:spacing w:after="0"/>
              <w:rPr>
                <w:sz w:val="21"/>
                <w:szCs w:val="21"/>
                <w:color w:val="auto"/>
              </w:rPr>
            </w:pPr>
          </w:p>
        </w:tc>
        <w:tc>
          <w:tcPr>
            <w:tcW w:w="132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10,529</w:t>
            </w:r>
          </w:p>
        </w:tc>
        <w:tc>
          <w:tcPr>
            <w:tcW w:w="12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6,300</w:t>
            </w:r>
          </w:p>
        </w:tc>
      </w:tr>
      <w:tr>
        <w:trPr>
          <w:trHeight w:val="243"/>
        </w:trPr>
        <w:tc>
          <w:tcPr>
            <w:tcW w:w="7960" w:type="dxa"/>
            <w:vAlign w:val="bottom"/>
            <w:tcBorders>
              <w:bottom w:val="single" w:sz="8" w:color="CFF0FC"/>
            </w:tcBorders>
          </w:tcPr>
          <w:p>
            <w:pPr>
              <w:spacing w:after="0"/>
              <w:rPr>
                <w:sz w:val="20"/>
                <w:szCs w:val="20"/>
                <w:color w:val="auto"/>
              </w:rPr>
            </w:pPr>
            <w:r>
              <w:rPr>
                <w:rFonts w:ascii="Arial" w:cs="Arial" w:eastAsia="Arial" w:hAnsi="Arial"/>
                <w:sz w:val="20"/>
                <w:szCs w:val="20"/>
                <w:color w:val="auto"/>
              </w:rPr>
              <w:t>Amortization</w:t>
            </w:r>
          </w:p>
        </w:tc>
        <w:tc>
          <w:tcPr>
            <w:tcW w:w="3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12,772</w:t>
            </w:r>
          </w:p>
        </w:tc>
        <w:tc>
          <w:tcPr>
            <w:tcW w:w="120" w:type="dxa"/>
            <w:vAlign w:val="bottom"/>
            <w:tcBorders>
              <w:bottom w:val="single" w:sz="8" w:color="CFF0FC"/>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7,001</w:t>
            </w:r>
          </w:p>
        </w:tc>
      </w:tr>
      <w:tr>
        <w:trPr>
          <w:trHeight w:val="237"/>
        </w:trPr>
        <w:tc>
          <w:tcPr>
            <w:tcW w:w="796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jc w:val="right"/>
              <w:ind w:right="121"/>
              <w:spacing w:after="0"/>
              <w:rPr>
                <w:sz w:val="20"/>
                <w:szCs w:val="20"/>
                <w:color w:val="auto"/>
              </w:rPr>
            </w:pPr>
            <w:r>
              <w:rPr>
                <w:rFonts w:ascii="Arial" w:cs="Arial" w:eastAsia="Arial" w:hAnsi="Arial"/>
                <w:sz w:val="20"/>
                <w:szCs w:val="20"/>
                <w:color w:val="auto"/>
                <w:w w:val="89"/>
              </w:rPr>
              <w:t>$</w:t>
            </w:r>
          </w:p>
        </w:tc>
        <w:tc>
          <w:tcPr>
            <w:tcW w:w="1320" w:type="dxa"/>
            <w:vAlign w:val="bottom"/>
            <w:tcBorders>
              <w:bottom w:val="single" w:sz="8" w:color="auto"/>
            </w:tcBorders>
            <w:shd w:val="clear" w:color="auto" w:fill="CFF0FC"/>
          </w:tcPr>
          <w:p>
            <w:pPr>
              <w:jc w:val="right"/>
              <w:ind w:right="21"/>
              <w:spacing w:after="0"/>
              <w:rPr>
                <w:sz w:val="20"/>
                <w:szCs w:val="20"/>
                <w:color w:val="auto"/>
              </w:rPr>
            </w:pPr>
            <w:r>
              <w:rPr>
                <w:rFonts w:ascii="Arial" w:cs="Arial" w:eastAsia="Arial" w:hAnsi="Arial"/>
                <w:sz w:val="20"/>
                <w:szCs w:val="20"/>
                <w:color w:val="auto"/>
              </w:rPr>
              <w:t>199,935</w:t>
            </w:r>
          </w:p>
        </w:tc>
        <w:tc>
          <w:tcPr>
            <w:tcW w:w="120" w:type="dxa"/>
            <w:vAlign w:val="bottom"/>
            <w:tcBorders>
              <w:bottom w:val="single" w:sz="8" w:color="CFF0FC"/>
            </w:tcBorders>
            <w:shd w:val="clear" w:color="auto" w:fill="CFF0FC"/>
          </w:tcPr>
          <w:p>
            <w:pPr>
              <w:spacing w:after="0"/>
              <w:rPr>
                <w:sz w:val="20"/>
                <w:szCs w:val="20"/>
                <w:color w:val="auto"/>
              </w:rPr>
            </w:pPr>
          </w:p>
        </w:tc>
        <w:tc>
          <w:tcPr>
            <w:tcW w:w="520" w:type="dxa"/>
            <w:vAlign w:val="bottom"/>
            <w:tcBorders>
              <w:bottom w:val="single" w:sz="8" w:color="auto"/>
            </w:tcBorders>
            <w:shd w:val="clear" w:color="auto" w:fill="CFF0FC"/>
          </w:tcPr>
          <w:p>
            <w:pPr>
              <w:jc w:val="right"/>
              <w:ind w:right="321"/>
              <w:spacing w:after="0"/>
              <w:rPr>
                <w:sz w:val="20"/>
                <w:szCs w:val="20"/>
                <w:color w:val="auto"/>
              </w:rPr>
            </w:pPr>
            <w:r>
              <w:rPr>
                <w:rFonts w:ascii="Arial" w:cs="Arial" w:eastAsia="Arial" w:hAnsi="Arial"/>
                <w:sz w:val="20"/>
                <w:szCs w:val="20"/>
                <w:color w:val="auto"/>
                <w:w w:val="71"/>
              </w:rPr>
              <w:t>$</w:t>
            </w:r>
          </w:p>
        </w:tc>
        <w:tc>
          <w:tcPr>
            <w:tcW w:w="116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20"/>
                <w:szCs w:val="20"/>
                <w:color w:val="auto"/>
              </w:rPr>
              <w:t>154,079</w:t>
            </w:r>
          </w:p>
        </w:tc>
      </w:tr>
      <w:tr>
        <w:trPr>
          <w:trHeight w:val="20"/>
        </w:trPr>
        <w:tc>
          <w:tcPr>
            <w:tcW w:w="79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increase in depreciation, depletion and amortization expense is attributable to the acquired property, plant and equipment and other intangible assets from business combinations, primarily TXI.</w:t>
      </w:r>
    </w:p>
    <w:p>
      <w:pPr>
        <w:spacing w:after="0" w:line="177"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The seasonal nature of the construction aggregates business impacts quarterly operating cash flow when compared with the full year. Full-year 2014 net cash provided by operating activities was $381.7 million compared with $201.6 million for the first nine months of 2014. For the year, the Corporation expects to utilize allowable federal net operating loss carry forwards of $509 million acquired with TXI.</w:t>
      </w:r>
    </w:p>
    <w:p>
      <w:pPr>
        <w:spacing w:after="0" w:line="152"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During the first nine months ended September 30, 2015, the Corporation invested $212.4 million of capital into its business. Full-year capital spending is expected to range from $330 million to $350 million, including $80 million for the Medina Rock and Rail (“Medina”) capital project. With a budgeted cost of $163 million, the Medina project is the largest capital expansion project in the Corporation’s history. The project, located outside of San Antonio, consists of building a rail-connected limestone aggregates processing facility with the capability of producing in excess of 10 million tons per year. Initially, shipments from Medina will primarily replace volumes currently being served by the Corporation’s other existing locations.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50 of 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0" w:name="page51"/>
    <w:bookmarkEnd w:id="50"/>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September 30, 2015</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rPr>
          <w:sz w:val="20"/>
          <w:szCs w:val="20"/>
          <w:color w:val="auto"/>
        </w:rPr>
      </w:pPr>
      <w:r>
        <w:rPr>
          <w:rFonts w:ascii="Arial" w:cs="Arial" w:eastAsia="Arial" w:hAnsi="Arial"/>
          <w:sz w:val="20"/>
          <w:szCs w:val="20"/>
          <w:color w:val="auto"/>
        </w:rPr>
        <w:t>Third Quarter Ended September 30, 2015</w:t>
      </w:r>
    </w:p>
    <w:p>
      <w:pPr>
        <w:jc w:val="center"/>
        <w:spacing w:after="0"/>
        <w:rPr>
          <w:sz w:val="20"/>
          <w:szCs w:val="20"/>
          <w:color w:val="auto"/>
        </w:rPr>
      </w:pPr>
      <w:r>
        <w:rPr>
          <w:rFonts w:ascii="Arial" w:cs="Arial" w:eastAsia="Arial" w:hAnsi="Arial"/>
          <w:sz w:val="20"/>
          <w:szCs w:val="20"/>
          <w:color w:val="auto"/>
        </w:rPr>
        <w:t>(Continued)</w:t>
      </w:r>
    </w:p>
    <w:p>
      <w:pPr>
        <w:spacing w:after="0" w:line="200" w:lineRule="exact"/>
        <w:rPr>
          <w:sz w:val="20"/>
          <w:szCs w:val="20"/>
          <w:color w:val="auto"/>
        </w:rPr>
      </w:pPr>
    </w:p>
    <w:p>
      <w:pPr>
        <w:spacing w:after="0" w:line="229"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The Corporation can repurchase its common stock through open-market purchases pursuant to authority granted by its Board of Directors or through private transactions at such prices and upon such terms as the Chief Executive Officer deems appropriate. The Corporation received $420 million from the sale of its California cement operations. In anticipation of the sale, during the third quarter the Corporation repurchased 917,000 shares of common stock for $157.7 million and expects to use the remaining net proceeds to repurchase additional shares of its stock. At September 30, 2015, 18,413,000 shares of common stock were remaining under the Corporation’s repurchase authorization.</w:t>
      </w:r>
    </w:p>
    <w:p>
      <w:pPr>
        <w:spacing w:after="0" w:line="165"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The Credit Agreement (which consists of a $250 million Term Loan Facility and a $350 million Revolving Facility) requires the Corporation’s ratio of consolidated debt to consolidated earnings before interest, taxes, depreciation, depletion and amortization (“EBITDA”), as defined, for the trailing twelve month period (the “Ratio”) to not exceed 3.50x as of the end of any fiscal quarter, provided that the Corporation may exclude from the Ratio debt incurred in connection with certain acquisitions for a period of 180 days so long as the Corporation, as a consequence of such specified acquisition, does not have its ratings on long-term unsecured debt fall below BBB by Standard &amp; Poor’s or Baa2 by Moody’s and the Ratio calculated without such exclusion does not exceed 3.75x. Additionally, if there are no amounts outstanding under the Revolving Facility, consolidated debt, including debt for which the Corporation is a co-borrower, will be reduced for purposes of the covenant calculation by the Corporation’s unrestricted cash and cash equivalents in excess of $50 million, such reduction not to exceed $200 million.</w:t>
      </w:r>
    </w:p>
    <w:p>
      <w:pPr>
        <w:spacing w:after="0" w:line="169"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The Ratio is calculated as debt, including debt for which the Corporation is a co-borrower, divided by consolidated EBITDA, as defined by the Credit Agreement, for the trailing twelve months. Consolidated EBITDA is generally defined as earnings before interest expense, income tax expense, and depreciation, depletion and amortization expense for continuing operations. Additionally, stock-based compensation expense is added back and interest income is deducted in the calculation of consolidated EBITDA. Certain other nonrecurring noncash items, if they occur, can affect the calculation of consolidated EBITDA.</w:t>
      </w:r>
    </w:p>
    <w:p>
      <w:pPr>
        <w:spacing w:after="0" w:line="181"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In 2014, the Corporation amended the Credit Agreement to ensure the impact of the business combination with TXI does not impair liquidity available under the Term Loan Facility and the Revolving Facility. The amendment adjusts consolidated EBITDA to add back fees, costs or expenses relating to the TXI business combination incurred on or prior to the closing of the combination not to exceed $95,000,000 and any integration or similar costs or expenses related to the TXI business combination incurred in any period prior to the second anniversary of the closing of the TXI business combination not to exceed $70,000,000.</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51 of 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1" w:name="page52"/>
    <w:bookmarkEnd w:id="51"/>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September 30, 2015</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rPr>
          <w:sz w:val="20"/>
          <w:szCs w:val="20"/>
          <w:color w:val="auto"/>
        </w:rPr>
      </w:pPr>
      <w:r>
        <w:rPr>
          <w:rFonts w:ascii="Arial" w:cs="Arial" w:eastAsia="Arial" w:hAnsi="Arial"/>
          <w:sz w:val="20"/>
          <w:szCs w:val="20"/>
          <w:color w:val="auto"/>
        </w:rPr>
        <w:t>Third Quarter Ended September 30, 2015</w:t>
      </w:r>
    </w:p>
    <w:p>
      <w:pPr>
        <w:jc w:val="center"/>
        <w:spacing w:after="0"/>
        <w:rPr>
          <w:sz w:val="20"/>
          <w:szCs w:val="20"/>
          <w:color w:val="auto"/>
        </w:rPr>
      </w:pPr>
      <w:r>
        <w:rPr>
          <w:rFonts w:ascii="Arial" w:cs="Arial" w:eastAsia="Arial" w:hAnsi="Arial"/>
          <w:sz w:val="20"/>
          <w:szCs w:val="20"/>
          <w:color w:val="auto"/>
        </w:rPr>
        <w:t>(Continued)</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9"/>
          <w:szCs w:val="19"/>
          <w:color w:val="auto"/>
        </w:rPr>
        <w:t>At September 30, 2015, the Corporation’s ratio of consolidated debt to consolidated EBITDA, as defined, for the trailing twelve months</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EBITDA was 2.21 times and was calculated as follows: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6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80" w:type="dxa"/>
            <w:vAlign w:val="bottom"/>
            <w:gridSpan w:val="2"/>
          </w:tcPr>
          <w:p>
            <w:pPr>
              <w:jc w:val="center"/>
              <w:ind w:right="320"/>
              <w:spacing w:after="0"/>
              <w:rPr>
                <w:sz w:val="20"/>
                <w:szCs w:val="20"/>
                <w:color w:val="auto"/>
              </w:rPr>
            </w:pPr>
            <w:r>
              <w:rPr>
                <w:rFonts w:ascii="Arial" w:cs="Arial" w:eastAsia="Arial" w:hAnsi="Arial"/>
                <w:sz w:val="20"/>
                <w:szCs w:val="20"/>
                <w:color w:val="auto"/>
                <w:w w:val="89"/>
              </w:rPr>
              <w:t>October 1, 2014 to</w:t>
            </w:r>
          </w:p>
        </w:tc>
        <w:tc>
          <w:tcPr>
            <w:tcW w:w="0" w:type="dxa"/>
            <w:vAlign w:val="bottom"/>
          </w:tcPr>
          <w:p>
            <w:pPr>
              <w:spacing w:after="0"/>
              <w:rPr>
                <w:sz w:val="1"/>
                <w:szCs w:val="1"/>
                <w:color w:val="auto"/>
              </w:rPr>
            </w:pPr>
          </w:p>
        </w:tc>
      </w:tr>
      <w:tr>
        <w:trPr>
          <w:trHeight w:val="246"/>
        </w:trPr>
        <w:tc>
          <w:tcPr>
            <w:tcW w:w="76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80" w:type="dxa"/>
            <w:vAlign w:val="bottom"/>
            <w:gridSpan w:val="2"/>
          </w:tcPr>
          <w:p>
            <w:pPr>
              <w:jc w:val="center"/>
              <w:ind w:right="320"/>
              <w:spacing w:after="0"/>
              <w:rPr>
                <w:sz w:val="20"/>
                <w:szCs w:val="20"/>
                <w:color w:val="auto"/>
              </w:rPr>
            </w:pPr>
            <w:r>
              <w:rPr>
                <w:rFonts w:ascii="Arial" w:cs="Arial" w:eastAsia="Arial" w:hAnsi="Arial"/>
                <w:sz w:val="20"/>
                <w:szCs w:val="20"/>
                <w:color w:val="auto"/>
                <w:w w:val="88"/>
              </w:rPr>
              <w:t>September 30, 2015</w:t>
            </w:r>
          </w:p>
        </w:tc>
        <w:tc>
          <w:tcPr>
            <w:tcW w:w="0" w:type="dxa"/>
            <w:vAlign w:val="bottom"/>
          </w:tcPr>
          <w:p>
            <w:pPr>
              <w:spacing w:after="0"/>
              <w:rPr>
                <w:sz w:val="1"/>
                <w:szCs w:val="1"/>
                <w:color w:val="auto"/>
              </w:rPr>
            </w:pPr>
          </w:p>
        </w:tc>
      </w:tr>
      <w:tr>
        <w:trPr>
          <w:trHeight w:val="233"/>
        </w:trPr>
        <w:tc>
          <w:tcPr>
            <w:tcW w:w="76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2160" w:type="dxa"/>
            <w:vAlign w:val="bottom"/>
            <w:tcBorders>
              <w:top w:val="single" w:sz="8" w:color="auto"/>
            </w:tcBorders>
          </w:tcPr>
          <w:p>
            <w:pPr>
              <w:jc w:val="center"/>
              <w:ind w:right="101"/>
              <w:spacing w:after="0"/>
              <w:rPr>
                <w:sz w:val="20"/>
                <w:szCs w:val="20"/>
                <w:color w:val="auto"/>
              </w:rPr>
            </w:pPr>
            <w:r>
              <w:rPr>
                <w:rFonts w:ascii="Arial" w:cs="Arial" w:eastAsia="Arial" w:hAnsi="Arial"/>
                <w:sz w:val="20"/>
                <w:szCs w:val="20"/>
                <w:i w:val="1"/>
                <w:iCs w:val="1"/>
                <w:color w:val="auto"/>
                <w:w w:val="92"/>
              </w:rPr>
              <w:t>(Dollars in thousands)</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7620" w:type="dxa"/>
            <w:vAlign w:val="bottom"/>
          </w:tcPr>
          <w:p>
            <w:pPr>
              <w:spacing w:after="0"/>
              <w:rPr>
                <w:sz w:val="20"/>
                <w:szCs w:val="20"/>
                <w:color w:val="auto"/>
              </w:rPr>
            </w:pPr>
            <w:r>
              <w:rPr>
                <w:rFonts w:ascii="Arial" w:cs="Arial" w:eastAsia="Arial" w:hAnsi="Arial"/>
                <w:sz w:val="20"/>
                <w:szCs w:val="20"/>
                <w:color w:val="auto"/>
              </w:rPr>
              <w:t>Earnings from continuing operations attributable to Martin Marietta</w:t>
            </w:r>
          </w:p>
        </w:tc>
        <w:tc>
          <w:tcPr>
            <w:tcW w:w="152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2160" w:type="dxa"/>
            <w:vAlign w:val="bottom"/>
          </w:tcPr>
          <w:p>
            <w:pPr>
              <w:jc w:val="right"/>
              <w:spacing w:after="0"/>
              <w:rPr>
                <w:sz w:val="20"/>
                <w:szCs w:val="20"/>
                <w:color w:val="auto"/>
              </w:rPr>
            </w:pPr>
            <w:r>
              <w:rPr>
                <w:rFonts w:ascii="Arial" w:cs="Arial" w:eastAsia="Arial" w:hAnsi="Arial"/>
                <w:sz w:val="20"/>
                <w:szCs w:val="20"/>
                <w:color w:val="auto"/>
              </w:rPr>
              <w:t>269,459</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20" w:type="dxa"/>
            <w:vAlign w:val="bottom"/>
            <w:shd w:val="clear" w:color="auto" w:fill="CFF0FC"/>
          </w:tcPr>
          <w:p>
            <w:pPr>
              <w:spacing w:after="0"/>
              <w:rPr>
                <w:sz w:val="20"/>
                <w:szCs w:val="20"/>
                <w:color w:val="auto"/>
              </w:rPr>
            </w:pPr>
            <w:r>
              <w:rPr>
                <w:rFonts w:ascii="Arial" w:cs="Arial" w:eastAsia="Arial" w:hAnsi="Arial"/>
                <w:sz w:val="20"/>
                <w:szCs w:val="20"/>
                <w:color w:val="auto"/>
              </w:rPr>
              <w:t>Add back:</w:t>
            </w:r>
          </w:p>
        </w:tc>
        <w:tc>
          <w:tcPr>
            <w:tcW w:w="13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20" w:type="dxa"/>
            <w:vAlign w:val="bottom"/>
          </w:tcPr>
          <w:p>
            <w:pPr>
              <w:ind w:left="260"/>
              <w:spacing w:after="0"/>
              <w:rPr>
                <w:sz w:val="20"/>
                <w:szCs w:val="20"/>
                <w:color w:val="auto"/>
              </w:rPr>
            </w:pPr>
            <w:r>
              <w:rPr>
                <w:rFonts w:ascii="Arial" w:cs="Arial" w:eastAsia="Arial" w:hAnsi="Arial"/>
                <w:sz w:val="20"/>
                <w:szCs w:val="20"/>
                <w:color w:val="auto"/>
              </w:rPr>
              <w:t>Interest expense</w:t>
            </w:r>
          </w:p>
        </w:tc>
        <w:tc>
          <w:tcPr>
            <w:tcW w:w="1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160" w:type="dxa"/>
            <w:vAlign w:val="bottom"/>
          </w:tcPr>
          <w:p>
            <w:pPr>
              <w:jc w:val="right"/>
              <w:spacing w:after="0"/>
              <w:rPr>
                <w:sz w:val="20"/>
                <w:szCs w:val="20"/>
                <w:color w:val="auto"/>
              </w:rPr>
            </w:pPr>
            <w:r>
              <w:rPr>
                <w:rFonts w:ascii="Arial" w:cs="Arial" w:eastAsia="Arial" w:hAnsi="Arial"/>
                <w:sz w:val="20"/>
                <w:szCs w:val="20"/>
                <w:color w:val="auto"/>
              </w:rPr>
              <w:t>78,447</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20" w:type="dxa"/>
            <w:vAlign w:val="bottom"/>
            <w:shd w:val="clear" w:color="auto" w:fill="CFF0FC"/>
          </w:tcPr>
          <w:p>
            <w:pPr>
              <w:ind w:left="260"/>
              <w:spacing w:after="0"/>
              <w:rPr>
                <w:sz w:val="20"/>
                <w:szCs w:val="20"/>
                <w:color w:val="auto"/>
              </w:rPr>
            </w:pPr>
            <w:r>
              <w:rPr>
                <w:rFonts w:ascii="Arial" w:cs="Arial" w:eastAsia="Arial" w:hAnsi="Arial"/>
                <w:sz w:val="20"/>
                <w:szCs w:val="20"/>
                <w:color w:val="auto"/>
              </w:rPr>
              <w:t>Income tax expense</w:t>
            </w:r>
          </w:p>
        </w:tc>
        <w:tc>
          <w:tcPr>
            <w:tcW w:w="13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1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120,798</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20" w:type="dxa"/>
            <w:vAlign w:val="bottom"/>
          </w:tcPr>
          <w:p>
            <w:pPr>
              <w:ind w:left="260"/>
              <w:spacing w:after="0"/>
              <w:rPr>
                <w:sz w:val="20"/>
                <w:szCs w:val="20"/>
                <w:color w:val="auto"/>
              </w:rPr>
            </w:pPr>
            <w:r>
              <w:rPr>
                <w:rFonts w:ascii="Arial" w:cs="Arial" w:eastAsia="Arial" w:hAnsi="Arial"/>
                <w:sz w:val="20"/>
                <w:szCs w:val="20"/>
                <w:color w:val="auto"/>
              </w:rPr>
              <w:t>Depreciation, depletion and amortization expense</w:t>
            </w:r>
          </w:p>
        </w:tc>
        <w:tc>
          <w:tcPr>
            <w:tcW w:w="1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160" w:type="dxa"/>
            <w:vAlign w:val="bottom"/>
          </w:tcPr>
          <w:p>
            <w:pPr>
              <w:jc w:val="right"/>
              <w:spacing w:after="0"/>
              <w:rPr>
                <w:sz w:val="20"/>
                <w:szCs w:val="20"/>
                <w:color w:val="auto"/>
              </w:rPr>
            </w:pPr>
            <w:r>
              <w:rPr>
                <w:rFonts w:ascii="Arial" w:cs="Arial" w:eastAsia="Arial" w:hAnsi="Arial"/>
                <w:sz w:val="20"/>
                <w:szCs w:val="20"/>
                <w:color w:val="auto"/>
              </w:rPr>
              <w:t>264,173</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20" w:type="dxa"/>
            <w:vAlign w:val="bottom"/>
            <w:shd w:val="clear" w:color="auto" w:fill="CFF0FC"/>
          </w:tcPr>
          <w:p>
            <w:pPr>
              <w:ind w:left="260"/>
              <w:spacing w:after="0"/>
              <w:rPr>
                <w:sz w:val="20"/>
                <w:szCs w:val="20"/>
                <w:color w:val="auto"/>
              </w:rPr>
            </w:pPr>
            <w:r>
              <w:rPr>
                <w:rFonts w:ascii="Arial" w:cs="Arial" w:eastAsia="Arial" w:hAnsi="Arial"/>
                <w:sz w:val="20"/>
                <w:szCs w:val="20"/>
                <w:color w:val="auto"/>
              </w:rPr>
              <w:t>Stock-based compensation expense</w:t>
            </w:r>
          </w:p>
        </w:tc>
        <w:tc>
          <w:tcPr>
            <w:tcW w:w="13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1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13,334</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20" w:type="dxa"/>
            <w:vAlign w:val="bottom"/>
          </w:tcPr>
          <w:p>
            <w:pPr>
              <w:ind w:left="260"/>
              <w:spacing w:after="0"/>
              <w:rPr>
                <w:sz w:val="20"/>
                <w:szCs w:val="20"/>
                <w:color w:val="auto"/>
              </w:rPr>
            </w:pPr>
            <w:r>
              <w:rPr>
                <w:rFonts w:ascii="Arial" w:cs="Arial" w:eastAsia="Arial" w:hAnsi="Arial"/>
                <w:sz w:val="20"/>
                <w:szCs w:val="20"/>
                <w:color w:val="auto"/>
              </w:rPr>
              <w:t>Acquisition-related expenses, net, related to the TXI acquisition</w:t>
            </w:r>
          </w:p>
        </w:tc>
        <w:tc>
          <w:tcPr>
            <w:tcW w:w="1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160" w:type="dxa"/>
            <w:vAlign w:val="bottom"/>
          </w:tcPr>
          <w:p>
            <w:pPr>
              <w:jc w:val="right"/>
              <w:spacing w:after="0"/>
              <w:rPr>
                <w:sz w:val="20"/>
                <w:szCs w:val="20"/>
                <w:color w:val="auto"/>
              </w:rPr>
            </w:pPr>
            <w:r>
              <w:rPr>
                <w:rFonts w:ascii="Arial" w:cs="Arial" w:eastAsia="Arial" w:hAnsi="Arial"/>
                <w:sz w:val="20"/>
                <w:szCs w:val="20"/>
                <w:color w:val="auto"/>
              </w:rPr>
              <w:t>6,884</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20" w:type="dxa"/>
            <w:vAlign w:val="bottom"/>
            <w:shd w:val="clear" w:color="auto" w:fill="CFF0FC"/>
          </w:tcPr>
          <w:p>
            <w:pPr>
              <w:ind w:left="260"/>
              <w:spacing w:after="0"/>
              <w:rPr>
                <w:sz w:val="20"/>
                <w:szCs w:val="20"/>
                <w:color w:val="auto"/>
              </w:rPr>
            </w:pPr>
            <w:r>
              <w:rPr>
                <w:rFonts w:ascii="Arial" w:cs="Arial" w:eastAsia="Arial" w:hAnsi="Arial"/>
                <w:sz w:val="20"/>
                <w:szCs w:val="20"/>
                <w:color w:val="auto"/>
              </w:rPr>
              <w:t>Loss on divestiture and related expenses</w:t>
            </w:r>
          </w:p>
        </w:tc>
        <w:tc>
          <w:tcPr>
            <w:tcW w:w="13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1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29,888</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20" w:type="dxa"/>
            <w:vAlign w:val="bottom"/>
          </w:tcPr>
          <w:p>
            <w:pPr>
              <w:spacing w:after="0"/>
              <w:rPr>
                <w:sz w:val="20"/>
                <w:szCs w:val="20"/>
                <w:color w:val="auto"/>
              </w:rPr>
            </w:pPr>
            <w:r>
              <w:rPr>
                <w:rFonts w:ascii="Arial" w:cs="Arial" w:eastAsia="Arial" w:hAnsi="Arial"/>
                <w:sz w:val="20"/>
                <w:szCs w:val="20"/>
                <w:color w:val="auto"/>
              </w:rPr>
              <w:t>Deduct:</w:t>
            </w:r>
          </w:p>
        </w:tc>
        <w:tc>
          <w:tcPr>
            <w:tcW w:w="1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20" w:type="dxa"/>
            <w:vAlign w:val="bottom"/>
            <w:shd w:val="clear" w:color="auto" w:fill="CFF0FC"/>
          </w:tcPr>
          <w:p>
            <w:pPr>
              <w:ind w:left="260"/>
              <w:spacing w:after="0"/>
              <w:rPr>
                <w:sz w:val="20"/>
                <w:szCs w:val="20"/>
                <w:color w:val="auto"/>
              </w:rPr>
            </w:pPr>
            <w:r>
              <w:rPr>
                <w:rFonts w:ascii="Arial" w:cs="Arial" w:eastAsia="Arial" w:hAnsi="Arial"/>
                <w:sz w:val="20"/>
                <w:szCs w:val="20"/>
                <w:color w:val="auto"/>
              </w:rPr>
              <w:t>Interest income</w:t>
            </w:r>
          </w:p>
        </w:tc>
        <w:tc>
          <w:tcPr>
            <w:tcW w:w="13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280" w:type="dxa"/>
            <w:vAlign w:val="bottom"/>
            <w:gridSpan w:val="2"/>
            <w:shd w:val="clear" w:color="auto" w:fill="CFF0FC"/>
          </w:tcPr>
          <w:p>
            <w:pPr>
              <w:jc w:val="right"/>
              <w:ind w:right="60"/>
              <w:spacing w:after="0"/>
              <w:rPr>
                <w:sz w:val="20"/>
                <w:szCs w:val="20"/>
                <w:color w:val="auto"/>
              </w:rPr>
            </w:pPr>
            <w:r>
              <w:rPr>
                <w:rFonts w:ascii="Arial" w:cs="Arial" w:eastAsia="Arial" w:hAnsi="Arial"/>
                <w:sz w:val="20"/>
                <w:szCs w:val="20"/>
                <w:color w:val="auto"/>
              </w:rPr>
              <w:t>(369)</w:t>
            </w:r>
          </w:p>
        </w:tc>
        <w:tc>
          <w:tcPr>
            <w:tcW w:w="0" w:type="dxa"/>
            <w:vAlign w:val="bottom"/>
          </w:tcPr>
          <w:p>
            <w:pPr>
              <w:spacing w:after="0"/>
              <w:rPr>
                <w:sz w:val="1"/>
                <w:szCs w:val="1"/>
                <w:color w:val="auto"/>
              </w:rPr>
            </w:pPr>
          </w:p>
        </w:tc>
      </w:tr>
      <w:tr>
        <w:trPr>
          <w:trHeight w:val="277"/>
        </w:trPr>
        <w:tc>
          <w:tcPr>
            <w:tcW w:w="7620" w:type="dxa"/>
            <w:vAlign w:val="bottom"/>
            <w:tcBorders>
              <w:bottom w:val="single" w:sz="8" w:color="CFF0FC"/>
            </w:tcBorders>
          </w:tcPr>
          <w:p>
            <w:pPr>
              <w:spacing w:after="0"/>
              <w:rPr>
                <w:sz w:val="20"/>
                <w:szCs w:val="20"/>
                <w:color w:val="auto"/>
              </w:rPr>
            </w:pPr>
            <w:r>
              <w:rPr>
                <w:rFonts w:ascii="Arial" w:cs="Arial" w:eastAsia="Arial" w:hAnsi="Arial"/>
                <w:sz w:val="20"/>
                <w:szCs w:val="20"/>
                <w:color w:val="auto"/>
              </w:rPr>
              <w:t>Consolidated EBITDA, as defined</w:t>
            </w:r>
          </w:p>
        </w:tc>
        <w:tc>
          <w:tcPr>
            <w:tcW w:w="1340" w:type="dxa"/>
            <w:vAlign w:val="bottom"/>
            <w:tcBorders>
              <w:bottom w:val="single" w:sz="8" w:color="CFF0FC"/>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2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782,614</w:t>
            </w:r>
          </w:p>
        </w:tc>
        <w:tc>
          <w:tcPr>
            <w:tcW w:w="120" w:type="dxa"/>
            <w:vAlign w:val="bottom"/>
            <w:tcBorders>
              <w:bottom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7620" w:type="dxa"/>
            <w:vAlign w:val="bottom"/>
            <w:shd w:val="clear" w:color="auto" w:fill="CFF0FC"/>
          </w:tcPr>
          <w:p>
            <w:pPr>
              <w:spacing w:after="0" w:line="207" w:lineRule="exact"/>
              <w:rPr>
                <w:sz w:val="20"/>
                <w:szCs w:val="20"/>
                <w:color w:val="auto"/>
              </w:rPr>
            </w:pPr>
            <w:r>
              <w:rPr>
                <w:rFonts w:ascii="Arial" w:cs="Arial" w:eastAsia="Arial" w:hAnsi="Arial"/>
                <w:sz w:val="20"/>
                <w:szCs w:val="20"/>
                <w:color w:val="auto"/>
              </w:rPr>
              <w:t>Consolidated debt, including debt for which the Corporation is a co-borrower,</w:t>
            </w:r>
          </w:p>
        </w:tc>
        <w:tc>
          <w:tcPr>
            <w:tcW w:w="13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7620" w:type="dxa"/>
            <w:vAlign w:val="bottom"/>
            <w:shd w:val="clear" w:color="auto" w:fill="CFF0FC"/>
          </w:tcPr>
          <w:p>
            <w:pPr>
              <w:ind w:left="160"/>
              <w:spacing w:after="0"/>
              <w:rPr>
                <w:sz w:val="20"/>
                <w:szCs w:val="20"/>
                <w:color w:val="auto"/>
              </w:rPr>
            </w:pPr>
            <w:r>
              <w:rPr>
                <w:rFonts w:ascii="Arial" w:cs="Arial" w:eastAsia="Arial" w:hAnsi="Arial"/>
                <w:sz w:val="20"/>
                <w:szCs w:val="20"/>
                <w:color w:val="auto"/>
              </w:rPr>
              <w:t>at September 30, 2015</w:t>
            </w:r>
          </w:p>
        </w:tc>
        <w:tc>
          <w:tcPr>
            <w:tcW w:w="152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21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1,730,591</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62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20"/>
                <w:szCs w:val="20"/>
                <w:color w:val="auto"/>
              </w:rPr>
              <w:t>Consolidated debt to consolidated EBITDA, as defined, at September 30, 2015</w:t>
            </w:r>
          </w:p>
        </w:tc>
        <w:tc>
          <w:tcPr>
            <w:tcW w:w="13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7620" w:type="dxa"/>
            <w:vAlign w:val="bottom"/>
            <w:vMerge w:val="continue"/>
          </w:tcPr>
          <w:p>
            <w:pPr>
              <w:spacing w:after="0"/>
              <w:rPr>
                <w:sz w:val="17"/>
                <w:szCs w:val="17"/>
                <w:color w:val="auto"/>
              </w:rPr>
            </w:pPr>
          </w:p>
        </w:tc>
        <w:tc>
          <w:tcPr>
            <w:tcW w:w="1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7620" w:type="dxa"/>
            <w:vAlign w:val="bottom"/>
          </w:tcPr>
          <w:p>
            <w:pPr>
              <w:ind w:left="160"/>
              <w:spacing w:after="0"/>
              <w:rPr>
                <w:sz w:val="20"/>
                <w:szCs w:val="20"/>
                <w:color w:val="auto"/>
              </w:rPr>
            </w:pPr>
            <w:r>
              <w:rPr>
                <w:rFonts w:ascii="Arial" w:cs="Arial" w:eastAsia="Arial" w:hAnsi="Arial"/>
                <w:sz w:val="20"/>
                <w:szCs w:val="20"/>
                <w:color w:val="auto"/>
              </w:rPr>
              <w:t>for the trailing twelve months EBITDA</w:t>
            </w:r>
          </w:p>
        </w:tc>
        <w:tc>
          <w:tcPr>
            <w:tcW w:w="1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80" w:type="dxa"/>
            <w:vAlign w:val="bottom"/>
            <w:gridSpan w:val="2"/>
          </w:tcPr>
          <w:p>
            <w:pPr>
              <w:jc w:val="right"/>
              <w:ind w:right="140"/>
              <w:spacing w:after="0"/>
              <w:rPr>
                <w:sz w:val="20"/>
                <w:szCs w:val="20"/>
                <w:color w:val="auto"/>
              </w:rPr>
            </w:pPr>
            <w:r>
              <w:rPr>
                <w:rFonts w:ascii="Arial" w:cs="Arial" w:eastAsia="Arial" w:hAnsi="Arial"/>
                <w:sz w:val="20"/>
                <w:szCs w:val="20"/>
                <w:color w:val="auto"/>
              </w:rPr>
              <w:t>2.21x</w:t>
            </w:r>
          </w:p>
        </w:tc>
        <w:tc>
          <w:tcPr>
            <w:tcW w:w="0" w:type="dxa"/>
            <w:vAlign w:val="bottom"/>
          </w:tcPr>
          <w:p>
            <w:pPr>
              <w:spacing w:after="0"/>
              <w:rPr>
                <w:sz w:val="1"/>
                <w:szCs w:val="1"/>
                <w:color w:val="auto"/>
              </w:rPr>
            </w:pPr>
          </w:p>
        </w:tc>
      </w:tr>
      <w:tr>
        <w:trPr>
          <w:trHeight w:val="20"/>
        </w:trPr>
        <w:tc>
          <w:tcPr>
            <w:tcW w:w="76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5" w:lineRule="exact"/>
        <w:rPr>
          <w:sz w:val="20"/>
          <w:szCs w:val="20"/>
          <w:color w:val="auto"/>
        </w:rPr>
      </w:pPr>
    </w:p>
    <w:p>
      <w:pPr>
        <w:jc w:val="both"/>
        <w:ind w:right="20"/>
        <w:spacing w:after="0" w:line="386" w:lineRule="auto"/>
        <w:rPr>
          <w:sz w:val="20"/>
          <w:szCs w:val="20"/>
          <w:color w:val="auto"/>
        </w:rPr>
      </w:pPr>
      <w:r>
        <w:rPr>
          <w:rFonts w:ascii="Arial" w:cs="Arial" w:eastAsia="Arial" w:hAnsi="Arial"/>
          <w:sz w:val="16"/>
          <w:szCs w:val="16"/>
          <w:color w:val="auto"/>
        </w:rPr>
        <w:t>The Trade Receivable Facility contains a cross-default provision to the Corporation’s other debt agreements. In the event of a default on the Ratio, the lenders can terminate the Credit Agreement and Trade Receivable Facility and declare any outstanding balances as immediately due.</w:t>
      </w:r>
    </w:p>
    <w:p>
      <w:pPr>
        <w:spacing w:after="0" w:line="83"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Cash on hand, along with the Corporation’s projected internal cash flows and availability of financing resources, including its access to debt and equity capital markets, is expected to continue to be sufficient to provide the capital resources necessary to support anticipated operating needs, cover debt service requirements, meet capital expenditures and discretionary investment needs, fund certain acquisition opportunities that may arise and allow for payment of dividends for the foreseeable future. At September 30, 2015, the Corporation had $470 million of unused borrowing capacity under its Revolving Facility and Trade Receivable Facility, subject to complying with the related leverage covenant. The Revolving Facility expires on November 29, 2018 and the Trade Receivable Facility expires on September 30, 2016.</w:t>
      </w:r>
    </w:p>
    <w:p>
      <w:pPr>
        <w:spacing w:after="0" w:line="165"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The Corporation may be required to obtain financing to fund certain strategic acquisitions, if any such opportunities arise, or to refinance outstanding debt. Any strategic acquisition of size for cash would likely require an appropriate balance of newly-issued equity with debt in order to maintain a composite investment-grade credit rating. Furthermore, the Corporation is exposed to the credit markets, through the interest cost related to its variable-rate debt, which included borrowings under its Term Loan Facility at September 30, 2015. The Corporation is currently rated by three credit rating agencies; two of those agencies’ credit ratings are investment-grade level and the third agency’s credit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52 of 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2" w:name="page53"/>
    <w:bookmarkEnd w:id="52"/>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September 30, 2015</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rPr>
          <w:sz w:val="20"/>
          <w:szCs w:val="20"/>
          <w:color w:val="auto"/>
        </w:rPr>
      </w:pPr>
      <w:r>
        <w:rPr>
          <w:rFonts w:ascii="Arial" w:cs="Arial" w:eastAsia="Arial" w:hAnsi="Arial"/>
          <w:sz w:val="20"/>
          <w:szCs w:val="20"/>
          <w:color w:val="auto"/>
        </w:rPr>
        <w:t>Third Quarter Ended September 30, 2015</w:t>
      </w:r>
    </w:p>
    <w:p>
      <w:pPr>
        <w:jc w:val="center"/>
        <w:spacing w:after="0"/>
        <w:rPr>
          <w:sz w:val="20"/>
          <w:szCs w:val="20"/>
          <w:color w:val="auto"/>
        </w:rPr>
      </w:pPr>
      <w:r>
        <w:rPr>
          <w:rFonts w:ascii="Arial" w:cs="Arial" w:eastAsia="Arial" w:hAnsi="Arial"/>
          <w:sz w:val="20"/>
          <w:szCs w:val="20"/>
          <w:color w:val="auto"/>
        </w:rPr>
        <w:t>(Continued)</w:t>
      </w:r>
    </w:p>
    <w:p>
      <w:pPr>
        <w:spacing w:after="0" w:line="200" w:lineRule="exact"/>
        <w:rPr>
          <w:sz w:val="20"/>
          <w:szCs w:val="20"/>
          <w:color w:val="auto"/>
        </w:rPr>
      </w:pPr>
    </w:p>
    <w:p>
      <w:pPr>
        <w:spacing w:after="0" w:line="229"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color w:val="auto"/>
        </w:rPr>
        <w:t>rating is one level below investment grade. The Corporation’s composite credit rating remains at investment-grade level, which facilitates obtaining financing at lower rates than noninvestment-grade ratings.</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CONTRACTUAL AND OFF BALANCE SHEET OBLIGATIONS</w:t>
      </w:r>
    </w:p>
    <w:p>
      <w:pPr>
        <w:spacing w:after="0" w:line="216"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During the second quarter of 2015, the Corporation entered into an 18-month fixed price fuel contract which totaled $55.4 million and a 15-year railcar lease which totaled $24.8 million.</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3620" w:type="dxa"/>
            <w:vAlign w:val="bottom"/>
            <w:gridSpan w:val="2"/>
          </w:tcPr>
          <w:p>
            <w:pPr>
              <w:spacing w:after="0"/>
              <w:rPr>
                <w:sz w:val="20"/>
                <w:szCs w:val="20"/>
                <w:color w:val="auto"/>
              </w:rPr>
            </w:pPr>
            <w:r>
              <w:rPr>
                <w:rFonts w:ascii="Arial" w:cs="Arial" w:eastAsia="Arial" w:hAnsi="Arial"/>
                <w:sz w:val="20"/>
                <w:szCs w:val="20"/>
                <w:i w:val="1"/>
                <w:iCs w:val="1"/>
                <w:color w:val="auto"/>
              </w:rPr>
              <w:t>(Dollars in Thousands)</w:t>
            </w:r>
          </w:p>
        </w:tc>
        <w:tc>
          <w:tcPr>
            <w:tcW w:w="300" w:type="dxa"/>
            <w:vAlign w:val="bottom"/>
          </w:tcPr>
          <w:p>
            <w:pPr>
              <w:spacing w:after="0"/>
              <w:rPr>
                <w:sz w:val="21"/>
                <w:szCs w:val="21"/>
                <w:color w:val="auto"/>
              </w:rPr>
            </w:pPr>
          </w:p>
        </w:tc>
        <w:tc>
          <w:tcPr>
            <w:tcW w:w="1240" w:type="dxa"/>
            <w:vAlign w:val="bottom"/>
            <w:gridSpan w:val="2"/>
          </w:tcPr>
          <w:p>
            <w:pPr>
              <w:ind w:left="200"/>
              <w:spacing w:after="0"/>
              <w:rPr>
                <w:sz w:val="20"/>
                <w:szCs w:val="20"/>
                <w:color w:val="auto"/>
              </w:rPr>
            </w:pPr>
            <w:r>
              <w:rPr>
                <w:rFonts w:ascii="Arial" w:cs="Arial" w:eastAsia="Arial" w:hAnsi="Arial"/>
                <w:sz w:val="20"/>
                <w:szCs w:val="20"/>
                <w:color w:val="auto"/>
              </w:rPr>
              <w:t>Total</w:t>
            </w:r>
          </w:p>
        </w:tc>
        <w:tc>
          <w:tcPr>
            <w:tcW w:w="240" w:type="dxa"/>
            <w:vAlign w:val="bottom"/>
          </w:tcPr>
          <w:p>
            <w:pPr>
              <w:spacing w:after="0"/>
              <w:rPr>
                <w:sz w:val="21"/>
                <w:szCs w:val="21"/>
                <w:color w:val="auto"/>
              </w:rPr>
            </w:pPr>
          </w:p>
        </w:tc>
        <w:tc>
          <w:tcPr>
            <w:tcW w:w="1200" w:type="dxa"/>
            <w:vAlign w:val="bottom"/>
          </w:tcPr>
          <w:p>
            <w:pPr>
              <w:jc w:val="right"/>
              <w:ind w:right="301"/>
              <w:spacing w:after="0"/>
              <w:rPr>
                <w:sz w:val="20"/>
                <w:szCs w:val="20"/>
                <w:color w:val="auto"/>
              </w:rPr>
            </w:pPr>
            <w:r>
              <w:rPr>
                <w:rFonts w:ascii="Arial" w:cs="Arial" w:eastAsia="Arial" w:hAnsi="Arial"/>
                <w:sz w:val="20"/>
                <w:szCs w:val="20"/>
                <w:color w:val="auto"/>
              </w:rPr>
              <w:t>&lt; 1 Year</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gridSpan w:val="2"/>
          </w:tcPr>
          <w:p>
            <w:pPr>
              <w:ind w:left="80"/>
              <w:spacing w:after="0"/>
              <w:rPr>
                <w:sz w:val="20"/>
                <w:szCs w:val="20"/>
                <w:color w:val="auto"/>
              </w:rPr>
            </w:pPr>
            <w:r>
              <w:rPr>
                <w:rFonts w:ascii="Arial" w:cs="Arial" w:eastAsia="Arial" w:hAnsi="Arial"/>
                <w:sz w:val="20"/>
                <w:szCs w:val="20"/>
                <w:color w:val="auto"/>
              </w:rPr>
              <w:t>1 to 3 Years</w:t>
            </w:r>
          </w:p>
        </w:tc>
        <w:tc>
          <w:tcPr>
            <w:tcW w:w="180" w:type="dxa"/>
            <w:vAlign w:val="bottom"/>
          </w:tcPr>
          <w:p>
            <w:pPr>
              <w:spacing w:after="0"/>
              <w:rPr>
                <w:sz w:val="21"/>
                <w:szCs w:val="21"/>
                <w:color w:val="auto"/>
              </w:rPr>
            </w:pPr>
          </w:p>
        </w:tc>
        <w:tc>
          <w:tcPr>
            <w:tcW w:w="1380" w:type="dxa"/>
            <w:vAlign w:val="bottom"/>
            <w:gridSpan w:val="2"/>
          </w:tcPr>
          <w:p>
            <w:pPr>
              <w:ind w:left="80"/>
              <w:spacing w:after="0"/>
              <w:rPr>
                <w:sz w:val="20"/>
                <w:szCs w:val="20"/>
                <w:color w:val="auto"/>
              </w:rPr>
            </w:pPr>
            <w:r>
              <w:rPr>
                <w:rFonts w:ascii="Arial" w:cs="Arial" w:eastAsia="Arial" w:hAnsi="Arial"/>
                <w:sz w:val="20"/>
                <w:szCs w:val="20"/>
                <w:color w:val="auto"/>
              </w:rPr>
              <w:t>3 to 5 Years</w:t>
            </w:r>
          </w:p>
        </w:tc>
        <w:tc>
          <w:tcPr>
            <w:tcW w:w="240" w:type="dxa"/>
            <w:vAlign w:val="bottom"/>
          </w:tcPr>
          <w:p>
            <w:pPr>
              <w:spacing w:after="0"/>
              <w:rPr>
                <w:sz w:val="21"/>
                <w:szCs w:val="21"/>
                <w:color w:val="auto"/>
              </w:rPr>
            </w:pPr>
          </w:p>
        </w:tc>
        <w:tc>
          <w:tcPr>
            <w:tcW w:w="1360" w:type="dxa"/>
            <w:vAlign w:val="bottom"/>
            <w:gridSpan w:val="2"/>
          </w:tcPr>
          <w:p>
            <w:pPr>
              <w:ind w:left="120"/>
              <w:spacing w:after="0"/>
              <w:rPr>
                <w:sz w:val="20"/>
                <w:szCs w:val="20"/>
                <w:color w:val="auto"/>
              </w:rPr>
            </w:pPr>
            <w:r>
              <w:rPr>
                <w:rFonts w:ascii="Arial" w:cs="Arial" w:eastAsia="Arial" w:hAnsi="Arial"/>
                <w:sz w:val="20"/>
                <w:szCs w:val="20"/>
                <w:color w:val="auto"/>
              </w:rPr>
              <w:t>&gt; 5 Years</w:t>
            </w:r>
          </w:p>
        </w:tc>
      </w:tr>
      <w:tr>
        <w:trPr>
          <w:trHeight w:val="233"/>
        </w:trPr>
        <w:tc>
          <w:tcPr>
            <w:tcW w:w="20" w:type="dxa"/>
            <w:vAlign w:val="bottom"/>
          </w:tcPr>
          <w:p>
            <w:pPr>
              <w:spacing w:after="0"/>
              <w:rPr>
                <w:sz w:val="20"/>
                <w:szCs w:val="20"/>
                <w:color w:val="auto"/>
              </w:rPr>
            </w:pPr>
          </w:p>
        </w:tc>
        <w:tc>
          <w:tcPr>
            <w:tcW w:w="3600" w:type="dxa"/>
            <w:vAlign w:val="bottom"/>
            <w:tcBorders>
              <w:top w:val="single" w:sz="8" w:color="auto"/>
            </w:tcBorders>
          </w:tcPr>
          <w:p>
            <w:pPr>
              <w:spacing w:after="0"/>
              <w:rPr>
                <w:sz w:val="20"/>
                <w:szCs w:val="20"/>
                <w:color w:val="auto"/>
              </w:rPr>
            </w:pPr>
            <w:r>
              <w:rPr>
                <w:rFonts w:ascii="Arial" w:cs="Arial" w:eastAsia="Arial" w:hAnsi="Arial"/>
                <w:sz w:val="20"/>
                <w:szCs w:val="20"/>
                <w:color w:val="auto"/>
              </w:rPr>
              <w:t>Off Balance Sheet:</w:t>
            </w:r>
          </w:p>
        </w:tc>
        <w:tc>
          <w:tcPr>
            <w:tcW w:w="30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46"/>
        </w:trPr>
        <w:tc>
          <w:tcPr>
            <w:tcW w:w="3620" w:type="dxa"/>
            <w:vAlign w:val="bottom"/>
            <w:gridSpan w:val="2"/>
          </w:tcPr>
          <w:p>
            <w:pPr>
              <w:spacing w:after="0"/>
              <w:rPr>
                <w:sz w:val="20"/>
                <w:szCs w:val="20"/>
                <w:color w:val="auto"/>
              </w:rPr>
            </w:pPr>
            <w:r>
              <w:rPr>
                <w:rFonts w:ascii="Arial" w:cs="Arial" w:eastAsia="Arial" w:hAnsi="Arial"/>
                <w:sz w:val="20"/>
                <w:szCs w:val="20"/>
                <w:color w:val="auto"/>
              </w:rPr>
              <w:t>Operating lease - rail</w:t>
            </w:r>
          </w:p>
        </w:tc>
        <w:tc>
          <w:tcPr>
            <w:tcW w:w="300" w:type="dxa"/>
            <w:vAlign w:val="bottom"/>
          </w:tcPr>
          <w:p>
            <w:pPr>
              <w:jc w:val="right"/>
              <w:ind w:right="101"/>
              <w:spacing w:after="0"/>
              <w:rPr>
                <w:sz w:val="20"/>
                <w:szCs w:val="20"/>
                <w:color w:val="auto"/>
              </w:rPr>
            </w:pPr>
            <w:r>
              <w:rPr>
                <w:rFonts w:ascii="Arial" w:cs="Arial" w:eastAsia="Arial" w:hAnsi="Arial"/>
                <w:sz w:val="20"/>
                <w:szCs w:val="20"/>
                <w:color w:val="auto"/>
                <w:w w:val="71"/>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24,793</w:t>
            </w:r>
          </w:p>
        </w:tc>
        <w:tc>
          <w:tcPr>
            <w:tcW w:w="120" w:type="dxa"/>
            <w:vAlign w:val="bottom"/>
          </w:tcPr>
          <w:p>
            <w:pPr>
              <w:spacing w:after="0"/>
              <w:rPr>
                <w:sz w:val="21"/>
                <w:szCs w:val="21"/>
                <w:color w:val="auto"/>
              </w:rPr>
            </w:pPr>
          </w:p>
        </w:tc>
        <w:tc>
          <w:tcPr>
            <w:tcW w:w="240" w:type="dxa"/>
            <w:vAlign w:val="bottom"/>
          </w:tcPr>
          <w:p>
            <w:pPr>
              <w:jc w:val="right"/>
              <w:ind w:right="41"/>
              <w:spacing w:after="0"/>
              <w:rPr>
                <w:sz w:val="20"/>
                <w:szCs w:val="20"/>
                <w:color w:val="auto"/>
              </w:rPr>
            </w:pPr>
            <w:r>
              <w:rPr>
                <w:rFonts w:ascii="Arial" w:cs="Arial" w:eastAsia="Arial" w:hAnsi="Arial"/>
                <w:sz w:val="20"/>
                <w:szCs w:val="20"/>
                <w:color w:val="auto"/>
                <w:w w:val="71"/>
              </w:rPr>
              <w:t>$</w:t>
            </w:r>
          </w:p>
        </w:tc>
        <w:tc>
          <w:tcPr>
            <w:tcW w:w="1200" w:type="dxa"/>
            <w:vAlign w:val="bottom"/>
          </w:tcPr>
          <w:p>
            <w:pPr>
              <w:jc w:val="right"/>
              <w:spacing w:after="0"/>
              <w:rPr>
                <w:sz w:val="20"/>
                <w:szCs w:val="20"/>
                <w:color w:val="auto"/>
              </w:rPr>
            </w:pPr>
            <w:r>
              <w:rPr>
                <w:rFonts w:ascii="Arial" w:cs="Arial" w:eastAsia="Arial" w:hAnsi="Arial"/>
                <w:sz w:val="20"/>
                <w:szCs w:val="20"/>
                <w:color w:val="auto"/>
              </w:rPr>
              <w:t>1,653</w:t>
            </w:r>
          </w:p>
        </w:tc>
        <w:tc>
          <w:tcPr>
            <w:tcW w:w="28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280" w:type="dxa"/>
            <w:vAlign w:val="bottom"/>
          </w:tcPr>
          <w:p>
            <w:pPr>
              <w:jc w:val="right"/>
              <w:spacing w:after="0"/>
              <w:rPr>
                <w:sz w:val="20"/>
                <w:szCs w:val="20"/>
                <w:color w:val="auto"/>
              </w:rPr>
            </w:pPr>
            <w:r>
              <w:rPr>
                <w:rFonts w:ascii="Arial" w:cs="Arial" w:eastAsia="Arial" w:hAnsi="Arial"/>
                <w:sz w:val="20"/>
                <w:szCs w:val="20"/>
                <w:color w:val="auto"/>
              </w:rPr>
              <w:t>3,306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280" w:type="dxa"/>
            <w:vAlign w:val="bottom"/>
          </w:tcPr>
          <w:p>
            <w:pPr>
              <w:jc w:val="right"/>
              <w:spacing w:after="0"/>
              <w:rPr>
                <w:sz w:val="20"/>
                <w:szCs w:val="20"/>
                <w:color w:val="auto"/>
              </w:rPr>
            </w:pPr>
            <w:r>
              <w:rPr>
                <w:rFonts w:ascii="Arial" w:cs="Arial" w:eastAsia="Arial" w:hAnsi="Arial"/>
                <w:sz w:val="20"/>
                <w:szCs w:val="20"/>
                <w:color w:val="auto"/>
              </w:rPr>
              <w:t>3,306</w:t>
            </w:r>
          </w:p>
        </w:tc>
        <w:tc>
          <w:tcPr>
            <w:tcW w:w="100" w:type="dxa"/>
            <w:vAlign w:val="bottom"/>
          </w:tcPr>
          <w:p>
            <w:pPr>
              <w:spacing w:after="0"/>
              <w:rPr>
                <w:sz w:val="21"/>
                <w:szCs w:val="21"/>
                <w:color w:val="auto"/>
              </w:rPr>
            </w:pPr>
          </w:p>
        </w:tc>
        <w:tc>
          <w:tcPr>
            <w:tcW w:w="240" w:type="dxa"/>
            <w:vAlign w:val="bottom"/>
          </w:tcPr>
          <w:p>
            <w:pPr>
              <w:jc w:val="right"/>
              <w:ind w:right="41"/>
              <w:spacing w:after="0"/>
              <w:rPr>
                <w:sz w:val="20"/>
                <w:szCs w:val="20"/>
                <w:color w:val="auto"/>
              </w:rPr>
            </w:pPr>
            <w:r>
              <w:rPr>
                <w:rFonts w:ascii="Arial" w:cs="Arial" w:eastAsia="Arial" w:hAnsi="Arial"/>
                <w:sz w:val="20"/>
                <w:szCs w:val="20"/>
                <w:color w:val="auto"/>
                <w:w w:val="71"/>
              </w:rPr>
              <w:t>$</w:t>
            </w:r>
          </w:p>
        </w:tc>
        <w:tc>
          <w:tcPr>
            <w:tcW w:w="1240" w:type="dxa"/>
            <w:vAlign w:val="bottom"/>
          </w:tcPr>
          <w:p>
            <w:pPr>
              <w:jc w:val="right"/>
              <w:spacing w:after="0"/>
              <w:rPr>
                <w:sz w:val="20"/>
                <w:szCs w:val="20"/>
                <w:color w:val="auto"/>
              </w:rPr>
            </w:pPr>
            <w:r>
              <w:rPr>
                <w:rFonts w:ascii="Arial" w:cs="Arial" w:eastAsia="Arial" w:hAnsi="Arial"/>
                <w:sz w:val="20"/>
                <w:szCs w:val="20"/>
                <w:color w:val="auto"/>
              </w:rPr>
              <w:t>16,528</w:t>
            </w:r>
          </w:p>
        </w:tc>
        <w:tc>
          <w:tcPr>
            <w:tcW w:w="1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3600" w:type="dxa"/>
            <w:vAlign w:val="bottom"/>
            <w:shd w:val="clear" w:color="auto" w:fill="CFF0FC"/>
          </w:tcPr>
          <w:p>
            <w:pPr>
              <w:spacing w:after="0"/>
              <w:rPr>
                <w:sz w:val="20"/>
                <w:szCs w:val="20"/>
                <w:color w:val="auto"/>
              </w:rPr>
            </w:pPr>
            <w:r>
              <w:rPr>
                <w:rFonts w:ascii="Arial" w:cs="Arial" w:eastAsia="Arial" w:hAnsi="Arial"/>
                <w:sz w:val="20"/>
                <w:szCs w:val="20"/>
                <w:color w:val="auto"/>
              </w:rPr>
              <w:t>Purchase commitment - energy</w:t>
            </w: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55,409</w:t>
            </w:r>
          </w:p>
        </w:tc>
        <w:tc>
          <w:tcPr>
            <w:tcW w:w="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36,939</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18,470</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20"/>
                <w:szCs w:val="20"/>
                <w:color w:val="auto"/>
              </w:rPr>
              <w:t>—</w:t>
            </w:r>
          </w:p>
        </w:tc>
        <w:tc>
          <w:tcPr>
            <w:tcW w:w="24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140"/>
              <w:spacing w:after="0"/>
              <w:rPr>
                <w:sz w:val="20"/>
                <w:szCs w:val="20"/>
                <w:color w:val="auto"/>
              </w:rPr>
            </w:pPr>
            <w:r>
              <w:rPr>
                <w:rFonts w:ascii="Arial" w:cs="Arial" w:eastAsia="Arial" w:hAnsi="Arial"/>
                <w:sz w:val="20"/>
                <w:szCs w:val="20"/>
                <w:color w:val="auto"/>
              </w:rPr>
              <w:t>—</w:t>
            </w:r>
          </w:p>
        </w:tc>
      </w:tr>
      <w:tr>
        <w:trPr>
          <w:trHeight w:val="237"/>
        </w:trPr>
        <w:tc>
          <w:tcPr>
            <w:tcW w:w="3620" w:type="dxa"/>
            <w:vAlign w:val="bottom"/>
            <w:gridSpan w:val="2"/>
          </w:tcPr>
          <w:p>
            <w:pPr>
              <w:spacing w:after="0"/>
              <w:rPr>
                <w:sz w:val="20"/>
                <w:szCs w:val="20"/>
                <w:color w:val="auto"/>
              </w:rPr>
            </w:pPr>
            <w:r>
              <w:rPr>
                <w:rFonts w:ascii="Arial" w:cs="Arial" w:eastAsia="Arial" w:hAnsi="Arial"/>
                <w:sz w:val="20"/>
                <w:szCs w:val="20"/>
                <w:color w:val="auto"/>
              </w:rPr>
              <w:t>Total</w:t>
            </w:r>
          </w:p>
        </w:tc>
        <w:tc>
          <w:tcPr>
            <w:tcW w:w="300" w:type="dxa"/>
            <w:vAlign w:val="bottom"/>
            <w:tcBorders>
              <w:top w:val="single" w:sz="8" w:color="auto"/>
              <w:bottom w:val="single" w:sz="8" w:color="auto"/>
            </w:tcBorders>
          </w:tcPr>
          <w:p>
            <w:pPr>
              <w:jc w:val="right"/>
              <w:ind w:right="101"/>
              <w:spacing w:after="0"/>
              <w:rPr>
                <w:sz w:val="20"/>
                <w:szCs w:val="20"/>
                <w:color w:val="auto"/>
              </w:rPr>
            </w:pPr>
            <w:r>
              <w:rPr>
                <w:rFonts w:ascii="Arial" w:cs="Arial" w:eastAsia="Arial" w:hAnsi="Arial"/>
                <w:sz w:val="20"/>
                <w:szCs w:val="20"/>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80,202</w:t>
            </w:r>
          </w:p>
        </w:tc>
        <w:tc>
          <w:tcPr>
            <w:tcW w:w="12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20"/>
                <w:szCs w:val="20"/>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38,592</w:t>
            </w:r>
          </w:p>
        </w:tc>
        <w:tc>
          <w:tcPr>
            <w:tcW w:w="10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21,776</w:t>
            </w:r>
          </w:p>
        </w:tc>
        <w:tc>
          <w:tcPr>
            <w:tcW w:w="10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3,306</w:t>
            </w:r>
          </w:p>
        </w:tc>
        <w:tc>
          <w:tcPr>
            <w:tcW w:w="10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20"/>
                <w:szCs w:val="20"/>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16,528</w:t>
            </w:r>
          </w:p>
        </w:tc>
        <w:tc>
          <w:tcPr>
            <w:tcW w:w="12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07" w:lineRule="exact"/>
        <w:rPr>
          <w:sz w:val="20"/>
          <w:szCs w:val="20"/>
          <w:color w:val="auto"/>
        </w:rPr>
      </w:pPr>
    </w:p>
    <w:p>
      <w:pPr>
        <w:spacing w:after="0"/>
        <w:rPr>
          <w:sz w:val="20"/>
          <w:szCs w:val="20"/>
          <w:color w:val="auto"/>
        </w:rPr>
      </w:pPr>
      <w:r>
        <w:rPr>
          <w:rFonts w:ascii="Arial" w:cs="Arial" w:eastAsia="Arial" w:hAnsi="Arial"/>
          <w:sz w:val="20"/>
          <w:szCs w:val="20"/>
          <w:color w:val="auto"/>
        </w:rPr>
        <w:t>TRENDS AND RISKS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The Corporation outlined the risks associated with its business in its Annual Report on Form 10-K for the year ended December 31, 2014.</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Management continues to evaluate its exposure to all operating risks on an ongoing basis.</w:t>
      </w:r>
    </w:p>
    <w:p>
      <w:pPr>
        <w:spacing w:after="0" w:line="308" w:lineRule="exact"/>
        <w:rPr>
          <w:sz w:val="20"/>
          <w:szCs w:val="20"/>
          <w:color w:val="auto"/>
        </w:rPr>
      </w:pPr>
    </w:p>
    <w:p>
      <w:pPr>
        <w:spacing w:after="0"/>
        <w:rPr>
          <w:sz w:val="20"/>
          <w:szCs w:val="20"/>
          <w:color w:val="auto"/>
        </w:rPr>
      </w:pPr>
      <w:r>
        <w:rPr>
          <w:rFonts w:ascii="Arial" w:cs="Arial" w:eastAsia="Arial" w:hAnsi="Arial"/>
          <w:sz w:val="20"/>
          <w:szCs w:val="20"/>
          <w:color w:val="auto"/>
        </w:rPr>
        <w:t>OUTLOOK</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The Corporation is encouraged by positive trends in its business and markets, notably:</w:t>
      </w:r>
    </w:p>
    <w:p>
      <w:pPr>
        <w:spacing w:after="0" w:line="108" w:lineRule="exact"/>
        <w:rPr>
          <w:sz w:val="20"/>
          <w:szCs w:val="20"/>
          <w:color w:val="auto"/>
        </w:rPr>
      </w:pPr>
    </w:p>
    <w:p>
      <w:pPr>
        <w:ind w:left="960" w:hanging="452"/>
        <w:spacing w:after="0" w:line="260" w:lineRule="auto"/>
        <w:tabs>
          <w:tab w:leader="none" w:pos="960" w:val="left"/>
        </w:tabs>
        <w:numPr>
          <w:ilvl w:val="0"/>
          <w:numId w:val="36"/>
        </w:numPr>
        <w:rPr>
          <w:rFonts w:ascii="Arial" w:cs="Arial" w:eastAsia="Arial" w:hAnsi="Arial"/>
          <w:sz w:val="18"/>
          <w:szCs w:val="18"/>
          <w:color w:val="auto"/>
        </w:rPr>
      </w:pPr>
      <w:r>
        <w:rPr>
          <w:rFonts w:ascii="Arial" w:cs="Arial" w:eastAsia="Arial" w:hAnsi="Arial"/>
          <w:sz w:val="20"/>
          <w:szCs w:val="20"/>
          <w:color w:val="auto"/>
        </w:rPr>
        <w:t>Nonresidential construction is expected to grow in both the heavy industrial and commercial sectors. The Dodge Momentum Index remains high and signals continued growth.</w:t>
      </w:r>
    </w:p>
    <w:p>
      <w:pPr>
        <w:spacing w:after="0" w:line="68" w:lineRule="exact"/>
        <w:rPr>
          <w:rFonts w:ascii="Arial" w:cs="Arial" w:eastAsia="Arial" w:hAnsi="Arial"/>
          <w:sz w:val="18"/>
          <w:szCs w:val="18"/>
          <w:color w:val="auto"/>
        </w:rPr>
      </w:pPr>
    </w:p>
    <w:p>
      <w:pPr>
        <w:jc w:val="both"/>
        <w:ind w:left="960" w:hanging="452"/>
        <w:spacing w:after="0" w:line="246" w:lineRule="auto"/>
        <w:tabs>
          <w:tab w:leader="none" w:pos="960" w:val="left"/>
        </w:tabs>
        <w:numPr>
          <w:ilvl w:val="0"/>
          <w:numId w:val="36"/>
        </w:numPr>
        <w:rPr>
          <w:rFonts w:ascii="Arial" w:cs="Arial" w:eastAsia="Arial" w:hAnsi="Arial"/>
          <w:sz w:val="18"/>
          <w:szCs w:val="18"/>
          <w:color w:val="auto"/>
        </w:rPr>
      </w:pPr>
      <w:r>
        <w:rPr>
          <w:rFonts w:ascii="Arial" w:cs="Arial" w:eastAsia="Arial" w:hAnsi="Arial"/>
          <w:sz w:val="20"/>
          <w:szCs w:val="20"/>
          <w:color w:val="auto"/>
        </w:rPr>
        <w:t>Energy-related economic activity, including follow-on public and private construction activities in the Corporation’s primary markets, is anticipated to remain strong. Residential construction is expected to continue to grow, driven by historically low levels of construction activity over the previous several years, employment gains, low mortgage rates, significant lot absorption, higher multi-family rental rates and rising housing prices.</w:t>
      </w:r>
    </w:p>
    <w:p>
      <w:pPr>
        <w:spacing w:after="0" w:line="83" w:lineRule="exact"/>
        <w:rPr>
          <w:rFonts w:ascii="Arial" w:cs="Arial" w:eastAsia="Arial" w:hAnsi="Arial"/>
          <w:sz w:val="18"/>
          <w:szCs w:val="18"/>
          <w:color w:val="auto"/>
        </w:rPr>
      </w:pPr>
    </w:p>
    <w:p>
      <w:pPr>
        <w:jc w:val="both"/>
        <w:ind w:left="960" w:hanging="452"/>
        <w:spacing w:after="0" w:line="250" w:lineRule="auto"/>
        <w:tabs>
          <w:tab w:leader="none" w:pos="960" w:val="left"/>
        </w:tabs>
        <w:numPr>
          <w:ilvl w:val="0"/>
          <w:numId w:val="36"/>
        </w:numPr>
        <w:rPr>
          <w:rFonts w:ascii="Arial" w:cs="Arial" w:eastAsia="Arial" w:hAnsi="Arial"/>
          <w:sz w:val="18"/>
          <w:szCs w:val="18"/>
          <w:color w:val="auto"/>
        </w:rPr>
      </w:pPr>
      <w:r>
        <w:rPr>
          <w:rFonts w:ascii="Arial" w:cs="Arial" w:eastAsia="Arial" w:hAnsi="Arial"/>
          <w:sz w:val="20"/>
          <w:szCs w:val="20"/>
          <w:color w:val="auto"/>
        </w:rPr>
        <w:t>For the public sector, authorized highway funding from MAP-21 should remain stable compared with 2014. Additionally, state initiatives to finance infrastructure projects, including support from TIFIA, are expected to grow and continue to play an expanded role in public-sector activity.</w:t>
      </w:r>
    </w:p>
    <w:p>
      <w:pPr>
        <w:spacing w:after="0" w:line="18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significant amount of rainfall during the first half of the year coupled with capacity constraints is expected to delay a portion of weather-delayed shipments into 2016. Based on this expectation and external trends, the Corporation anticipates the following for the full year, which reflects the sale of the California cement operations:</w:t>
      </w:r>
    </w:p>
    <w:p>
      <w:pPr>
        <w:spacing w:after="0" w:line="78" w:lineRule="exact"/>
        <w:rPr>
          <w:sz w:val="20"/>
          <w:szCs w:val="20"/>
          <w:color w:val="auto"/>
        </w:rPr>
      </w:pPr>
    </w:p>
    <w:p>
      <w:pPr>
        <w:ind w:left="1280" w:right="5100" w:hanging="772"/>
        <w:spacing w:after="0" w:line="299" w:lineRule="auto"/>
        <w:tabs>
          <w:tab w:leader="none" w:pos="888" w:val="left"/>
        </w:tabs>
        <w:numPr>
          <w:ilvl w:val="0"/>
          <w:numId w:val="37"/>
        </w:numPr>
        <w:rPr>
          <w:rFonts w:ascii="Arial" w:cs="Arial" w:eastAsia="Arial" w:hAnsi="Arial"/>
          <w:sz w:val="16"/>
          <w:szCs w:val="16"/>
          <w:color w:val="auto"/>
        </w:rPr>
      </w:pPr>
      <w:r>
        <w:rPr>
          <w:rFonts w:ascii="Arial" w:cs="Arial" w:eastAsia="Arial" w:hAnsi="Arial"/>
          <w:sz w:val="16"/>
          <w:szCs w:val="16"/>
          <w:color w:val="auto"/>
        </w:rPr>
        <w:t xml:space="preserve">Aggregates end-use markets compared to 2014 levels are as follows: </w:t>
      </w:r>
      <w:r>
        <w:rPr>
          <w:rFonts w:ascii="Courier New" w:cs="Courier New" w:eastAsia="Courier New" w:hAnsi="Courier New"/>
          <w:sz w:val="16"/>
          <w:szCs w:val="16"/>
          <w:color w:val="auto"/>
        </w:rPr>
        <w:t xml:space="preserve">o </w:t>
      </w:r>
      <w:r>
        <w:rPr>
          <w:rFonts w:ascii="Arial" w:cs="Arial" w:eastAsia="Arial" w:hAnsi="Arial"/>
          <w:sz w:val="16"/>
          <w:szCs w:val="16"/>
          <w:color w:val="auto"/>
        </w:rPr>
        <w:t>Infrastructure market to increase in the low-single digits.</w:t>
      </w:r>
      <w:r>
        <w:rPr>
          <w:rFonts w:ascii="Courier New" w:cs="Courier New" w:eastAsia="Courier New" w:hAnsi="Courier New"/>
          <w:sz w:val="16"/>
          <w:szCs w:val="16"/>
          <w:color w:val="auto"/>
        </w:rPr>
        <w:t xml:space="preserve"> o </w:t>
      </w:r>
      <w:r>
        <w:rPr>
          <w:rFonts w:ascii="Arial" w:cs="Arial" w:eastAsia="Arial" w:hAnsi="Arial"/>
          <w:sz w:val="16"/>
          <w:szCs w:val="16"/>
          <w:color w:val="auto"/>
        </w:rPr>
        <w:t>Nonresidential market to increase in the mid-single digits.</w:t>
      </w:r>
      <w:r>
        <w:rPr>
          <w:rFonts w:ascii="Courier New" w:cs="Courier New" w:eastAsia="Courier New" w:hAnsi="Courier New"/>
          <w:sz w:val="16"/>
          <w:szCs w:val="16"/>
          <w:color w:val="auto"/>
        </w:rPr>
        <w:t xml:space="preserve"> o </w:t>
      </w:r>
      <w:r>
        <w:rPr>
          <w:rFonts w:ascii="Arial" w:cs="Arial" w:eastAsia="Arial" w:hAnsi="Arial"/>
          <w:sz w:val="16"/>
          <w:szCs w:val="16"/>
          <w:color w:val="auto"/>
        </w:rPr>
        <w:t>Residential market to experience a double-digit increase.</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53 of 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3" w:name="page54"/>
    <w:bookmarkEnd w:id="53"/>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September 30, 2015</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rPr>
          <w:sz w:val="20"/>
          <w:szCs w:val="20"/>
          <w:color w:val="auto"/>
        </w:rPr>
      </w:pPr>
      <w:r>
        <w:rPr>
          <w:rFonts w:ascii="Arial" w:cs="Arial" w:eastAsia="Arial" w:hAnsi="Arial"/>
          <w:sz w:val="20"/>
          <w:szCs w:val="20"/>
          <w:color w:val="auto"/>
        </w:rPr>
        <w:t>Third Quarter Ended September 30, 2015</w:t>
      </w:r>
    </w:p>
    <w:p>
      <w:pPr>
        <w:jc w:val="center"/>
        <w:spacing w:after="0"/>
        <w:rPr>
          <w:sz w:val="20"/>
          <w:szCs w:val="20"/>
          <w:color w:val="auto"/>
        </w:rPr>
      </w:pPr>
      <w:r>
        <w:rPr>
          <w:rFonts w:ascii="Arial" w:cs="Arial" w:eastAsia="Arial" w:hAnsi="Arial"/>
          <w:sz w:val="20"/>
          <w:szCs w:val="20"/>
          <w:color w:val="auto"/>
        </w:rPr>
        <w:t>(Continued)</w:t>
      </w:r>
    </w:p>
    <w:p>
      <w:pPr>
        <w:spacing w:after="0" w:line="213" w:lineRule="exact"/>
        <w:rPr>
          <w:sz w:val="20"/>
          <w:szCs w:val="20"/>
          <w:color w:val="auto"/>
        </w:rPr>
      </w:pPr>
    </w:p>
    <w:p>
      <w:pPr>
        <w:ind w:left="1660" w:hanging="382"/>
        <w:spacing w:after="0"/>
        <w:tabs>
          <w:tab w:leader="none" w:pos="1660" w:val="left"/>
        </w:tabs>
        <w:numPr>
          <w:ilvl w:val="1"/>
          <w:numId w:val="38"/>
        </w:numPr>
        <w:rPr>
          <w:rFonts w:ascii="Courier New" w:cs="Courier New" w:eastAsia="Courier New" w:hAnsi="Courier New"/>
          <w:sz w:val="20"/>
          <w:szCs w:val="20"/>
          <w:color w:val="auto"/>
        </w:rPr>
      </w:pPr>
      <w:r>
        <w:rPr>
          <w:rFonts w:ascii="Arial" w:cs="Arial" w:eastAsia="Arial" w:hAnsi="Arial"/>
          <w:sz w:val="20"/>
          <w:szCs w:val="20"/>
          <w:color w:val="auto"/>
        </w:rPr>
        <w:t>ChemRock/Rail market to remain relatively flat.</w:t>
      </w:r>
    </w:p>
    <w:p>
      <w:pPr>
        <w:spacing w:after="0" w:line="89" w:lineRule="exact"/>
        <w:rPr>
          <w:rFonts w:ascii="Courier New" w:cs="Courier New" w:eastAsia="Courier New" w:hAnsi="Courier New"/>
          <w:sz w:val="20"/>
          <w:szCs w:val="20"/>
          <w:color w:val="auto"/>
        </w:rPr>
      </w:pPr>
    </w:p>
    <w:p>
      <w:pPr>
        <w:ind w:left="880" w:hanging="372"/>
        <w:spacing w:after="0"/>
        <w:tabs>
          <w:tab w:leader="none" w:pos="880" w:val="left"/>
        </w:tabs>
        <w:numPr>
          <w:ilvl w:val="0"/>
          <w:numId w:val="38"/>
        </w:numPr>
        <w:rPr>
          <w:rFonts w:ascii="Arial" w:cs="Arial" w:eastAsia="Arial" w:hAnsi="Arial"/>
          <w:sz w:val="20"/>
          <w:szCs w:val="20"/>
          <w:color w:val="auto"/>
        </w:rPr>
      </w:pPr>
      <w:r>
        <w:rPr>
          <w:rFonts w:ascii="Arial" w:cs="Arial" w:eastAsia="Arial" w:hAnsi="Arial"/>
          <w:sz w:val="20"/>
          <w:szCs w:val="20"/>
          <w:color w:val="auto"/>
        </w:rPr>
        <w:t>Aggregates product line shipments to increase by 7% to 10% compared with 2014 levels.</w:t>
      </w:r>
    </w:p>
    <w:p>
      <w:pPr>
        <w:spacing w:after="0" w:line="107" w:lineRule="exact"/>
        <w:rPr>
          <w:rFonts w:ascii="Arial" w:cs="Arial" w:eastAsia="Arial" w:hAnsi="Arial"/>
          <w:sz w:val="20"/>
          <w:szCs w:val="20"/>
          <w:color w:val="auto"/>
        </w:rPr>
      </w:pPr>
    </w:p>
    <w:p>
      <w:pPr>
        <w:ind w:left="1660" w:hanging="382"/>
        <w:spacing w:after="0"/>
        <w:tabs>
          <w:tab w:leader="none" w:pos="1660" w:val="left"/>
        </w:tabs>
        <w:numPr>
          <w:ilvl w:val="1"/>
          <w:numId w:val="38"/>
        </w:numPr>
        <w:rPr>
          <w:rFonts w:ascii="Courier New" w:cs="Courier New" w:eastAsia="Courier New" w:hAnsi="Courier New"/>
          <w:sz w:val="20"/>
          <w:szCs w:val="20"/>
          <w:color w:val="auto"/>
        </w:rPr>
      </w:pPr>
      <w:r>
        <w:rPr>
          <w:rFonts w:ascii="Arial" w:cs="Arial" w:eastAsia="Arial" w:hAnsi="Arial"/>
          <w:sz w:val="20"/>
          <w:szCs w:val="20"/>
          <w:color w:val="auto"/>
        </w:rPr>
        <w:t>Heritage aggregates shipments to increase 3% to 5%.</w:t>
      </w:r>
    </w:p>
    <w:p>
      <w:pPr>
        <w:spacing w:after="0" w:line="89" w:lineRule="exact"/>
        <w:rPr>
          <w:rFonts w:ascii="Courier New" w:cs="Courier New" w:eastAsia="Courier New" w:hAnsi="Courier New"/>
          <w:sz w:val="20"/>
          <w:szCs w:val="20"/>
          <w:color w:val="auto"/>
        </w:rPr>
      </w:pPr>
    </w:p>
    <w:p>
      <w:pPr>
        <w:ind w:left="880" w:hanging="372"/>
        <w:spacing w:after="0"/>
        <w:tabs>
          <w:tab w:leader="none" w:pos="880" w:val="left"/>
        </w:tabs>
        <w:numPr>
          <w:ilvl w:val="0"/>
          <w:numId w:val="38"/>
        </w:numPr>
        <w:rPr>
          <w:rFonts w:ascii="Arial" w:cs="Arial" w:eastAsia="Arial" w:hAnsi="Arial"/>
          <w:sz w:val="20"/>
          <w:szCs w:val="20"/>
          <w:color w:val="auto"/>
        </w:rPr>
      </w:pPr>
      <w:r>
        <w:rPr>
          <w:rFonts w:ascii="Arial" w:cs="Arial" w:eastAsia="Arial" w:hAnsi="Arial"/>
          <w:sz w:val="20"/>
          <w:szCs w:val="20"/>
          <w:color w:val="auto"/>
        </w:rPr>
        <w:t>Aggregates product line pricing to increase by 7% to 9% compared with 2014.</w:t>
      </w:r>
    </w:p>
    <w:p>
      <w:pPr>
        <w:spacing w:after="0" w:line="107" w:lineRule="exact"/>
        <w:rPr>
          <w:rFonts w:ascii="Arial" w:cs="Arial" w:eastAsia="Arial" w:hAnsi="Arial"/>
          <w:sz w:val="20"/>
          <w:szCs w:val="20"/>
          <w:color w:val="auto"/>
        </w:rPr>
      </w:pPr>
    </w:p>
    <w:p>
      <w:pPr>
        <w:ind w:left="880" w:hanging="372"/>
        <w:spacing w:after="0"/>
        <w:tabs>
          <w:tab w:leader="none" w:pos="880" w:val="left"/>
        </w:tabs>
        <w:numPr>
          <w:ilvl w:val="0"/>
          <w:numId w:val="38"/>
        </w:numPr>
        <w:rPr>
          <w:rFonts w:ascii="Arial" w:cs="Arial" w:eastAsia="Arial" w:hAnsi="Arial"/>
          <w:sz w:val="20"/>
          <w:szCs w:val="20"/>
          <w:color w:val="auto"/>
        </w:rPr>
      </w:pPr>
      <w:r>
        <w:rPr>
          <w:rFonts w:ascii="Arial" w:cs="Arial" w:eastAsia="Arial" w:hAnsi="Arial"/>
          <w:sz w:val="20"/>
          <w:szCs w:val="20"/>
          <w:color w:val="auto"/>
        </w:rPr>
        <w:t>Aggregates product line production cost per ton shipped to remain relatively flat.</w:t>
      </w:r>
    </w:p>
    <w:p>
      <w:pPr>
        <w:spacing w:after="0" w:line="107" w:lineRule="exact"/>
        <w:rPr>
          <w:rFonts w:ascii="Arial" w:cs="Arial" w:eastAsia="Arial" w:hAnsi="Arial"/>
          <w:sz w:val="20"/>
          <w:szCs w:val="20"/>
          <w:color w:val="auto"/>
        </w:rPr>
      </w:pPr>
    </w:p>
    <w:p>
      <w:pPr>
        <w:ind w:left="880" w:hanging="372"/>
        <w:spacing w:after="0" w:line="260" w:lineRule="auto"/>
        <w:tabs>
          <w:tab w:leader="none" w:pos="880" w:val="left"/>
        </w:tabs>
        <w:numPr>
          <w:ilvl w:val="0"/>
          <w:numId w:val="38"/>
        </w:numPr>
        <w:rPr>
          <w:rFonts w:ascii="Arial" w:cs="Arial" w:eastAsia="Arial" w:hAnsi="Arial"/>
          <w:sz w:val="20"/>
          <w:szCs w:val="20"/>
          <w:color w:val="auto"/>
        </w:rPr>
      </w:pPr>
      <w:r>
        <w:rPr>
          <w:rFonts w:ascii="Arial" w:cs="Arial" w:eastAsia="Arial" w:hAnsi="Arial"/>
          <w:sz w:val="20"/>
          <w:szCs w:val="20"/>
          <w:color w:val="auto"/>
        </w:rPr>
        <w:t>Aggregates-related downstream product lines to generate between $875 million and $925 million of net sales and $80 million to $85 million of gross profit.</w:t>
      </w:r>
    </w:p>
    <w:p>
      <w:pPr>
        <w:spacing w:after="0" w:line="68" w:lineRule="exact"/>
        <w:rPr>
          <w:rFonts w:ascii="Arial" w:cs="Arial" w:eastAsia="Arial" w:hAnsi="Arial"/>
          <w:sz w:val="20"/>
          <w:szCs w:val="20"/>
          <w:color w:val="auto"/>
        </w:rPr>
      </w:pPr>
    </w:p>
    <w:p>
      <w:pPr>
        <w:ind w:left="880" w:hanging="372"/>
        <w:spacing w:after="0" w:line="260" w:lineRule="auto"/>
        <w:tabs>
          <w:tab w:leader="none" w:pos="880" w:val="left"/>
        </w:tabs>
        <w:numPr>
          <w:ilvl w:val="0"/>
          <w:numId w:val="38"/>
        </w:numPr>
        <w:rPr>
          <w:rFonts w:ascii="Arial" w:cs="Arial" w:eastAsia="Arial" w:hAnsi="Arial"/>
          <w:sz w:val="20"/>
          <w:szCs w:val="20"/>
          <w:color w:val="auto"/>
        </w:rPr>
      </w:pPr>
      <w:r>
        <w:rPr>
          <w:rFonts w:ascii="Arial" w:cs="Arial" w:eastAsia="Arial" w:hAnsi="Arial"/>
          <w:sz w:val="20"/>
          <w:szCs w:val="20"/>
          <w:color w:val="auto"/>
        </w:rPr>
        <w:t>Net sales for the Cement segment to be between $375 million and $400 million, generating $105 million to $110 million of gross profit.</w:t>
      </w:r>
    </w:p>
    <w:p>
      <w:pPr>
        <w:spacing w:after="0" w:line="68" w:lineRule="exact"/>
        <w:rPr>
          <w:rFonts w:ascii="Arial" w:cs="Arial" w:eastAsia="Arial" w:hAnsi="Arial"/>
          <w:sz w:val="20"/>
          <w:szCs w:val="20"/>
          <w:color w:val="auto"/>
        </w:rPr>
      </w:pPr>
    </w:p>
    <w:p>
      <w:pPr>
        <w:ind w:left="880" w:hanging="372"/>
        <w:spacing w:after="0" w:line="260" w:lineRule="auto"/>
        <w:tabs>
          <w:tab w:leader="none" w:pos="880" w:val="left"/>
        </w:tabs>
        <w:numPr>
          <w:ilvl w:val="0"/>
          <w:numId w:val="38"/>
        </w:numPr>
        <w:rPr>
          <w:rFonts w:ascii="Arial" w:cs="Arial" w:eastAsia="Arial" w:hAnsi="Arial"/>
          <w:sz w:val="20"/>
          <w:szCs w:val="20"/>
          <w:color w:val="auto"/>
        </w:rPr>
      </w:pPr>
      <w:r>
        <w:rPr>
          <w:rFonts w:ascii="Arial" w:cs="Arial" w:eastAsia="Arial" w:hAnsi="Arial"/>
          <w:sz w:val="20"/>
          <w:szCs w:val="20"/>
          <w:color w:val="auto"/>
        </w:rPr>
        <w:t>Net sales for the Magnesia Specialties segment to be between $235 million and $240 million, generating $80 million to $85 million of gross profit.</w:t>
      </w:r>
    </w:p>
    <w:p>
      <w:pPr>
        <w:spacing w:after="0" w:line="68" w:lineRule="exact"/>
        <w:rPr>
          <w:rFonts w:ascii="Arial" w:cs="Arial" w:eastAsia="Arial" w:hAnsi="Arial"/>
          <w:sz w:val="20"/>
          <w:szCs w:val="20"/>
          <w:color w:val="auto"/>
        </w:rPr>
      </w:pPr>
    </w:p>
    <w:p>
      <w:pPr>
        <w:ind w:left="880" w:right="20" w:hanging="372"/>
        <w:spacing w:after="0" w:line="260" w:lineRule="auto"/>
        <w:tabs>
          <w:tab w:leader="none" w:pos="880" w:val="left"/>
        </w:tabs>
        <w:numPr>
          <w:ilvl w:val="0"/>
          <w:numId w:val="38"/>
        </w:numPr>
        <w:rPr>
          <w:rFonts w:ascii="Arial" w:cs="Arial" w:eastAsia="Arial" w:hAnsi="Arial"/>
          <w:sz w:val="20"/>
          <w:szCs w:val="20"/>
          <w:color w:val="auto"/>
        </w:rPr>
      </w:pPr>
      <w:r>
        <w:rPr>
          <w:rFonts w:ascii="Arial" w:cs="Arial" w:eastAsia="Arial" w:hAnsi="Arial"/>
          <w:sz w:val="20"/>
          <w:szCs w:val="20"/>
          <w:color w:val="auto"/>
        </w:rPr>
        <w:t>SG&amp;A expenses as a percentage of net sales to be slightly above 6.0%, inclusive of an $18 million increase in heritage pension costs that resulted from lower discount rate.</w:t>
      </w:r>
    </w:p>
    <w:p>
      <w:pPr>
        <w:spacing w:after="0" w:line="68" w:lineRule="exact"/>
        <w:rPr>
          <w:rFonts w:ascii="Arial" w:cs="Arial" w:eastAsia="Arial" w:hAnsi="Arial"/>
          <w:sz w:val="20"/>
          <w:szCs w:val="20"/>
          <w:color w:val="auto"/>
        </w:rPr>
      </w:pPr>
    </w:p>
    <w:p>
      <w:pPr>
        <w:ind w:left="880" w:hanging="372"/>
        <w:spacing w:after="0"/>
        <w:tabs>
          <w:tab w:leader="none" w:pos="880" w:val="left"/>
        </w:tabs>
        <w:numPr>
          <w:ilvl w:val="0"/>
          <w:numId w:val="38"/>
        </w:numPr>
        <w:rPr>
          <w:rFonts w:ascii="Arial" w:cs="Arial" w:eastAsia="Arial" w:hAnsi="Arial"/>
          <w:sz w:val="20"/>
          <w:szCs w:val="20"/>
          <w:color w:val="auto"/>
        </w:rPr>
      </w:pPr>
      <w:r>
        <w:rPr>
          <w:rFonts w:ascii="Arial" w:cs="Arial" w:eastAsia="Arial" w:hAnsi="Arial"/>
          <w:sz w:val="20"/>
          <w:szCs w:val="20"/>
          <w:color w:val="auto"/>
        </w:rPr>
        <w:t>Interest expense to approximate $75 million to $80 million.</w:t>
      </w:r>
    </w:p>
    <w:p>
      <w:pPr>
        <w:spacing w:after="0" w:line="107" w:lineRule="exact"/>
        <w:rPr>
          <w:rFonts w:ascii="Arial" w:cs="Arial" w:eastAsia="Arial" w:hAnsi="Arial"/>
          <w:sz w:val="20"/>
          <w:szCs w:val="20"/>
          <w:color w:val="auto"/>
        </w:rPr>
      </w:pPr>
    </w:p>
    <w:p>
      <w:pPr>
        <w:ind w:left="880" w:hanging="372"/>
        <w:spacing w:after="0"/>
        <w:tabs>
          <w:tab w:leader="none" w:pos="880" w:val="left"/>
        </w:tabs>
        <w:numPr>
          <w:ilvl w:val="0"/>
          <w:numId w:val="38"/>
        </w:numPr>
        <w:rPr>
          <w:rFonts w:ascii="Arial" w:cs="Arial" w:eastAsia="Arial" w:hAnsi="Arial"/>
          <w:sz w:val="20"/>
          <w:szCs w:val="20"/>
          <w:color w:val="auto"/>
        </w:rPr>
      </w:pPr>
      <w:r>
        <w:rPr>
          <w:rFonts w:ascii="Arial" w:cs="Arial" w:eastAsia="Arial" w:hAnsi="Arial"/>
          <w:sz w:val="20"/>
          <w:szCs w:val="20"/>
          <w:color w:val="auto"/>
        </w:rPr>
        <w:t>Estimated effective income tax rate to approximate 31%, excluding discrete events.</w:t>
      </w:r>
    </w:p>
    <w:p>
      <w:pPr>
        <w:spacing w:after="0" w:line="107" w:lineRule="exact"/>
        <w:rPr>
          <w:rFonts w:ascii="Arial" w:cs="Arial" w:eastAsia="Arial" w:hAnsi="Arial"/>
          <w:sz w:val="20"/>
          <w:szCs w:val="20"/>
          <w:color w:val="auto"/>
        </w:rPr>
      </w:pPr>
    </w:p>
    <w:p>
      <w:pPr>
        <w:ind w:left="880" w:hanging="372"/>
        <w:spacing w:after="0" w:line="260" w:lineRule="auto"/>
        <w:tabs>
          <w:tab w:leader="none" w:pos="880" w:val="left"/>
        </w:tabs>
        <w:numPr>
          <w:ilvl w:val="0"/>
          <w:numId w:val="38"/>
        </w:numPr>
        <w:rPr>
          <w:rFonts w:ascii="Arial" w:cs="Arial" w:eastAsia="Arial" w:hAnsi="Arial"/>
          <w:sz w:val="20"/>
          <w:szCs w:val="20"/>
          <w:color w:val="auto"/>
        </w:rPr>
      </w:pPr>
      <w:r>
        <w:rPr>
          <w:rFonts w:ascii="Arial" w:cs="Arial" w:eastAsia="Arial" w:hAnsi="Arial"/>
          <w:sz w:val="20"/>
          <w:szCs w:val="20"/>
          <w:color w:val="auto"/>
        </w:rPr>
        <w:t>Consolidated EBITDA to range from $800 million to $820 million, exclusive of the loss on the California cement sale and related expenses and absent the early onset of winter weather in the Corporation’s markets</w:t>
      </w:r>
    </w:p>
    <w:p>
      <w:pPr>
        <w:spacing w:after="0" w:line="68" w:lineRule="exact"/>
        <w:rPr>
          <w:rFonts w:ascii="Arial" w:cs="Arial" w:eastAsia="Arial" w:hAnsi="Arial"/>
          <w:sz w:val="20"/>
          <w:szCs w:val="20"/>
          <w:color w:val="auto"/>
        </w:rPr>
      </w:pPr>
    </w:p>
    <w:p>
      <w:pPr>
        <w:ind w:left="880" w:hanging="372"/>
        <w:spacing w:after="0"/>
        <w:tabs>
          <w:tab w:leader="none" w:pos="880" w:val="left"/>
        </w:tabs>
        <w:numPr>
          <w:ilvl w:val="0"/>
          <w:numId w:val="38"/>
        </w:numPr>
        <w:rPr>
          <w:rFonts w:ascii="Arial" w:cs="Arial" w:eastAsia="Arial" w:hAnsi="Arial"/>
          <w:sz w:val="20"/>
          <w:szCs w:val="20"/>
          <w:color w:val="auto"/>
        </w:rPr>
      </w:pPr>
      <w:r>
        <w:rPr>
          <w:rFonts w:ascii="Arial" w:cs="Arial" w:eastAsia="Arial" w:hAnsi="Arial"/>
          <w:sz w:val="20"/>
          <w:szCs w:val="20"/>
          <w:color w:val="auto"/>
        </w:rPr>
        <w:t>Cash taxes paid to approximate $65 million.</w:t>
      </w:r>
    </w:p>
    <w:p>
      <w:pPr>
        <w:spacing w:after="0" w:line="107" w:lineRule="exact"/>
        <w:rPr>
          <w:rFonts w:ascii="Arial" w:cs="Arial" w:eastAsia="Arial" w:hAnsi="Arial"/>
          <w:sz w:val="20"/>
          <w:szCs w:val="20"/>
          <w:color w:val="auto"/>
        </w:rPr>
      </w:pPr>
    </w:p>
    <w:p>
      <w:pPr>
        <w:ind w:left="880" w:hanging="372"/>
        <w:spacing w:after="0" w:line="260" w:lineRule="auto"/>
        <w:tabs>
          <w:tab w:leader="none" w:pos="880" w:val="left"/>
        </w:tabs>
        <w:numPr>
          <w:ilvl w:val="0"/>
          <w:numId w:val="38"/>
        </w:numPr>
        <w:rPr>
          <w:rFonts w:ascii="Arial" w:cs="Arial" w:eastAsia="Arial" w:hAnsi="Arial"/>
          <w:sz w:val="20"/>
          <w:szCs w:val="20"/>
          <w:color w:val="auto"/>
        </w:rPr>
      </w:pPr>
      <w:r>
        <w:rPr>
          <w:rFonts w:ascii="Arial" w:cs="Arial" w:eastAsia="Arial" w:hAnsi="Arial"/>
          <w:sz w:val="20"/>
          <w:szCs w:val="20"/>
          <w:color w:val="auto"/>
        </w:rPr>
        <w:t>Capital expenditures to range from $330 million to $350 million, including $35 million of synergy-related capital and approximately $80 million for Medina limestone quarry.</w:t>
      </w:r>
    </w:p>
    <w:p>
      <w:pPr>
        <w:spacing w:after="0" w:line="177"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The Corporation has started framing a preliminary 2016 outlook for its aggregates end-use markets based on its internal observations in conjunction with McGraw Hill Construction’s economic forecast. The Corporation currently expects the following:</w:t>
      </w:r>
    </w:p>
    <w:p>
      <w:pPr>
        <w:spacing w:after="0" w:line="69" w:lineRule="exact"/>
        <w:rPr>
          <w:sz w:val="20"/>
          <w:szCs w:val="20"/>
          <w:color w:val="auto"/>
        </w:rPr>
      </w:pPr>
    </w:p>
    <w:p>
      <w:pPr>
        <w:ind w:left="960" w:hanging="385"/>
        <w:spacing w:after="0"/>
        <w:tabs>
          <w:tab w:leader="none" w:pos="960" w:val="left"/>
        </w:tabs>
        <w:numPr>
          <w:ilvl w:val="0"/>
          <w:numId w:val="39"/>
        </w:numPr>
        <w:rPr>
          <w:rFonts w:ascii="Arial" w:cs="Arial" w:eastAsia="Arial" w:hAnsi="Arial"/>
          <w:sz w:val="20"/>
          <w:szCs w:val="20"/>
          <w:color w:val="auto"/>
        </w:rPr>
      </w:pPr>
      <w:r>
        <w:rPr>
          <w:rFonts w:ascii="Arial" w:cs="Arial" w:eastAsia="Arial" w:hAnsi="Arial"/>
          <w:sz w:val="20"/>
          <w:szCs w:val="20"/>
          <w:color w:val="auto"/>
        </w:rPr>
        <w:t>Infrastructure market to increase slightly.</w:t>
      </w:r>
    </w:p>
    <w:p>
      <w:pPr>
        <w:spacing w:after="0" w:line="107" w:lineRule="exact"/>
        <w:rPr>
          <w:rFonts w:ascii="Arial" w:cs="Arial" w:eastAsia="Arial" w:hAnsi="Arial"/>
          <w:sz w:val="20"/>
          <w:szCs w:val="20"/>
          <w:color w:val="auto"/>
        </w:rPr>
      </w:pPr>
    </w:p>
    <w:p>
      <w:pPr>
        <w:ind w:left="960" w:hanging="385"/>
        <w:spacing w:after="0"/>
        <w:tabs>
          <w:tab w:leader="none" w:pos="960" w:val="left"/>
        </w:tabs>
        <w:numPr>
          <w:ilvl w:val="0"/>
          <w:numId w:val="39"/>
        </w:numPr>
        <w:rPr>
          <w:rFonts w:ascii="Arial" w:cs="Arial" w:eastAsia="Arial" w:hAnsi="Arial"/>
          <w:sz w:val="20"/>
          <w:szCs w:val="20"/>
          <w:color w:val="auto"/>
        </w:rPr>
      </w:pPr>
      <w:r>
        <w:rPr>
          <w:rFonts w:ascii="Arial" w:cs="Arial" w:eastAsia="Arial" w:hAnsi="Arial"/>
          <w:sz w:val="20"/>
          <w:szCs w:val="20"/>
          <w:color w:val="auto"/>
        </w:rPr>
        <w:t>Nonresidential market to increase slightly.</w:t>
      </w:r>
    </w:p>
    <w:p>
      <w:pPr>
        <w:spacing w:after="0" w:line="107" w:lineRule="exact"/>
        <w:rPr>
          <w:rFonts w:ascii="Arial" w:cs="Arial" w:eastAsia="Arial" w:hAnsi="Arial"/>
          <w:sz w:val="20"/>
          <w:szCs w:val="20"/>
          <w:color w:val="auto"/>
        </w:rPr>
      </w:pPr>
    </w:p>
    <w:p>
      <w:pPr>
        <w:ind w:left="960" w:hanging="385"/>
        <w:spacing w:after="0"/>
        <w:tabs>
          <w:tab w:leader="none" w:pos="960" w:val="left"/>
        </w:tabs>
        <w:numPr>
          <w:ilvl w:val="0"/>
          <w:numId w:val="39"/>
        </w:numPr>
        <w:rPr>
          <w:rFonts w:ascii="Arial" w:cs="Arial" w:eastAsia="Arial" w:hAnsi="Arial"/>
          <w:sz w:val="20"/>
          <w:szCs w:val="20"/>
          <w:color w:val="auto"/>
        </w:rPr>
      </w:pPr>
      <w:r>
        <w:rPr>
          <w:rFonts w:ascii="Arial" w:cs="Arial" w:eastAsia="Arial" w:hAnsi="Arial"/>
          <w:sz w:val="20"/>
          <w:szCs w:val="20"/>
          <w:color w:val="auto"/>
        </w:rPr>
        <w:t>Residential market to experience a double-digit increase.</w:t>
      </w:r>
    </w:p>
    <w:p>
      <w:pPr>
        <w:spacing w:after="0" w:line="107" w:lineRule="exact"/>
        <w:rPr>
          <w:rFonts w:ascii="Arial" w:cs="Arial" w:eastAsia="Arial" w:hAnsi="Arial"/>
          <w:sz w:val="20"/>
          <w:szCs w:val="20"/>
          <w:color w:val="auto"/>
        </w:rPr>
      </w:pPr>
    </w:p>
    <w:p>
      <w:pPr>
        <w:ind w:left="960" w:hanging="385"/>
        <w:spacing w:after="0"/>
        <w:tabs>
          <w:tab w:leader="none" w:pos="960" w:val="left"/>
        </w:tabs>
        <w:numPr>
          <w:ilvl w:val="0"/>
          <w:numId w:val="39"/>
        </w:numPr>
        <w:rPr>
          <w:rFonts w:ascii="Arial" w:cs="Arial" w:eastAsia="Arial" w:hAnsi="Arial"/>
          <w:sz w:val="20"/>
          <w:szCs w:val="20"/>
          <w:color w:val="auto"/>
        </w:rPr>
      </w:pPr>
      <w:r>
        <w:rPr>
          <w:rFonts w:ascii="Arial" w:cs="Arial" w:eastAsia="Arial" w:hAnsi="Arial"/>
          <w:sz w:val="20"/>
          <w:szCs w:val="20"/>
          <w:color w:val="auto"/>
        </w:rPr>
        <w:t>ChemRock/Rail market to remain relatively flat.</w:t>
      </w:r>
    </w:p>
    <w:p>
      <w:pPr>
        <w:spacing w:after="0" w:line="256"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While the Corporation is optimistic regarding the passage of a multi-year highway bill, it has excluded any increase in infrastructure construction activity in its 2016 outlook.</w:t>
      </w:r>
    </w:p>
    <w:p>
      <w:pPr>
        <w:spacing w:after="0" w:line="96"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The Corporation’s outlook for the cement industry is largely consistent with PCA’s forecast. Cement demand in Texas is forecasted to be up 4% in 2016.</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54 of 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4" w:name="page55"/>
    <w:bookmarkEnd w:id="54"/>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September 30, 2015</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rPr>
          <w:sz w:val="20"/>
          <w:szCs w:val="20"/>
          <w:color w:val="auto"/>
        </w:rPr>
      </w:pPr>
      <w:r>
        <w:rPr>
          <w:rFonts w:ascii="Arial" w:cs="Arial" w:eastAsia="Arial" w:hAnsi="Arial"/>
          <w:sz w:val="20"/>
          <w:szCs w:val="20"/>
          <w:color w:val="auto"/>
        </w:rPr>
        <w:t>Third Quarter Ended September 30, 2015</w:t>
      </w:r>
    </w:p>
    <w:p>
      <w:pPr>
        <w:jc w:val="center"/>
        <w:spacing w:after="0"/>
        <w:rPr>
          <w:sz w:val="20"/>
          <w:szCs w:val="20"/>
          <w:color w:val="auto"/>
        </w:rPr>
      </w:pPr>
      <w:r>
        <w:rPr>
          <w:rFonts w:ascii="Arial" w:cs="Arial" w:eastAsia="Arial" w:hAnsi="Arial"/>
          <w:sz w:val="20"/>
          <w:szCs w:val="20"/>
          <w:color w:val="auto"/>
        </w:rPr>
        <w:t>(Continued)</w:t>
      </w:r>
    </w:p>
    <w:p>
      <w:pPr>
        <w:spacing w:after="0" w:line="200" w:lineRule="exact"/>
        <w:rPr>
          <w:sz w:val="20"/>
          <w:szCs w:val="20"/>
          <w:color w:val="auto"/>
        </w:rPr>
      </w:pP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outlook includes management’s assessment of the likelihood of certain risks and uncertainties that will affect performance. The most significant risks to the Corporation’s performance will be Congress’ actions and timing surrounding federal highway funding and uncertainty over the funding mechanism for the Highway Trust Fund. Congress recently extended federal highway funding through continuing resolution through November 20, 2015. Additionally, all of the Corporation’s businesses are also subject to weather-related risks that can significantly affect production schedules and profitability. The first and fourth quarters are most adversely affected by winter weather. Hurricane activity in the Atlantic Ocean and Gulf Coast generally is most active during the third and fourth quarters. Further, a decline in consumer confidence may negatively impact investment in construction projects. While both MAP-21 and TIFIA credit assistance are excluded from the U.S. debt ceiling limit, this issue may have a significant impact on the economy and, consequently, construction activity. Other risks and uncertainties related to the Corporation’s future performance include, but are not limited to: both price and volume, and a recurrence of widespread decline in aggregates volume negatively affecting aggregates price; the termination, capping and/or reduction of the federal and/or state gasoline tax(es) or other revenue related to infrastructure construction; a significant change in the funding patterns for traditional federal, state and/or local infrastructure projects; a reduction in defense spending, and the subsequent impact on construction activity on or near military bases; a decline in nonresidential construction; a decline in energy-related drilling activity resulting from a sustained period of low global oil prices or changes in oil production patterns in response to this decline and certain regulatory or other economic factors; a slowdown in the residential construction recovery, or some combination thereof; a reduction in economic activity in the Corporation’s Midwest states resulting from reduced funding levels provided by the Agricultural Act of 2014 and a reduction in capital investment by the railroads; an increase in the cost of compliance with governmental laws and regulations; unexpected equipment failures, unscheduled maintenance, industrial accident or other prolonged and/or significant disruption to the Corporation’s cement production facilities; and the possibility that certain expected synergies and operating efficiencies in connection with the TXI acquisition are not realized within the expected time frames or at all. Further, increased highway construction funding pressures resulting from either federal or state issues can affect profitability. If these negatively affect transportation budgets more than in the past, construction spending could be reduced. Cement is subject to cyclical supply and demand and price fluctuations. The Magnesia Specialties business essentially runs at capacity; therefore, any unplanned changes in costs or realignment of customers introduce volatility to the earnings of this segment.</w:t>
      </w:r>
    </w:p>
    <w:p>
      <w:pPr>
        <w:spacing w:after="0" w:line="181"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The Corporation’s principal business serves customers in aggregates-related construction markets. This concentration could increase the risk of potential losses on customer receivables; however, payment bonds normally posted on public projects, together with lien rights on private projects, help to mitigate the risk of uncollectible receivables. The level of aggregates demand in the Corporation’s end-use markets, production levels and the management of production costs will affect the operating leverage of the Aggregates business and, therefore, profitability. Production costs in the Aggregates business are also sensitive to energy and raw material prices, both directly and indirectly. Diesel fuel and other consumables change production costs directly through consumption or indirectly by increased energy-related input costs, such as steel, explosives, tires and conveyor belts. Fluctuating diesel fuel pricing also affects transportation costs, primarily through fuel surcharges in the Corporation’s long-haul distribution network. The Cement business is also energy intensive and fluctuations in the price of coal affects costs. The Magnesia Specialties business is sensitive to changes in domestic steel capacity utilization and the absolute price and fluctuations in the cost of natural gas.</w:t>
      </w:r>
    </w:p>
    <w:p>
      <w:pPr>
        <w:spacing w:after="0" w:line="181"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Transportation in the Corporation’s long-haul network, particularly the supply of railcars and locomotive power and condition of rail infrastructure to move trains, affects the Corporation’s ability to efficiently transport aggregate into</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55 of 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5" w:name="page56"/>
    <w:bookmarkEnd w:id="55"/>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September 30, 2015</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rPr>
          <w:sz w:val="20"/>
          <w:szCs w:val="20"/>
          <w:color w:val="auto"/>
        </w:rPr>
      </w:pPr>
      <w:r>
        <w:rPr>
          <w:rFonts w:ascii="Arial" w:cs="Arial" w:eastAsia="Arial" w:hAnsi="Arial"/>
          <w:sz w:val="20"/>
          <w:szCs w:val="20"/>
          <w:color w:val="auto"/>
        </w:rPr>
        <w:t>Third Quarter Ended September 30, 2015</w:t>
      </w:r>
    </w:p>
    <w:p>
      <w:pPr>
        <w:jc w:val="center"/>
        <w:spacing w:after="0"/>
        <w:rPr>
          <w:sz w:val="20"/>
          <w:szCs w:val="20"/>
          <w:color w:val="auto"/>
        </w:rPr>
      </w:pPr>
      <w:r>
        <w:rPr>
          <w:rFonts w:ascii="Arial" w:cs="Arial" w:eastAsia="Arial" w:hAnsi="Arial"/>
          <w:sz w:val="20"/>
          <w:szCs w:val="20"/>
          <w:color w:val="auto"/>
        </w:rPr>
        <w:t>(Continued)</w:t>
      </w:r>
    </w:p>
    <w:p>
      <w:pPr>
        <w:spacing w:after="0" w:line="200" w:lineRule="exact"/>
        <w:rPr>
          <w:sz w:val="20"/>
          <w:szCs w:val="20"/>
          <w:color w:val="auto"/>
        </w:rPr>
      </w:pPr>
    </w:p>
    <w:p>
      <w:pPr>
        <w:spacing w:after="0" w:line="229"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certain markets, most notably Texas, Florida and the Gulf Coast. The Corporation’s new Medina limestone quarry is dependent on rail-movement for substantially all of its products. In addition, availability of railcars and locomotives affects the Corporation’s ability to move dolomitic lime, a key raw material for magnesia chemicals, to both the Corporation’s plant in Manistee, Michigan, and customers. The availability of trucks, drivers and railcars to transport the Corporation’s products, particularly in markets experiencing high growth and increased demand, is also a risk and pressures the associated costs.</w:t>
      </w:r>
    </w:p>
    <w:p>
      <w:pPr>
        <w:spacing w:after="0" w:line="195"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Risks to the outlook also include shipment declines as a result of economic events beyond the Corporation’s control. In addition to the impact on nonresidential and residential construction, the Corporation is exposed to risk in its estimated outlook from credit markets and the availability of and interest cost related to its debt.</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color w:val="auto"/>
        </w:rPr>
        <w:t>The Corporation’s future performance is also exposed to risks from tax reform at the federal and state levels.</w:t>
      </w:r>
    </w:p>
    <w:p>
      <w:pPr>
        <w:spacing w:after="0" w:line="324" w:lineRule="exact"/>
        <w:rPr>
          <w:sz w:val="20"/>
          <w:szCs w:val="20"/>
          <w:color w:val="auto"/>
        </w:rPr>
      </w:pPr>
    </w:p>
    <w:p>
      <w:pPr>
        <w:spacing w:after="0"/>
        <w:rPr>
          <w:sz w:val="20"/>
          <w:szCs w:val="20"/>
          <w:color w:val="auto"/>
        </w:rPr>
      </w:pPr>
      <w:r>
        <w:rPr>
          <w:rFonts w:ascii="Arial" w:cs="Arial" w:eastAsia="Arial" w:hAnsi="Arial"/>
          <w:sz w:val="20"/>
          <w:szCs w:val="20"/>
          <w:color w:val="auto"/>
        </w:rPr>
        <w:t>OTHER MATTERS</w:t>
      </w:r>
    </w:p>
    <w:p>
      <w:pPr>
        <w:spacing w:after="0" w:line="216"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If you are interested in Martin Marietta stock, management recommends that, at a minimum, you read the Corporation’s current annual report and Forms 10-K, 10-Q and 8-K reports to the Securities and Exchange Commission (SEC) over the past year. The Corporation’s recent proxy statement for the annual meeting of shareholders also contains important information. These and other materials that have been filed with the SEC are accessible through the Corporation’s website at www.martinmarietta.com and are also available at the SEC’s website at www.sec.gov. You may also write or call the Corporation’s Corporate Secretary, who will provide copies of such reports.</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Investors are cautioned that all statements in this Form 10-Q that relate to the future involve risks and uncertainties, and are based on assumptions that the Corporation believes in good faith are reasonable but which may be materially different from actual results. Forward-looking statements give the investor management’s expectations or forecasts of future events. You can identify these statements by the fact that they do not relate only to historical or current facts. They may use words such as "anticipate," "expect," "should be," "believe," “will”, and other words of similar meaning in connection with future events or future operating or financial performance. Any or all of management’s forward-looking statements here and in other publications may turn out to be wrong.</w:t>
      </w:r>
    </w:p>
    <w:p>
      <w:pPr>
        <w:spacing w:after="0" w:line="17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Factors that the Corporation currently believes could cause actual results to differ materially from the forward-looking statements in this Form 10-Q include, but are not limited to, Congress’ actions and timing surrounding federal highway funding and uncertainty over the funding mechanism for the Highway Trust Fund; the performance of the United States economy and the resolution and impact of the debt ceiling and sequestration issues; widespread decline in aggregates pricing; the history of both cement and ready mixed concrete, to be subject to significant changes in supply, demand and price; the termination, capping and/or reduction of the federal and/or state gasoline tax(es) or other revenue related to infrastructure construction; the level and timing of federal and state transportation funding, most particularly in Texas, North Carolina, Iowa, Colorado and Georgia; the ability of states and/or other entities to finance approved projects either with tax revenues or alternative financing structures; levels of construction spending in the markets the Corporation serves; a reduction in defense spending, and the subsequent impact on construction activity on or near military bases; a decline in the commercial component of the nonresidential construction market, notably office and retail space; a slowdown in energy-related drilling activity, particularly in Texas; a slowdown in residential construction recovery; a reduction in construction activity and related shipments due to a decline in funding under the domestic farm</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56 of 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6" w:name="page57"/>
    <w:bookmarkEnd w:id="56"/>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September 30, 2015</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rPr>
          <w:sz w:val="20"/>
          <w:szCs w:val="20"/>
          <w:color w:val="auto"/>
        </w:rPr>
      </w:pPr>
      <w:r>
        <w:rPr>
          <w:rFonts w:ascii="Arial" w:cs="Arial" w:eastAsia="Arial" w:hAnsi="Arial"/>
          <w:sz w:val="20"/>
          <w:szCs w:val="20"/>
          <w:color w:val="auto"/>
        </w:rPr>
        <w:t>Third Quarter Ended September 30, 2015</w:t>
      </w:r>
    </w:p>
    <w:p>
      <w:pPr>
        <w:jc w:val="center"/>
        <w:spacing w:after="0"/>
        <w:rPr>
          <w:sz w:val="20"/>
          <w:szCs w:val="20"/>
          <w:color w:val="auto"/>
        </w:rPr>
      </w:pPr>
      <w:r>
        <w:rPr>
          <w:rFonts w:ascii="Arial" w:cs="Arial" w:eastAsia="Arial" w:hAnsi="Arial"/>
          <w:sz w:val="20"/>
          <w:szCs w:val="20"/>
          <w:color w:val="auto"/>
        </w:rPr>
        <w:t>(Continued)</w:t>
      </w:r>
    </w:p>
    <w:p>
      <w:pPr>
        <w:spacing w:after="0" w:line="200" w:lineRule="exact"/>
        <w:rPr>
          <w:sz w:val="20"/>
          <w:szCs w:val="20"/>
          <w:color w:val="auto"/>
        </w:rPr>
      </w:pP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bill; unfavorable weather conditions, particularly Atlantic Ocean hurricane activity, the late start to spring or the early onset of winter and the impact of a drought or excessive rainfall in the markets served by the Corporation; the volatility of fuel costs, particularly diesel fuel, and the impact on the cost of other consumables, namely steel, explosives, tires and conveyor belts, and with respect to the Magnesia Specialties and Cement businesses, natural gas; continued increases in the cost of other repair and supply parts; unexpected equipment failures, unscheduled maintenance, industrial accident or other prolonged and/or significant disruption to cement production facilities; increasing governmental regulation, including environmental laws; transportation availability, notably the availability of railcars and locomotive power to move trains to supply the Corporation’s Texas, Florida and Gulf Coast markets; increased transportation costs, including increases from higher passed-through energy and other costs to comply with tightening regulations as well as higher volumes of rail and water shipments; availability of trucks and licensed drivers for transport of the Corporation’s materials, particularly in areas with significant energy-related activity, such as Texas and Colorado; availability and cost of construction equipment in the United States; weakening in the steel industry markets served by the Corporation’s dolomitic lime products; proper functioning of information technology and automated operating systems to manage or support operations; inflation and its effect on both production and interest costs; ability to successfully integrate acquisitions quickly and in a cost-effective manner and achieve anticipated profitability to maintain compliance with the Corporation’s leverage ratio debt covenant; changes in tax laws, the interpretation of such laws and/or administrative practices that would increase the Corporation’s tax rate; violation of the Corporation’s debt covenant if price and/or volumes return to previous levels of instability; downward pressure on the Corporation’s common stock price and its impact on goodwill impairment evaluations; reduction of the Corporation’s credit rating to non-investment grade resulting from strategic acquisitions; and other risk factors listed from time to time found in the Corporation’s filings with the SEC. Other factors besides those listed here may also adversely affect the Corporation, and may be material to the Corporation. The Corporation assumes no obligation to update any such forward-looking statements.</w:t>
      </w:r>
    </w:p>
    <w:p>
      <w:pPr>
        <w:spacing w:after="0" w:line="278" w:lineRule="exact"/>
        <w:rPr>
          <w:sz w:val="20"/>
          <w:szCs w:val="20"/>
          <w:color w:val="auto"/>
        </w:rPr>
      </w:pPr>
    </w:p>
    <w:p>
      <w:pPr>
        <w:spacing w:after="0"/>
        <w:rPr>
          <w:sz w:val="20"/>
          <w:szCs w:val="20"/>
          <w:color w:val="auto"/>
        </w:rPr>
      </w:pPr>
      <w:r>
        <w:rPr>
          <w:rFonts w:ascii="Arial" w:cs="Arial" w:eastAsia="Arial" w:hAnsi="Arial"/>
          <w:sz w:val="20"/>
          <w:szCs w:val="20"/>
          <w:color w:val="auto"/>
        </w:rPr>
        <w:t>INVESTOR ACCESS TO COMPANY FILINGS</w:t>
      </w:r>
    </w:p>
    <w:p>
      <w:pPr>
        <w:spacing w:after="0" w:line="216"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Shareholders may obtain, without charge, a copy of Martin Marietta’s Annual Report on Form 10-K, as filed with the Securities and Exchange Commission for the fiscal year ended December 31, 2014, by writing to:</w:t>
      </w:r>
    </w:p>
    <w:p>
      <w:pPr>
        <w:spacing w:after="0" w:line="69" w:lineRule="exact"/>
        <w:rPr>
          <w:sz w:val="20"/>
          <w:szCs w:val="20"/>
          <w:color w:val="auto"/>
        </w:rPr>
      </w:pPr>
    </w:p>
    <w:p>
      <w:pPr>
        <w:ind w:left="260"/>
        <w:spacing w:after="0"/>
        <w:rPr>
          <w:sz w:val="20"/>
          <w:szCs w:val="20"/>
          <w:color w:val="auto"/>
        </w:rPr>
      </w:pPr>
      <w:r>
        <w:rPr>
          <w:rFonts w:ascii="Arial" w:cs="Arial" w:eastAsia="Arial" w:hAnsi="Arial"/>
          <w:sz w:val="20"/>
          <w:szCs w:val="20"/>
          <w:color w:val="auto"/>
        </w:rPr>
        <w:t>Martin Marietta</w:t>
      </w:r>
    </w:p>
    <w:p>
      <w:pPr>
        <w:spacing w:after="0" w:line="15" w:lineRule="exact"/>
        <w:rPr>
          <w:sz w:val="20"/>
          <w:szCs w:val="20"/>
          <w:color w:val="auto"/>
        </w:rPr>
      </w:pPr>
    </w:p>
    <w:p>
      <w:pPr>
        <w:ind w:left="260"/>
        <w:spacing w:after="0"/>
        <w:rPr>
          <w:sz w:val="20"/>
          <w:szCs w:val="20"/>
          <w:color w:val="auto"/>
        </w:rPr>
      </w:pPr>
      <w:r>
        <w:rPr>
          <w:rFonts w:ascii="Arial" w:cs="Arial" w:eastAsia="Arial" w:hAnsi="Arial"/>
          <w:sz w:val="20"/>
          <w:szCs w:val="20"/>
          <w:color w:val="auto"/>
        </w:rPr>
        <w:t>Attn: Corporate Secretary</w:t>
      </w:r>
    </w:p>
    <w:p>
      <w:pPr>
        <w:ind w:left="260"/>
        <w:spacing w:after="0"/>
        <w:rPr>
          <w:sz w:val="20"/>
          <w:szCs w:val="20"/>
          <w:color w:val="auto"/>
        </w:rPr>
      </w:pPr>
      <w:r>
        <w:rPr>
          <w:rFonts w:ascii="Arial" w:cs="Arial" w:eastAsia="Arial" w:hAnsi="Arial"/>
          <w:sz w:val="20"/>
          <w:szCs w:val="20"/>
          <w:color w:val="auto"/>
        </w:rPr>
        <w:t>2710 Wycliff Road</w:t>
      </w:r>
    </w:p>
    <w:p>
      <w:pPr>
        <w:ind w:left="260"/>
        <w:spacing w:after="0"/>
        <w:rPr>
          <w:sz w:val="20"/>
          <w:szCs w:val="20"/>
          <w:color w:val="auto"/>
        </w:rPr>
      </w:pPr>
      <w:r>
        <w:rPr>
          <w:rFonts w:ascii="Arial" w:cs="Arial" w:eastAsia="Arial" w:hAnsi="Arial"/>
          <w:sz w:val="20"/>
          <w:szCs w:val="20"/>
          <w:color w:val="auto"/>
        </w:rPr>
        <w:t>Raleigh, North Carolina 27607-3033</w:t>
      </w:r>
    </w:p>
    <w:p>
      <w:pPr>
        <w:spacing w:after="0" w:line="200"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Additionally, Martin Marietta’s Annual Report, press releases and filings with the Securities and Exchange Commission, including Forms 10-K, 10-Q, 8-K and 11-K, can generally be accessed via the Corporation’s website. Filings with the Securities and Exchange Commission accessed via the website are available through a link with the Electronic Data Gathering, Analysis, and Retrieval (“EDGAR”) system. Accordingly, access to such filings is available upon EDGAR placing the related document in its database. Investor relations contact information is as follows:</w:t>
      </w:r>
    </w:p>
    <w:p>
      <w:pPr>
        <w:spacing w:after="0" w:line="87" w:lineRule="exact"/>
        <w:rPr>
          <w:sz w:val="20"/>
          <w:szCs w:val="20"/>
          <w:color w:val="auto"/>
        </w:rPr>
      </w:pPr>
    </w:p>
    <w:p>
      <w:pPr>
        <w:ind w:left="260"/>
        <w:spacing w:after="0"/>
        <w:rPr>
          <w:sz w:val="20"/>
          <w:szCs w:val="20"/>
          <w:color w:val="auto"/>
        </w:rPr>
      </w:pPr>
      <w:r>
        <w:rPr>
          <w:rFonts w:ascii="Arial" w:cs="Arial" w:eastAsia="Arial" w:hAnsi="Arial"/>
          <w:sz w:val="20"/>
          <w:szCs w:val="20"/>
          <w:color w:val="auto"/>
        </w:rPr>
        <w:t>Telephone: (919) 783-4540</w:t>
      </w:r>
    </w:p>
    <w:p>
      <w:pPr>
        <w:spacing w:after="0" w:line="16" w:lineRule="exact"/>
        <w:rPr>
          <w:sz w:val="20"/>
          <w:szCs w:val="20"/>
          <w:color w:val="auto"/>
        </w:rPr>
      </w:pPr>
    </w:p>
    <w:p>
      <w:pPr>
        <w:ind w:left="260"/>
        <w:spacing w:after="0"/>
        <w:rPr>
          <w:sz w:val="20"/>
          <w:szCs w:val="20"/>
          <w:color w:val="auto"/>
        </w:rPr>
      </w:pPr>
      <w:r>
        <w:rPr>
          <w:rFonts w:ascii="Arial" w:cs="Arial" w:eastAsia="Arial" w:hAnsi="Arial"/>
          <w:sz w:val="20"/>
          <w:szCs w:val="20"/>
          <w:color w:val="auto"/>
        </w:rPr>
        <w:t>Website address: www.martinmarietta.com</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Information included on the Corporation’s website is not incorporated into, or otherwise create a part of, this report.</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57 of 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7" w:name="page58"/>
    <w:bookmarkEnd w:id="57"/>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September 30, 2015</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Item 3. Quantitative and Qualitative Disclosures About Market Risk.</w:t>
      </w:r>
    </w:p>
    <w:p>
      <w:pPr>
        <w:spacing w:after="0" w:line="216"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The Corporation’s operations are highly dependent upon the interest rate-sensitive construction and steelmaking industries. Consequently, these marketplaces could experience lower levels of economic activity in an environment of rising interest rates or escalating costs.</w:t>
      </w:r>
    </w:p>
    <w:p>
      <w:pPr>
        <w:spacing w:after="0" w:line="130"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Management has considered the current economic environment and its potential impact to the Corporation’s business. Demand for aggregates products, particularly in the infrastructure construction market, has already been negatively affected by federal and state budget and deficit issues and the uncertainty over future highway funding levels beyond the expiration of MAP-21 which has been extended via several continuing resolutions, the latest of which expires November 20, 2015. Further, delays or cancellations to capital projects in the nonresidential and residential construction markets could occur if companies and consumers are unable to obtain financing for construction projects or if consumer confidence continues to be eroded by economic uncertainty.</w:t>
      </w:r>
    </w:p>
    <w:p>
      <w:pPr>
        <w:spacing w:after="0" w:line="179"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Demand in the residential construction market is affected by interest rates. The Federal Reserve kept the federal funds rate near zero percent during the nine months ended September 30, 2015, unchanged since 2008. The residential construction market accounted for 14% of the Corporation’s aggregates product line shipments in 2014.</w:t>
      </w:r>
    </w:p>
    <w:p>
      <w:pPr>
        <w:spacing w:after="0" w:line="18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Aside from these inherent risks from within its operations, the Corporation’s earnings are also affected by changes in short-term interest rates. However, rising interest rates are not necessarily predictive of weaker operating results. In fact, since 2007, the Corporation’s profitability increased when interest rates rose, based on the last twelve months quarterly historical net income regression versus a 10-year U.S. government bond. In essence, the Corporation’s underlying business generally serves as a natural hedge to rising interest rates.</w:t>
      </w:r>
    </w:p>
    <w:p>
      <w:pPr>
        <w:spacing w:after="0" w:line="16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i w:val="1"/>
          <w:iCs w:val="1"/>
          <w:color w:val="auto"/>
        </w:rPr>
        <w:t xml:space="preserve">Variable-Rate Borrowing Facilities. </w:t>
      </w:r>
      <w:r>
        <w:rPr>
          <w:rFonts w:ascii="Arial" w:cs="Arial" w:eastAsia="Arial" w:hAnsi="Arial"/>
          <w:sz w:val="18"/>
          <w:szCs w:val="18"/>
          <w:color w:val="auto"/>
        </w:rPr>
        <w:t>At September 30, 2015, the Corporation had a $600 million Credit Agreement, comprised of a $350</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Revolving Facility and $250 million Term Loan Facility, and a $250 million Trade Receivable Facility. Borrowings under these facilities bear interest at a variable interest rate. A hypothetical 100-basis-point increase in interest rates on borrowings of $357.1 million, which was the collective outstanding balance at September 30, 2015, would increase interest expense by $3.6 million on an annual basis.</w:t>
      </w:r>
    </w:p>
    <w:p>
      <w:pPr>
        <w:spacing w:after="0" w:line="16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i w:val="1"/>
          <w:iCs w:val="1"/>
          <w:color w:val="auto"/>
        </w:rPr>
        <w:t xml:space="preserve">Pension Expense. </w:t>
      </w:r>
      <w:r>
        <w:rPr>
          <w:rFonts w:ascii="Arial" w:cs="Arial" w:eastAsia="Arial" w:hAnsi="Arial"/>
          <w:sz w:val="18"/>
          <w:szCs w:val="18"/>
          <w:color w:val="auto"/>
        </w:rPr>
        <w:t>The Corporation’s results of operations are affected by its pension expense. Assumptions that affect pension expense include</w:t>
      </w:r>
      <w:r>
        <w:rPr>
          <w:rFonts w:ascii="Arial" w:cs="Arial" w:eastAsia="Arial" w:hAnsi="Arial"/>
          <w:sz w:val="18"/>
          <w:szCs w:val="18"/>
          <w:i w:val="1"/>
          <w:iCs w:val="1"/>
          <w:color w:val="auto"/>
        </w:rPr>
        <w:t xml:space="preserve"> </w:t>
      </w:r>
      <w:r>
        <w:rPr>
          <w:rFonts w:ascii="Arial" w:cs="Arial" w:eastAsia="Arial" w:hAnsi="Arial"/>
          <w:sz w:val="18"/>
          <w:szCs w:val="18"/>
          <w:color w:val="auto"/>
        </w:rPr>
        <w:t>the discount rate and, for the defined benefit pension plans only, the expected long-term rate of return on assets. Therefore, the Corporation has interest rate risk associated with these factors. The impact of hypothetical changes in these assumptions on the Corporation’s annual pension expense is discussed in the Corporation’s Annual Report on Form 10-K for the year ended December 31, 2014.</w:t>
      </w:r>
    </w:p>
    <w:p>
      <w:pPr>
        <w:spacing w:after="0" w:line="162" w:lineRule="exact"/>
        <w:rPr>
          <w:sz w:val="20"/>
          <w:szCs w:val="20"/>
          <w:color w:val="auto"/>
        </w:rPr>
      </w:pPr>
    </w:p>
    <w:p>
      <w:pPr>
        <w:jc w:val="both"/>
        <w:spacing w:after="0" w:line="243" w:lineRule="auto"/>
        <w:rPr>
          <w:sz w:val="20"/>
          <w:szCs w:val="20"/>
          <w:color w:val="auto"/>
        </w:rPr>
      </w:pPr>
      <w:r>
        <w:rPr>
          <w:rFonts w:ascii="Arial" w:cs="Arial" w:eastAsia="Arial" w:hAnsi="Arial"/>
          <w:sz w:val="20"/>
          <w:szCs w:val="20"/>
          <w:i w:val="1"/>
          <w:iCs w:val="1"/>
          <w:color w:val="auto"/>
        </w:rPr>
        <w:t>Energy Costs</w:t>
      </w:r>
      <w:r>
        <w:rPr>
          <w:rFonts w:ascii="Arial" w:cs="Arial" w:eastAsia="Arial" w:hAnsi="Arial"/>
          <w:sz w:val="20"/>
          <w:szCs w:val="20"/>
          <w:color w:val="auto"/>
        </w:rPr>
        <w:t>. Energy costs, including diesel fuel, natural gas, coal and liquid asphalt, represent significant production costs of the Corporation.</w:t>
      </w:r>
      <w:r>
        <w:rPr>
          <w:rFonts w:ascii="Arial" w:cs="Arial" w:eastAsia="Arial" w:hAnsi="Arial"/>
          <w:sz w:val="20"/>
          <w:szCs w:val="20"/>
          <w:i w:val="1"/>
          <w:iCs w:val="1"/>
          <w:color w:val="auto"/>
        </w:rPr>
        <w:t xml:space="preserve"> </w:t>
      </w:r>
      <w:r>
        <w:rPr>
          <w:rFonts w:ascii="Arial" w:cs="Arial" w:eastAsia="Arial" w:hAnsi="Arial"/>
          <w:sz w:val="20"/>
          <w:szCs w:val="20"/>
          <w:color w:val="auto"/>
        </w:rPr>
        <w:t>The Corporation entered into a fixed price arrangement for 40% of its diesel fuel to reduce its diesel fuel price risk. The Magnesia Specialties business has fixed price agreements covering half of its 2015 coal requirements and the cement business has fixed pricing agreements on 100% of its 2015 coal requirements. A hypothetical 10% change in the Corporation’s energy prices in 2015 as compared with 2014, assuming constant volumes, would change 2015 energy expense by $27.9 million. However, the impact would be partially offset by the change in the amount capitalized into inventory standards.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58 of 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8" w:name="page59"/>
    <w:bookmarkEnd w:id="58"/>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September 30, 2015</w:t>
      </w:r>
    </w:p>
    <w:p>
      <w:pPr>
        <w:jc w:val="center"/>
        <w:spacing w:after="0"/>
        <w:rPr>
          <w:sz w:val="20"/>
          <w:szCs w:val="20"/>
          <w:color w:val="auto"/>
        </w:rPr>
      </w:pPr>
      <w:r>
        <w:rPr>
          <w:rFonts w:ascii="Arial" w:cs="Arial" w:eastAsia="Arial" w:hAnsi="Arial"/>
          <w:sz w:val="20"/>
          <w:szCs w:val="20"/>
          <w:color w:val="auto"/>
        </w:rPr>
        <w:t>(Continued)</w:t>
      </w:r>
    </w:p>
    <w:p>
      <w:pPr>
        <w:spacing w:after="0" w:line="200" w:lineRule="exact"/>
        <w:rPr>
          <w:sz w:val="20"/>
          <w:szCs w:val="20"/>
          <w:color w:val="auto"/>
        </w:rPr>
      </w:pPr>
    </w:p>
    <w:p>
      <w:pPr>
        <w:spacing w:after="0" w:line="216" w:lineRule="exact"/>
        <w:rPr>
          <w:sz w:val="20"/>
          <w:szCs w:val="20"/>
          <w:color w:val="auto"/>
        </w:rPr>
      </w:pPr>
    </w:p>
    <w:p>
      <w:pPr>
        <w:jc w:val="both"/>
        <w:spacing w:after="0" w:line="257" w:lineRule="auto"/>
        <w:rPr>
          <w:sz w:val="20"/>
          <w:szCs w:val="20"/>
          <w:color w:val="auto"/>
        </w:rPr>
      </w:pPr>
      <w:r>
        <w:rPr>
          <w:rFonts w:ascii="Arial" w:cs="Arial" w:eastAsia="Arial" w:hAnsi="Arial"/>
          <w:sz w:val="19"/>
          <w:szCs w:val="19"/>
          <w:i w:val="1"/>
          <w:iCs w:val="1"/>
          <w:color w:val="auto"/>
        </w:rPr>
        <w:t xml:space="preserve">Commodity risk. </w:t>
      </w:r>
      <w:r>
        <w:rPr>
          <w:rFonts w:ascii="Arial" w:cs="Arial" w:eastAsia="Arial" w:hAnsi="Arial"/>
          <w:sz w:val="19"/>
          <w:szCs w:val="19"/>
          <w:color w:val="auto"/>
        </w:rPr>
        <w:t>Cement is a commodity and competition is based principally on price, which is highly sensitive to changes in supply and</w:t>
      </w:r>
      <w:r>
        <w:rPr>
          <w:rFonts w:ascii="Arial" w:cs="Arial" w:eastAsia="Arial" w:hAnsi="Arial"/>
          <w:sz w:val="19"/>
          <w:szCs w:val="19"/>
          <w:i w:val="1"/>
          <w:iCs w:val="1"/>
          <w:color w:val="auto"/>
        </w:rPr>
        <w:t xml:space="preserve"> </w:t>
      </w:r>
      <w:r>
        <w:rPr>
          <w:rFonts w:ascii="Arial" w:cs="Arial" w:eastAsia="Arial" w:hAnsi="Arial"/>
          <w:sz w:val="19"/>
          <w:szCs w:val="19"/>
          <w:color w:val="auto"/>
        </w:rPr>
        <w:t>demand. Prices are often subject to material changes in response to relatively minor fluctuations in supply and demand, general economic conditions and other market conditions beyond the Corporation’s control. Increases in the production capacity of industry participants or increases in cement imports tend to create an oversupply of such products leading to an imbalance between supply and demand, which can have a negative impact on product prices. There can be no assurance that prices for products sold will not decline in the future or that such declines will not have a material adverse effect on the Corporation’s business, financial condition and results of operations. Based on forecasted net sales for the Cement business for full-year 2015 of $375 million to $400 million, a hypothetical 10% change in sales price would impact net sales by $37.5 million to $40 million.</w:t>
      </w:r>
    </w:p>
    <w:p>
      <w:pPr>
        <w:spacing w:after="0" w:line="289" w:lineRule="exact"/>
        <w:rPr>
          <w:sz w:val="20"/>
          <w:szCs w:val="20"/>
          <w:color w:val="auto"/>
        </w:rPr>
      </w:pPr>
    </w:p>
    <w:p>
      <w:pPr>
        <w:spacing w:after="0"/>
        <w:rPr>
          <w:sz w:val="20"/>
          <w:szCs w:val="20"/>
          <w:color w:val="auto"/>
        </w:rPr>
      </w:pPr>
      <w:r>
        <w:rPr>
          <w:rFonts w:ascii="Arial" w:cs="Arial" w:eastAsia="Arial" w:hAnsi="Arial"/>
          <w:sz w:val="20"/>
          <w:szCs w:val="20"/>
          <w:color w:val="auto"/>
        </w:rPr>
        <w:t>Item 4. Controls and Procedures</w:t>
      </w:r>
    </w:p>
    <w:p>
      <w:pPr>
        <w:spacing w:after="0" w:line="216"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As of September 30, 2015, an evaluation was performed under the supervision and with the participation of the Corporation’s management, including the Chief Executive Officer and Chief Financial Officer, of the effectiveness of the design and the operation of the Corporation’s disclosure controls and procedures. Based on that evaluation, the Corporation’s management, including the Chief Executive Officer and Chief Financial Officer, concluded that the Corporation’s disclosure controls and procedures were effective as of September 30, 2015. There were no changes in the Corporation’s internal control over financial reporting during the most recently completed fiscal quarter that materially affected, or are reasonably likely to materially affect, the Corporation’s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59 of 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9" w:name="page60"/>
    <w:bookmarkEnd w:id="59"/>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September 30, 2015</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PART II- OTHER INFORMATION</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Item 1. Legal Proceedings.</w:t>
      </w:r>
    </w:p>
    <w:p>
      <w:pPr>
        <w:spacing w:after="0" w:line="108"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 xml:space="preserve">Reference is made to </w:t>
      </w:r>
      <w:r>
        <w:rPr>
          <w:rFonts w:ascii="Arial" w:cs="Arial" w:eastAsia="Arial" w:hAnsi="Arial"/>
          <w:sz w:val="20"/>
          <w:szCs w:val="20"/>
          <w:i w:val="1"/>
          <w:iCs w:val="1"/>
          <w:color w:val="auto"/>
        </w:rPr>
        <w:t>Part I</w:t>
      </w:r>
      <w:r>
        <w:rPr>
          <w:rFonts w:ascii="Arial" w:cs="Arial" w:eastAsia="Arial" w:hAnsi="Arial"/>
          <w:sz w:val="20"/>
          <w:szCs w:val="20"/>
          <w:color w:val="auto"/>
        </w:rPr>
        <w:t xml:space="preserve">. </w:t>
      </w:r>
      <w:r>
        <w:rPr>
          <w:rFonts w:ascii="Arial" w:cs="Arial" w:eastAsia="Arial" w:hAnsi="Arial"/>
          <w:sz w:val="20"/>
          <w:szCs w:val="20"/>
          <w:i w:val="1"/>
          <w:iCs w:val="1"/>
          <w:color w:val="auto"/>
        </w:rPr>
        <w:t>Item 3. Legal Proceedings</w:t>
      </w:r>
      <w:r>
        <w:rPr>
          <w:rFonts w:ascii="Arial" w:cs="Arial" w:eastAsia="Arial" w:hAnsi="Arial"/>
          <w:sz w:val="20"/>
          <w:szCs w:val="20"/>
          <w:color w:val="auto"/>
        </w:rPr>
        <w:t xml:space="preserve"> of the Martin Marietta Annual Report on Form 10-K for the year ended December 31, 2014.</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Item 1A. Risk Factors.</w:t>
      </w:r>
    </w:p>
    <w:p>
      <w:pPr>
        <w:spacing w:after="0" w:line="108"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 xml:space="preserve">Reference is made to </w:t>
      </w:r>
      <w:r>
        <w:rPr>
          <w:rFonts w:ascii="Arial" w:cs="Arial" w:eastAsia="Arial" w:hAnsi="Arial"/>
          <w:sz w:val="20"/>
          <w:szCs w:val="20"/>
          <w:i w:val="1"/>
          <w:iCs w:val="1"/>
          <w:color w:val="auto"/>
        </w:rPr>
        <w:t>Part I. Item 1A. Risk Factors and Forward-Looking Statements</w:t>
      </w:r>
      <w:r>
        <w:rPr>
          <w:rFonts w:ascii="Arial" w:cs="Arial" w:eastAsia="Arial" w:hAnsi="Arial"/>
          <w:sz w:val="20"/>
          <w:szCs w:val="20"/>
          <w:color w:val="auto"/>
        </w:rPr>
        <w:t xml:space="preserve"> of the Martin Marietta Annual Report on Form 10-K for the year ended December 31, 2014.</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Item 2. Unregistered Sales of Equity Securities and Use of Proceeds</w:t>
      </w:r>
      <w:r>
        <w:rPr>
          <w:rFonts w:ascii="Arial" w:cs="Arial" w:eastAsia="Arial" w:hAnsi="Arial"/>
          <w:sz w:val="20"/>
          <w:szCs w:val="20"/>
          <w:color w:val="auto"/>
        </w:rPr>
        <w:t>.</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ISSUER PURCHASES OF EQUITY SECURITIES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60" w:type="dxa"/>
            <w:vAlign w:val="bottom"/>
            <w:gridSpan w:val="2"/>
          </w:tcPr>
          <w:p>
            <w:pPr>
              <w:jc w:val="center"/>
              <w:ind w:right="220"/>
              <w:spacing w:after="0"/>
              <w:rPr>
                <w:sz w:val="20"/>
                <w:szCs w:val="20"/>
                <w:color w:val="auto"/>
              </w:rPr>
            </w:pPr>
            <w:r>
              <w:rPr>
                <w:rFonts w:ascii="Arial" w:cs="Arial" w:eastAsia="Arial" w:hAnsi="Arial"/>
                <w:sz w:val="19"/>
                <w:szCs w:val="19"/>
                <w:color w:val="auto"/>
                <w:w w:val="89"/>
              </w:rPr>
              <w:t>Total Number of Shares</w:t>
            </w:r>
          </w:p>
        </w:tc>
        <w:tc>
          <w:tcPr>
            <w:tcW w:w="1860" w:type="dxa"/>
            <w:vAlign w:val="bottom"/>
            <w:gridSpan w:val="2"/>
          </w:tcPr>
          <w:p>
            <w:pPr>
              <w:jc w:val="center"/>
              <w:ind w:right="120"/>
              <w:spacing w:after="0"/>
              <w:rPr>
                <w:sz w:val="20"/>
                <w:szCs w:val="20"/>
                <w:color w:val="auto"/>
              </w:rPr>
            </w:pPr>
            <w:r>
              <w:rPr>
                <w:rFonts w:ascii="Arial" w:cs="Arial" w:eastAsia="Arial" w:hAnsi="Arial"/>
                <w:sz w:val="19"/>
                <w:szCs w:val="19"/>
                <w:color w:val="auto"/>
                <w:w w:val="94"/>
              </w:rPr>
              <w:t>Maximum Number of</w:t>
            </w:r>
          </w:p>
        </w:tc>
      </w:tr>
      <w:tr>
        <w:trPr>
          <w:trHeight w:val="230"/>
        </w:trPr>
        <w:tc>
          <w:tcPr>
            <w:tcW w:w="20" w:type="dxa"/>
            <w:vAlign w:val="bottom"/>
          </w:tcPr>
          <w:p>
            <w:pPr>
              <w:spacing w:after="0"/>
              <w:rPr>
                <w:sz w:val="19"/>
                <w:szCs w:val="19"/>
                <w:color w:val="auto"/>
              </w:rPr>
            </w:pPr>
          </w:p>
        </w:tc>
        <w:tc>
          <w:tcPr>
            <w:tcW w:w="4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60" w:type="dxa"/>
            <w:vAlign w:val="bottom"/>
            <w:gridSpan w:val="2"/>
          </w:tcPr>
          <w:p>
            <w:pPr>
              <w:jc w:val="center"/>
              <w:ind w:right="200"/>
              <w:spacing w:after="0"/>
              <w:rPr>
                <w:sz w:val="20"/>
                <w:szCs w:val="20"/>
                <w:color w:val="auto"/>
              </w:rPr>
            </w:pPr>
            <w:r>
              <w:rPr>
                <w:rFonts w:ascii="Arial" w:cs="Arial" w:eastAsia="Arial" w:hAnsi="Arial"/>
                <w:sz w:val="19"/>
                <w:szCs w:val="19"/>
                <w:color w:val="auto"/>
                <w:w w:val="86"/>
              </w:rPr>
              <w:t>Purchased as Part of</w:t>
            </w:r>
          </w:p>
        </w:tc>
        <w:tc>
          <w:tcPr>
            <w:tcW w:w="1860" w:type="dxa"/>
            <w:vAlign w:val="bottom"/>
            <w:gridSpan w:val="2"/>
          </w:tcPr>
          <w:p>
            <w:pPr>
              <w:jc w:val="center"/>
              <w:ind w:right="140"/>
              <w:spacing w:after="0"/>
              <w:rPr>
                <w:sz w:val="20"/>
                <w:szCs w:val="20"/>
                <w:color w:val="auto"/>
              </w:rPr>
            </w:pPr>
            <w:r>
              <w:rPr>
                <w:rFonts w:ascii="Arial" w:cs="Arial" w:eastAsia="Arial" w:hAnsi="Arial"/>
                <w:sz w:val="19"/>
                <w:szCs w:val="19"/>
                <w:color w:val="auto"/>
                <w:w w:val="88"/>
              </w:rPr>
              <w:t>Shares that May Yet</w:t>
            </w:r>
          </w:p>
        </w:tc>
      </w:tr>
      <w:tr>
        <w:trPr>
          <w:trHeight w:val="230"/>
        </w:trPr>
        <w:tc>
          <w:tcPr>
            <w:tcW w:w="20" w:type="dxa"/>
            <w:vAlign w:val="bottom"/>
          </w:tcPr>
          <w:p>
            <w:pPr>
              <w:spacing w:after="0"/>
              <w:rPr>
                <w:sz w:val="19"/>
                <w:szCs w:val="19"/>
                <w:color w:val="auto"/>
              </w:rPr>
            </w:pPr>
          </w:p>
        </w:tc>
        <w:tc>
          <w:tcPr>
            <w:tcW w:w="4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gridSpan w:val="2"/>
          </w:tcPr>
          <w:p>
            <w:pPr>
              <w:jc w:val="center"/>
              <w:ind w:right="240"/>
              <w:spacing w:after="0"/>
              <w:rPr>
                <w:sz w:val="20"/>
                <w:szCs w:val="20"/>
                <w:color w:val="auto"/>
              </w:rPr>
            </w:pPr>
            <w:r>
              <w:rPr>
                <w:rFonts w:ascii="Arial" w:cs="Arial" w:eastAsia="Arial" w:hAnsi="Arial"/>
                <w:sz w:val="19"/>
                <w:szCs w:val="19"/>
                <w:color w:val="auto"/>
                <w:w w:val="92"/>
              </w:rPr>
              <w:t>Total Number of</w:t>
            </w:r>
          </w:p>
        </w:tc>
        <w:tc>
          <w:tcPr>
            <w:tcW w:w="1380" w:type="dxa"/>
            <w:vAlign w:val="bottom"/>
            <w:gridSpan w:val="3"/>
          </w:tcPr>
          <w:p>
            <w:pPr>
              <w:ind w:left="40"/>
              <w:spacing w:after="0"/>
              <w:rPr>
                <w:sz w:val="20"/>
                <w:szCs w:val="20"/>
                <w:color w:val="auto"/>
              </w:rPr>
            </w:pPr>
            <w:r>
              <w:rPr>
                <w:rFonts w:ascii="Arial" w:cs="Arial" w:eastAsia="Arial" w:hAnsi="Arial"/>
                <w:sz w:val="19"/>
                <w:szCs w:val="19"/>
                <w:color w:val="auto"/>
              </w:rPr>
              <w:t>Average Price</w:t>
            </w:r>
          </w:p>
        </w:tc>
        <w:tc>
          <w:tcPr>
            <w:tcW w:w="2060" w:type="dxa"/>
            <w:vAlign w:val="bottom"/>
            <w:gridSpan w:val="2"/>
          </w:tcPr>
          <w:p>
            <w:pPr>
              <w:jc w:val="center"/>
              <w:ind w:right="200"/>
              <w:spacing w:after="0"/>
              <w:rPr>
                <w:sz w:val="20"/>
                <w:szCs w:val="20"/>
                <w:color w:val="auto"/>
              </w:rPr>
            </w:pPr>
            <w:r>
              <w:rPr>
                <w:rFonts w:ascii="Arial" w:cs="Arial" w:eastAsia="Arial" w:hAnsi="Arial"/>
                <w:sz w:val="19"/>
                <w:szCs w:val="19"/>
                <w:color w:val="auto"/>
                <w:w w:val="92"/>
              </w:rPr>
              <w:t>Publicly Announced</w:t>
            </w:r>
          </w:p>
        </w:tc>
        <w:tc>
          <w:tcPr>
            <w:tcW w:w="1860" w:type="dxa"/>
            <w:vAlign w:val="bottom"/>
            <w:gridSpan w:val="2"/>
          </w:tcPr>
          <w:p>
            <w:pPr>
              <w:jc w:val="center"/>
              <w:ind w:right="140"/>
              <w:spacing w:after="0"/>
              <w:rPr>
                <w:sz w:val="20"/>
                <w:szCs w:val="20"/>
                <w:color w:val="auto"/>
              </w:rPr>
            </w:pPr>
            <w:r>
              <w:rPr>
                <w:rFonts w:ascii="Arial" w:cs="Arial" w:eastAsia="Arial" w:hAnsi="Arial"/>
                <w:sz w:val="19"/>
                <w:szCs w:val="19"/>
                <w:color w:val="auto"/>
                <w:w w:val="87"/>
              </w:rPr>
              <w:t>be Purchased Under</w:t>
            </w:r>
          </w:p>
        </w:tc>
      </w:tr>
      <w:tr>
        <w:trPr>
          <w:trHeight w:val="238"/>
        </w:trPr>
        <w:tc>
          <w:tcPr>
            <w:tcW w:w="20" w:type="dxa"/>
            <w:vAlign w:val="bottom"/>
          </w:tcPr>
          <w:p>
            <w:pPr>
              <w:spacing w:after="0"/>
              <w:rPr>
                <w:sz w:val="20"/>
                <w:szCs w:val="20"/>
                <w:color w:val="auto"/>
              </w:rPr>
            </w:pPr>
          </w:p>
        </w:tc>
        <w:tc>
          <w:tcPr>
            <w:tcW w:w="4400" w:type="dxa"/>
            <w:vAlign w:val="bottom"/>
            <w:gridSpan w:val="2"/>
          </w:tcPr>
          <w:p>
            <w:pPr>
              <w:ind w:left="1880"/>
              <w:spacing w:after="0"/>
              <w:rPr>
                <w:sz w:val="20"/>
                <w:szCs w:val="20"/>
                <w:color w:val="auto"/>
              </w:rPr>
            </w:pPr>
            <w:r>
              <w:rPr>
                <w:rFonts w:ascii="Arial" w:cs="Arial" w:eastAsia="Arial" w:hAnsi="Arial"/>
                <w:sz w:val="19"/>
                <w:szCs w:val="19"/>
                <w:color w:val="auto"/>
              </w:rPr>
              <w:t>Period</w:t>
            </w:r>
          </w:p>
        </w:tc>
        <w:tc>
          <w:tcPr>
            <w:tcW w:w="1700" w:type="dxa"/>
            <w:vAlign w:val="bottom"/>
            <w:gridSpan w:val="2"/>
          </w:tcPr>
          <w:p>
            <w:pPr>
              <w:jc w:val="center"/>
              <w:ind w:right="240"/>
              <w:spacing w:after="0"/>
              <w:rPr>
                <w:sz w:val="20"/>
                <w:szCs w:val="20"/>
                <w:color w:val="auto"/>
              </w:rPr>
            </w:pPr>
            <w:r>
              <w:rPr>
                <w:rFonts w:ascii="Arial" w:cs="Arial" w:eastAsia="Arial" w:hAnsi="Arial"/>
                <w:sz w:val="19"/>
                <w:szCs w:val="19"/>
                <w:color w:val="auto"/>
                <w:w w:val="85"/>
              </w:rPr>
              <w:t>Shares Purchased</w:t>
            </w:r>
          </w:p>
        </w:tc>
        <w:tc>
          <w:tcPr>
            <w:tcW w:w="1380" w:type="dxa"/>
            <w:vAlign w:val="bottom"/>
            <w:gridSpan w:val="3"/>
          </w:tcPr>
          <w:p>
            <w:pPr>
              <w:ind w:left="20"/>
              <w:spacing w:after="0"/>
              <w:rPr>
                <w:sz w:val="20"/>
                <w:szCs w:val="20"/>
                <w:color w:val="auto"/>
              </w:rPr>
            </w:pPr>
            <w:r>
              <w:rPr>
                <w:rFonts w:ascii="Arial" w:cs="Arial" w:eastAsia="Arial" w:hAnsi="Arial"/>
                <w:sz w:val="19"/>
                <w:szCs w:val="19"/>
                <w:color w:val="auto"/>
              </w:rPr>
              <w:t>Paid per Share</w:t>
            </w:r>
          </w:p>
        </w:tc>
        <w:tc>
          <w:tcPr>
            <w:tcW w:w="2060" w:type="dxa"/>
            <w:vAlign w:val="bottom"/>
            <w:gridSpan w:val="2"/>
          </w:tcPr>
          <w:p>
            <w:pPr>
              <w:jc w:val="center"/>
              <w:ind w:right="220"/>
              <w:spacing w:after="0"/>
              <w:rPr>
                <w:sz w:val="20"/>
                <w:szCs w:val="20"/>
                <w:color w:val="auto"/>
              </w:rPr>
            </w:pPr>
            <w:r>
              <w:rPr>
                <w:rFonts w:ascii="Arial" w:cs="Arial" w:eastAsia="Arial" w:hAnsi="Arial"/>
                <w:sz w:val="19"/>
                <w:szCs w:val="19"/>
                <w:color w:val="auto"/>
                <w:w w:val="88"/>
              </w:rPr>
              <w:t>Plans or Programs</w:t>
            </w:r>
          </w:p>
        </w:tc>
        <w:tc>
          <w:tcPr>
            <w:tcW w:w="1860" w:type="dxa"/>
            <w:vAlign w:val="bottom"/>
            <w:gridSpan w:val="2"/>
          </w:tcPr>
          <w:p>
            <w:pPr>
              <w:jc w:val="center"/>
              <w:ind w:right="120"/>
              <w:spacing w:after="0"/>
              <w:rPr>
                <w:sz w:val="20"/>
                <w:szCs w:val="20"/>
                <w:color w:val="auto"/>
              </w:rPr>
            </w:pPr>
            <w:r>
              <w:rPr>
                <w:rFonts w:ascii="Arial" w:cs="Arial" w:eastAsia="Arial" w:hAnsi="Arial"/>
                <w:sz w:val="19"/>
                <w:szCs w:val="19"/>
                <w:color w:val="auto"/>
                <w:w w:val="87"/>
              </w:rPr>
              <w:t>the Plans or Programs</w:t>
            </w:r>
          </w:p>
        </w:tc>
      </w:tr>
      <w:tr>
        <w:trPr>
          <w:trHeight w:val="223"/>
        </w:trPr>
        <w:tc>
          <w:tcPr>
            <w:tcW w:w="20" w:type="dxa"/>
            <w:vAlign w:val="bottom"/>
          </w:tcPr>
          <w:p>
            <w:pPr>
              <w:spacing w:after="0"/>
              <w:rPr>
                <w:sz w:val="19"/>
                <w:szCs w:val="19"/>
                <w:color w:val="auto"/>
              </w:rPr>
            </w:pPr>
          </w:p>
        </w:tc>
        <w:tc>
          <w:tcPr>
            <w:tcW w:w="4280" w:type="dxa"/>
            <w:vAlign w:val="bottom"/>
            <w:tcBorders>
              <w:top w:val="single" w:sz="8" w:color="auto"/>
            </w:tcBorders>
          </w:tcPr>
          <w:p>
            <w:pPr>
              <w:spacing w:after="0"/>
              <w:rPr>
                <w:sz w:val="20"/>
                <w:szCs w:val="20"/>
                <w:color w:val="auto"/>
              </w:rPr>
            </w:pPr>
            <w:r>
              <w:rPr>
                <w:rFonts w:ascii="Arial" w:cs="Arial" w:eastAsia="Arial" w:hAnsi="Arial"/>
                <w:sz w:val="19"/>
                <w:szCs w:val="19"/>
                <w:color w:val="auto"/>
              </w:rPr>
              <w:t>July 1, 2015 - July 31, 2015</w:t>
            </w:r>
          </w:p>
        </w:tc>
        <w:tc>
          <w:tcPr>
            <w:tcW w:w="120" w:type="dxa"/>
            <w:vAlign w:val="bottom"/>
          </w:tcPr>
          <w:p>
            <w:pPr>
              <w:spacing w:after="0"/>
              <w:rPr>
                <w:sz w:val="19"/>
                <w:szCs w:val="19"/>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2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9"/>
                <w:szCs w:val="19"/>
                <w:color w:val="auto"/>
              </w:rPr>
              <w:t>19,330,082</w:t>
            </w:r>
          </w:p>
        </w:tc>
        <w:tc>
          <w:tcPr>
            <w:tcW w:w="1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400" w:type="dxa"/>
            <w:vAlign w:val="bottom"/>
            <w:gridSpan w:val="2"/>
            <w:shd w:val="clear" w:color="auto" w:fill="CFF0FC"/>
          </w:tcPr>
          <w:p>
            <w:pPr>
              <w:spacing w:after="0"/>
              <w:rPr>
                <w:sz w:val="20"/>
                <w:szCs w:val="20"/>
                <w:color w:val="auto"/>
              </w:rPr>
            </w:pPr>
            <w:r>
              <w:rPr>
                <w:rFonts w:ascii="Arial" w:cs="Arial" w:eastAsia="Arial" w:hAnsi="Arial"/>
                <w:sz w:val="19"/>
                <w:szCs w:val="19"/>
                <w:color w:val="auto"/>
              </w:rPr>
              <w:t>August 1, 2015 - August 31, 2015</w:t>
            </w:r>
          </w:p>
        </w:tc>
        <w:tc>
          <w:tcPr>
            <w:tcW w:w="1700" w:type="dxa"/>
            <w:vAlign w:val="bottom"/>
            <w:gridSpan w:val="2"/>
            <w:shd w:val="clear" w:color="auto" w:fill="CFF0FC"/>
          </w:tcPr>
          <w:p>
            <w:pPr>
              <w:jc w:val="right"/>
              <w:ind w:right="220"/>
              <w:spacing w:after="0"/>
              <w:rPr>
                <w:sz w:val="20"/>
                <w:szCs w:val="20"/>
                <w:color w:val="auto"/>
              </w:rPr>
            </w:pPr>
            <w:r>
              <w:rPr>
                <w:rFonts w:ascii="Arial" w:cs="Arial" w:eastAsia="Arial" w:hAnsi="Arial"/>
                <w:sz w:val="19"/>
                <w:szCs w:val="19"/>
                <w:color w:val="auto"/>
              </w:rPr>
              <w:t>—</w:t>
            </w: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9"/>
                <w:szCs w:val="19"/>
                <w:color w:val="auto"/>
              </w:rPr>
              <w:t>19,330,082</w:t>
            </w:r>
          </w:p>
        </w:tc>
        <w:tc>
          <w:tcPr>
            <w:tcW w:w="120" w:type="dxa"/>
            <w:vAlign w:val="bottom"/>
            <w:shd w:val="clear" w:color="auto" w:fill="CFF0FC"/>
          </w:tcPr>
          <w:p>
            <w:pPr>
              <w:spacing w:after="0"/>
              <w:rPr>
                <w:sz w:val="19"/>
                <w:szCs w:val="19"/>
                <w:color w:val="auto"/>
              </w:rPr>
            </w:pPr>
          </w:p>
        </w:tc>
      </w:tr>
      <w:tr>
        <w:trPr>
          <w:trHeight w:val="240"/>
        </w:trPr>
        <w:tc>
          <w:tcPr>
            <w:tcW w:w="20" w:type="dxa"/>
            <w:vAlign w:val="bottom"/>
          </w:tcPr>
          <w:p>
            <w:pPr>
              <w:spacing w:after="0"/>
              <w:rPr>
                <w:sz w:val="20"/>
                <w:szCs w:val="20"/>
                <w:color w:val="auto"/>
              </w:rPr>
            </w:pPr>
          </w:p>
        </w:tc>
        <w:tc>
          <w:tcPr>
            <w:tcW w:w="4400" w:type="dxa"/>
            <w:vAlign w:val="bottom"/>
            <w:gridSpan w:val="2"/>
          </w:tcPr>
          <w:p>
            <w:pPr>
              <w:spacing w:after="0"/>
              <w:rPr>
                <w:sz w:val="20"/>
                <w:szCs w:val="20"/>
                <w:color w:val="auto"/>
              </w:rPr>
            </w:pPr>
            <w:r>
              <w:rPr>
                <w:rFonts w:ascii="Arial" w:cs="Arial" w:eastAsia="Arial" w:hAnsi="Arial"/>
                <w:sz w:val="19"/>
                <w:szCs w:val="19"/>
                <w:color w:val="auto"/>
              </w:rPr>
              <w:t>September 1, 2015 - September 30, 2015</w:t>
            </w:r>
          </w:p>
        </w:tc>
        <w:tc>
          <w:tcPr>
            <w:tcW w:w="1480" w:type="dxa"/>
            <w:vAlign w:val="bottom"/>
          </w:tcPr>
          <w:p>
            <w:pPr>
              <w:jc w:val="right"/>
              <w:spacing w:after="0"/>
              <w:rPr>
                <w:sz w:val="20"/>
                <w:szCs w:val="20"/>
                <w:color w:val="auto"/>
              </w:rPr>
            </w:pPr>
            <w:r>
              <w:rPr>
                <w:rFonts w:ascii="Arial" w:cs="Arial" w:eastAsia="Arial" w:hAnsi="Arial"/>
                <w:sz w:val="19"/>
                <w:szCs w:val="19"/>
                <w:color w:val="auto"/>
              </w:rPr>
              <w:t>917,376</w:t>
            </w:r>
          </w:p>
        </w:tc>
        <w:tc>
          <w:tcPr>
            <w:tcW w:w="220" w:type="dxa"/>
            <w:vAlign w:val="bottom"/>
          </w:tcPr>
          <w:p>
            <w:pPr>
              <w:spacing w:after="0"/>
              <w:rPr>
                <w:sz w:val="20"/>
                <w:szCs w:val="20"/>
                <w:color w:val="auto"/>
              </w:rPr>
            </w:pPr>
          </w:p>
        </w:tc>
        <w:tc>
          <w:tcPr>
            <w:tcW w:w="360" w:type="dxa"/>
            <w:vAlign w:val="bottom"/>
          </w:tcPr>
          <w:p>
            <w:pPr>
              <w:jc w:val="right"/>
              <w:ind w:right="165"/>
              <w:spacing w:after="0"/>
              <w:rPr>
                <w:sz w:val="20"/>
                <w:szCs w:val="20"/>
                <w:color w:val="auto"/>
              </w:rPr>
            </w:pPr>
            <w:r>
              <w:rPr>
                <w:rFonts w:ascii="Arial" w:cs="Arial" w:eastAsia="Arial" w:hAnsi="Arial"/>
                <w:sz w:val="19"/>
                <w:szCs w:val="19"/>
                <w:color w:val="auto"/>
                <w:w w:val="75"/>
              </w:rPr>
              <w:t>$</w:t>
            </w:r>
          </w:p>
        </w:tc>
        <w:tc>
          <w:tcPr>
            <w:tcW w:w="800" w:type="dxa"/>
            <w:vAlign w:val="bottom"/>
          </w:tcPr>
          <w:p>
            <w:pPr>
              <w:jc w:val="right"/>
              <w:spacing w:after="0"/>
              <w:rPr>
                <w:sz w:val="20"/>
                <w:szCs w:val="20"/>
                <w:color w:val="auto"/>
              </w:rPr>
            </w:pPr>
            <w:r>
              <w:rPr>
                <w:rFonts w:ascii="Arial" w:cs="Arial" w:eastAsia="Arial" w:hAnsi="Arial"/>
                <w:sz w:val="19"/>
                <w:szCs w:val="19"/>
                <w:color w:val="auto"/>
              </w:rPr>
              <w:t>171.80</w:t>
            </w:r>
          </w:p>
        </w:tc>
        <w:tc>
          <w:tcPr>
            <w:tcW w:w="22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Arial" w:cs="Arial" w:eastAsia="Arial" w:hAnsi="Arial"/>
                <w:sz w:val="19"/>
                <w:szCs w:val="19"/>
                <w:color w:val="auto"/>
              </w:rPr>
              <w:t>917,376</w:t>
            </w:r>
          </w:p>
        </w:tc>
        <w:tc>
          <w:tcPr>
            <w:tcW w:w="20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9"/>
                <w:szCs w:val="19"/>
                <w:color w:val="auto"/>
              </w:rPr>
              <w:t>18,412,706</w:t>
            </w:r>
          </w:p>
        </w:tc>
        <w:tc>
          <w:tcPr>
            <w:tcW w:w="120" w:type="dxa"/>
            <w:vAlign w:val="bottom"/>
          </w:tcPr>
          <w:p>
            <w:pPr>
              <w:spacing w:after="0"/>
              <w:rPr>
                <w:sz w:val="20"/>
                <w:szCs w:val="20"/>
                <w:color w:val="auto"/>
              </w:rPr>
            </w:pPr>
          </w:p>
        </w:tc>
      </w:tr>
    </w:tbl>
    <w:p>
      <w:pPr>
        <w:spacing w:after="0" w:line="200" w:lineRule="exact"/>
        <w:rPr>
          <w:sz w:val="20"/>
          <w:szCs w:val="20"/>
          <w:color w:val="auto"/>
        </w:rPr>
      </w:pPr>
    </w:p>
    <w:p>
      <w:pPr>
        <w:spacing w:after="0" w:line="204"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Reference is made to the press release dated February 10, 2015 for the December 31, 2014 fourth-quarter and full-year results and announcement of the new share repurchase program. The Corporation’s Board of Directors authorized a maximum of 20 million shares to be repurchased under the program. The program does not have an expiration date.</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Item 4. Mine Safety Disclosures.</w:t>
      </w:r>
    </w:p>
    <w:p>
      <w:pPr>
        <w:spacing w:after="0" w:line="108"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information concerning mine safety violations or other regulatory matters required by Section 1503(a) of the Dodd-Frank Wall Street Reform and Consumer Protection Act and Item 104 of Regulation S-K (17 CFR 229.104) is included in Exhibit 95 to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60 of 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60" w:name="page61"/>
    <w:bookmarkEnd w:id="60"/>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September 30, 2015</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PART II- OTHER INFORMATION</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Item 6. Exhibits.</w:t>
      </w:r>
    </w:p>
    <w:p>
      <w:pPr>
        <w:spacing w:after="0" w:line="229" w:lineRule="exact"/>
        <w:rPr>
          <w:sz w:val="20"/>
          <w:szCs w:val="20"/>
          <w:color w:val="auto"/>
        </w:rPr>
      </w:pPr>
    </w:p>
    <w:p>
      <w:pPr>
        <w:ind w:left="20"/>
        <w:spacing w:after="0"/>
        <w:tabs>
          <w:tab w:leader="none" w:pos="5800" w:val="left"/>
        </w:tabs>
        <w:rPr>
          <w:sz w:val="20"/>
          <w:szCs w:val="20"/>
          <w:color w:val="auto"/>
        </w:rPr>
      </w:pPr>
      <w:r>
        <w:rPr>
          <w:rFonts w:ascii="Arial" w:cs="Arial" w:eastAsia="Arial" w:hAnsi="Arial"/>
          <w:sz w:val="20"/>
          <w:szCs w:val="20"/>
          <w:u w:val="single" w:color="auto"/>
          <w:color w:val="auto"/>
        </w:rPr>
        <w:t>Exhibit No.</w:t>
      </w:r>
      <w:r>
        <w:rPr>
          <w:sz w:val="20"/>
          <w:szCs w:val="20"/>
          <w:color w:val="auto"/>
        </w:rPr>
        <w:tab/>
      </w:r>
      <w:r>
        <w:rPr>
          <w:rFonts w:ascii="Arial" w:cs="Arial" w:eastAsia="Arial" w:hAnsi="Arial"/>
          <w:sz w:val="16"/>
          <w:szCs w:val="16"/>
          <w:color w:val="auto"/>
        </w:rPr>
        <w:t>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19050</wp:posOffset>
            </wp:positionV>
            <wp:extent cx="65862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00" w:type="dxa"/>
            <w:vAlign w:val="bottom"/>
          </w:tcPr>
          <w:p>
            <w:pPr>
              <w:spacing w:after="0"/>
              <w:rPr>
                <w:sz w:val="20"/>
                <w:szCs w:val="20"/>
                <w:color w:val="auto"/>
              </w:rPr>
            </w:pPr>
            <w:r>
              <w:rPr>
                <w:rFonts w:ascii="Arial" w:cs="Arial" w:eastAsia="Arial" w:hAnsi="Arial"/>
                <w:sz w:val="20"/>
                <w:szCs w:val="20"/>
                <w:color w:val="auto"/>
              </w:rPr>
              <w:t>31.01</w:t>
            </w:r>
          </w:p>
        </w:tc>
        <w:tc>
          <w:tcPr>
            <w:tcW w:w="10520" w:type="dxa"/>
            <w:vAlign w:val="bottom"/>
          </w:tcPr>
          <w:p>
            <w:pPr>
              <w:ind w:left="140"/>
              <w:spacing w:after="0"/>
              <w:rPr>
                <w:sz w:val="20"/>
                <w:szCs w:val="20"/>
                <w:color w:val="auto"/>
              </w:rPr>
            </w:pPr>
            <w:r>
              <w:rPr>
                <w:rFonts w:ascii="Arial" w:cs="Arial" w:eastAsia="Arial" w:hAnsi="Arial"/>
                <w:sz w:val="20"/>
                <w:szCs w:val="20"/>
                <w:color w:val="auto"/>
                <w:w w:val="91"/>
              </w:rPr>
              <w:t>Certification dated November 5, 2015 of Chief Executive Officer pursuant to Securities and Exchange Act of 1934 rule 13a-14 as</w:t>
            </w:r>
          </w:p>
        </w:tc>
      </w:tr>
      <w:tr>
        <w:trPr>
          <w:trHeight w:val="250"/>
        </w:trPr>
        <w:tc>
          <w:tcPr>
            <w:tcW w:w="900" w:type="dxa"/>
            <w:vAlign w:val="bottom"/>
          </w:tcPr>
          <w:p>
            <w:pPr>
              <w:spacing w:after="0"/>
              <w:rPr>
                <w:sz w:val="21"/>
                <w:szCs w:val="21"/>
                <w:color w:val="auto"/>
              </w:rPr>
            </w:pPr>
          </w:p>
        </w:tc>
        <w:tc>
          <w:tcPr>
            <w:tcW w:w="10520" w:type="dxa"/>
            <w:vAlign w:val="bottom"/>
          </w:tcPr>
          <w:p>
            <w:pPr>
              <w:ind w:left="140"/>
              <w:spacing w:after="0"/>
              <w:rPr>
                <w:sz w:val="20"/>
                <w:szCs w:val="20"/>
                <w:color w:val="auto"/>
              </w:rPr>
            </w:pPr>
            <w:r>
              <w:rPr>
                <w:rFonts w:ascii="Arial" w:cs="Arial" w:eastAsia="Arial" w:hAnsi="Arial"/>
                <w:sz w:val="20"/>
                <w:szCs w:val="20"/>
                <w:color w:val="auto"/>
              </w:rPr>
              <w:t>adopted pursuant to Section 302 of the Sarbanes-Oxley Act of 2002</w:t>
            </w:r>
          </w:p>
        </w:tc>
      </w:tr>
      <w:tr>
        <w:trPr>
          <w:trHeight w:val="438"/>
        </w:trPr>
        <w:tc>
          <w:tcPr>
            <w:tcW w:w="900" w:type="dxa"/>
            <w:vAlign w:val="bottom"/>
          </w:tcPr>
          <w:p>
            <w:pPr>
              <w:spacing w:after="0"/>
              <w:rPr>
                <w:sz w:val="20"/>
                <w:szCs w:val="20"/>
                <w:color w:val="auto"/>
              </w:rPr>
            </w:pPr>
            <w:r>
              <w:rPr>
                <w:rFonts w:ascii="Arial" w:cs="Arial" w:eastAsia="Arial" w:hAnsi="Arial"/>
                <w:sz w:val="20"/>
                <w:szCs w:val="20"/>
                <w:color w:val="auto"/>
              </w:rPr>
              <w:t>31.02</w:t>
            </w:r>
          </w:p>
        </w:tc>
        <w:tc>
          <w:tcPr>
            <w:tcW w:w="10520" w:type="dxa"/>
            <w:vAlign w:val="bottom"/>
          </w:tcPr>
          <w:p>
            <w:pPr>
              <w:ind w:left="140"/>
              <w:spacing w:after="0"/>
              <w:rPr>
                <w:sz w:val="20"/>
                <w:szCs w:val="20"/>
                <w:color w:val="auto"/>
              </w:rPr>
            </w:pPr>
            <w:r>
              <w:rPr>
                <w:rFonts w:ascii="Arial" w:cs="Arial" w:eastAsia="Arial" w:hAnsi="Arial"/>
                <w:sz w:val="20"/>
                <w:szCs w:val="20"/>
                <w:color w:val="auto"/>
                <w:w w:val="91"/>
              </w:rPr>
              <w:t>Certification dated November 5, 2015 of Chief Financial Officer pursuant to Securities and Exchange Act of 1934 rule 13a-14 as</w:t>
            </w:r>
          </w:p>
        </w:tc>
      </w:tr>
      <w:tr>
        <w:trPr>
          <w:trHeight w:val="250"/>
        </w:trPr>
        <w:tc>
          <w:tcPr>
            <w:tcW w:w="900" w:type="dxa"/>
            <w:vAlign w:val="bottom"/>
          </w:tcPr>
          <w:p>
            <w:pPr>
              <w:spacing w:after="0"/>
              <w:rPr>
                <w:sz w:val="21"/>
                <w:szCs w:val="21"/>
                <w:color w:val="auto"/>
              </w:rPr>
            </w:pPr>
          </w:p>
        </w:tc>
        <w:tc>
          <w:tcPr>
            <w:tcW w:w="10520" w:type="dxa"/>
            <w:vAlign w:val="bottom"/>
          </w:tcPr>
          <w:p>
            <w:pPr>
              <w:ind w:left="140"/>
              <w:spacing w:after="0"/>
              <w:rPr>
                <w:sz w:val="20"/>
                <w:szCs w:val="20"/>
                <w:color w:val="auto"/>
              </w:rPr>
            </w:pPr>
            <w:r>
              <w:rPr>
                <w:rFonts w:ascii="Arial" w:cs="Arial" w:eastAsia="Arial" w:hAnsi="Arial"/>
                <w:sz w:val="20"/>
                <w:szCs w:val="20"/>
                <w:color w:val="auto"/>
              </w:rPr>
              <w:t>adopted pursuant to Section 302 of the Sarbanes-Oxley Act of 2002</w:t>
            </w:r>
          </w:p>
        </w:tc>
      </w:tr>
      <w:tr>
        <w:trPr>
          <w:trHeight w:val="438"/>
        </w:trPr>
        <w:tc>
          <w:tcPr>
            <w:tcW w:w="900" w:type="dxa"/>
            <w:vAlign w:val="bottom"/>
          </w:tcPr>
          <w:p>
            <w:pPr>
              <w:spacing w:after="0"/>
              <w:rPr>
                <w:sz w:val="20"/>
                <w:szCs w:val="20"/>
                <w:color w:val="auto"/>
              </w:rPr>
            </w:pPr>
            <w:r>
              <w:rPr>
                <w:rFonts w:ascii="Arial" w:cs="Arial" w:eastAsia="Arial" w:hAnsi="Arial"/>
                <w:sz w:val="20"/>
                <w:szCs w:val="20"/>
                <w:color w:val="auto"/>
              </w:rPr>
              <w:t>32.01</w:t>
            </w:r>
          </w:p>
        </w:tc>
        <w:tc>
          <w:tcPr>
            <w:tcW w:w="10520" w:type="dxa"/>
            <w:vAlign w:val="bottom"/>
          </w:tcPr>
          <w:p>
            <w:pPr>
              <w:ind w:left="140"/>
              <w:spacing w:after="0"/>
              <w:rPr>
                <w:sz w:val="20"/>
                <w:szCs w:val="20"/>
                <w:color w:val="auto"/>
              </w:rPr>
            </w:pPr>
            <w:r>
              <w:rPr>
                <w:rFonts w:ascii="Arial" w:cs="Arial" w:eastAsia="Arial" w:hAnsi="Arial"/>
                <w:sz w:val="20"/>
                <w:szCs w:val="20"/>
                <w:color w:val="auto"/>
                <w:w w:val="95"/>
              </w:rPr>
              <w:t>Written Statement dated November 5, 2015 of Chief Executive Officer required by 18 U.S.C. 1350, as adopted pursuant to</w:t>
            </w:r>
          </w:p>
        </w:tc>
      </w:tr>
      <w:tr>
        <w:trPr>
          <w:trHeight w:val="250"/>
        </w:trPr>
        <w:tc>
          <w:tcPr>
            <w:tcW w:w="900" w:type="dxa"/>
            <w:vAlign w:val="bottom"/>
          </w:tcPr>
          <w:p>
            <w:pPr>
              <w:spacing w:after="0"/>
              <w:rPr>
                <w:sz w:val="21"/>
                <w:szCs w:val="21"/>
                <w:color w:val="auto"/>
              </w:rPr>
            </w:pPr>
          </w:p>
        </w:tc>
        <w:tc>
          <w:tcPr>
            <w:tcW w:w="10520" w:type="dxa"/>
            <w:vAlign w:val="bottom"/>
          </w:tcPr>
          <w:p>
            <w:pPr>
              <w:ind w:left="140"/>
              <w:spacing w:after="0"/>
              <w:rPr>
                <w:sz w:val="20"/>
                <w:szCs w:val="20"/>
                <w:color w:val="auto"/>
              </w:rPr>
            </w:pPr>
            <w:r>
              <w:rPr>
                <w:rFonts w:ascii="Arial" w:cs="Arial" w:eastAsia="Arial" w:hAnsi="Arial"/>
                <w:sz w:val="20"/>
                <w:szCs w:val="20"/>
                <w:color w:val="auto"/>
              </w:rPr>
              <w:t>Section 906 of the Sarbanes-Oxley Act of 2002</w:t>
            </w:r>
          </w:p>
        </w:tc>
      </w:tr>
      <w:tr>
        <w:trPr>
          <w:trHeight w:val="438"/>
        </w:trPr>
        <w:tc>
          <w:tcPr>
            <w:tcW w:w="900" w:type="dxa"/>
            <w:vAlign w:val="bottom"/>
          </w:tcPr>
          <w:p>
            <w:pPr>
              <w:spacing w:after="0"/>
              <w:rPr>
                <w:sz w:val="20"/>
                <w:szCs w:val="20"/>
                <w:color w:val="auto"/>
              </w:rPr>
            </w:pPr>
            <w:r>
              <w:rPr>
                <w:rFonts w:ascii="Arial" w:cs="Arial" w:eastAsia="Arial" w:hAnsi="Arial"/>
                <w:sz w:val="20"/>
                <w:szCs w:val="20"/>
                <w:color w:val="auto"/>
              </w:rPr>
              <w:t>32.02</w:t>
            </w:r>
          </w:p>
        </w:tc>
        <w:tc>
          <w:tcPr>
            <w:tcW w:w="10520" w:type="dxa"/>
            <w:vAlign w:val="bottom"/>
          </w:tcPr>
          <w:p>
            <w:pPr>
              <w:ind w:left="140"/>
              <w:spacing w:after="0"/>
              <w:rPr>
                <w:sz w:val="20"/>
                <w:szCs w:val="20"/>
                <w:color w:val="auto"/>
              </w:rPr>
            </w:pPr>
            <w:r>
              <w:rPr>
                <w:rFonts w:ascii="Arial" w:cs="Arial" w:eastAsia="Arial" w:hAnsi="Arial"/>
                <w:sz w:val="20"/>
                <w:szCs w:val="20"/>
                <w:color w:val="auto"/>
                <w:w w:val="96"/>
              </w:rPr>
              <w:t>Written Statement dated November 5, 2015 of Chief Financial Officer required by 18 U.S.C. 1350, as adopted pursuant to</w:t>
            </w:r>
          </w:p>
        </w:tc>
      </w:tr>
      <w:tr>
        <w:trPr>
          <w:trHeight w:val="250"/>
        </w:trPr>
        <w:tc>
          <w:tcPr>
            <w:tcW w:w="900" w:type="dxa"/>
            <w:vAlign w:val="bottom"/>
          </w:tcPr>
          <w:p>
            <w:pPr>
              <w:spacing w:after="0"/>
              <w:rPr>
                <w:sz w:val="21"/>
                <w:szCs w:val="21"/>
                <w:color w:val="auto"/>
              </w:rPr>
            </w:pPr>
          </w:p>
        </w:tc>
        <w:tc>
          <w:tcPr>
            <w:tcW w:w="10520" w:type="dxa"/>
            <w:vAlign w:val="bottom"/>
          </w:tcPr>
          <w:p>
            <w:pPr>
              <w:ind w:left="140"/>
              <w:spacing w:after="0"/>
              <w:rPr>
                <w:sz w:val="20"/>
                <w:szCs w:val="20"/>
                <w:color w:val="auto"/>
              </w:rPr>
            </w:pPr>
            <w:r>
              <w:rPr>
                <w:rFonts w:ascii="Arial" w:cs="Arial" w:eastAsia="Arial" w:hAnsi="Arial"/>
                <w:sz w:val="20"/>
                <w:szCs w:val="20"/>
                <w:color w:val="auto"/>
              </w:rPr>
              <w:t>Section 906 of the Sarbanes-Oxley Act of 2002</w:t>
            </w:r>
          </w:p>
        </w:tc>
      </w:tr>
      <w:tr>
        <w:trPr>
          <w:trHeight w:val="459"/>
        </w:trPr>
        <w:tc>
          <w:tcPr>
            <w:tcW w:w="900" w:type="dxa"/>
            <w:vAlign w:val="bottom"/>
          </w:tcPr>
          <w:p>
            <w:pPr>
              <w:spacing w:after="0"/>
              <w:rPr>
                <w:sz w:val="20"/>
                <w:szCs w:val="20"/>
                <w:color w:val="auto"/>
              </w:rPr>
            </w:pPr>
            <w:r>
              <w:rPr>
                <w:rFonts w:ascii="Arial" w:cs="Arial" w:eastAsia="Arial" w:hAnsi="Arial"/>
                <w:sz w:val="20"/>
                <w:szCs w:val="20"/>
                <w:color w:val="auto"/>
              </w:rPr>
              <w:t>95</w:t>
            </w:r>
          </w:p>
        </w:tc>
        <w:tc>
          <w:tcPr>
            <w:tcW w:w="10520" w:type="dxa"/>
            <w:vAlign w:val="bottom"/>
          </w:tcPr>
          <w:p>
            <w:pPr>
              <w:ind w:left="140"/>
              <w:spacing w:after="0"/>
              <w:rPr>
                <w:sz w:val="20"/>
                <w:szCs w:val="20"/>
                <w:color w:val="auto"/>
              </w:rPr>
            </w:pPr>
            <w:r>
              <w:rPr>
                <w:rFonts w:ascii="Arial" w:cs="Arial" w:eastAsia="Arial" w:hAnsi="Arial"/>
                <w:sz w:val="20"/>
                <w:szCs w:val="20"/>
                <w:color w:val="auto"/>
              </w:rPr>
              <w:t>Mine Safety Disclosures</w:t>
            </w:r>
          </w:p>
        </w:tc>
      </w:tr>
      <w:tr>
        <w:trPr>
          <w:trHeight w:val="459"/>
        </w:trPr>
        <w:tc>
          <w:tcPr>
            <w:tcW w:w="900" w:type="dxa"/>
            <w:vAlign w:val="bottom"/>
          </w:tcPr>
          <w:p>
            <w:pPr>
              <w:spacing w:after="0"/>
              <w:rPr>
                <w:sz w:val="20"/>
                <w:szCs w:val="20"/>
                <w:color w:val="auto"/>
              </w:rPr>
            </w:pPr>
            <w:r>
              <w:rPr>
                <w:rFonts w:ascii="Arial" w:cs="Arial" w:eastAsia="Arial" w:hAnsi="Arial"/>
                <w:sz w:val="20"/>
                <w:szCs w:val="20"/>
                <w:color w:val="auto"/>
              </w:rPr>
              <w:t>101.INS</w:t>
            </w:r>
          </w:p>
        </w:tc>
        <w:tc>
          <w:tcPr>
            <w:tcW w:w="10520" w:type="dxa"/>
            <w:vAlign w:val="bottom"/>
          </w:tcPr>
          <w:p>
            <w:pPr>
              <w:ind w:left="140"/>
              <w:spacing w:after="0"/>
              <w:rPr>
                <w:sz w:val="20"/>
                <w:szCs w:val="20"/>
                <w:color w:val="auto"/>
              </w:rPr>
            </w:pPr>
            <w:r>
              <w:rPr>
                <w:rFonts w:ascii="Arial" w:cs="Arial" w:eastAsia="Arial" w:hAnsi="Arial"/>
                <w:sz w:val="20"/>
                <w:szCs w:val="20"/>
                <w:color w:val="auto"/>
              </w:rPr>
              <w:t>XBRL Instance Document</w:t>
            </w:r>
          </w:p>
        </w:tc>
      </w:tr>
      <w:tr>
        <w:trPr>
          <w:trHeight w:val="459"/>
        </w:trPr>
        <w:tc>
          <w:tcPr>
            <w:tcW w:w="900" w:type="dxa"/>
            <w:vAlign w:val="bottom"/>
          </w:tcPr>
          <w:p>
            <w:pPr>
              <w:spacing w:after="0"/>
              <w:rPr>
                <w:sz w:val="20"/>
                <w:szCs w:val="20"/>
                <w:color w:val="auto"/>
              </w:rPr>
            </w:pPr>
            <w:r>
              <w:rPr>
                <w:rFonts w:ascii="Arial" w:cs="Arial" w:eastAsia="Arial" w:hAnsi="Arial"/>
                <w:sz w:val="20"/>
                <w:szCs w:val="20"/>
                <w:color w:val="auto"/>
              </w:rPr>
              <w:t>101.SCH</w:t>
            </w:r>
          </w:p>
        </w:tc>
        <w:tc>
          <w:tcPr>
            <w:tcW w:w="10520" w:type="dxa"/>
            <w:vAlign w:val="bottom"/>
          </w:tcPr>
          <w:p>
            <w:pPr>
              <w:ind w:left="140"/>
              <w:spacing w:after="0"/>
              <w:rPr>
                <w:sz w:val="20"/>
                <w:szCs w:val="20"/>
                <w:color w:val="auto"/>
              </w:rPr>
            </w:pPr>
            <w:r>
              <w:rPr>
                <w:rFonts w:ascii="Arial" w:cs="Arial" w:eastAsia="Arial" w:hAnsi="Arial"/>
                <w:sz w:val="20"/>
                <w:szCs w:val="20"/>
                <w:color w:val="auto"/>
              </w:rPr>
              <w:t>XBRL Taxonomy Extension Schema Document</w:t>
            </w:r>
          </w:p>
        </w:tc>
      </w:tr>
      <w:tr>
        <w:trPr>
          <w:trHeight w:val="459"/>
        </w:trPr>
        <w:tc>
          <w:tcPr>
            <w:tcW w:w="900" w:type="dxa"/>
            <w:vAlign w:val="bottom"/>
          </w:tcPr>
          <w:p>
            <w:pPr>
              <w:spacing w:after="0"/>
              <w:rPr>
                <w:sz w:val="20"/>
                <w:szCs w:val="20"/>
                <w:color w:val="auto"/>
              </w:rPr>
            </w:pPr>
            <w:r>
              <w:rPr>
                <w:rFonts w:ascii="Arial" w:cs="Arial" w:eastAsia="Arial" w:hAnsi="Arial"/>
                <w:sz w:val="20"/>
                <w:szCs w:val="20"/>
                <w:color w:val="auto"/>
              </w:rPr>
              <w:t>101.CAL</w:t>
            </w:r>
          </w:p>
        </w:tc>
        <w:tc>
          <w:tcPr>
            <w:tcW w:w="10520" w:type="dxa"/>
            <w:vAlign w:val="bottom"/>
          </w:tcPr>
          <w:p>
            <w:pPr>
              <w:ind w:left="140"/>
              <w:spacing w:after="0"/>
              <w:rPr>
                <w:sz w:val="20"/>
                <w:szCs w:val="20"/>
                <w:color w:val="auto"/>
              </w:rPr>
            </w:pPr>
            <w:r>
              <w:rPr>
                <w:rFonts w:ascii="Arial" w:cs="Arial" w:eastAsia="Arial" w:hAnsi="Arial"/>
                <w:sz w:val="20"/>
                <w:szCs w:val="20"/>
                <w:color w:val="auto"/>
              </w:rPr>
              <w:t>XBRL Taxonomy Extension Calculation Linkbase Document</w:t>
            </w:r>
          </w:p>
        </w:tc>
      </w:tr>
      <w:tr>
        <w:trPr>
          <w:trHeight w:val="459"/>
        </w:trPr>
        <w:tc>
          <w:tcPr>
            <w:tcW w:w="900" w:type="dxa"/>
            <w:vAlign w:val="bottom"/>
          </w:tcPr>
          <w:p>
            <w:pPr>
              <w:spacing w:after="0"/>
              <w:rPr>
                <w:sz w:val="20"/>
                <w:szCs w:val="20"/>
                <w:color w:val="auto"/>
              </w:rPr>
            </w:pPr>
            <w:r>
              <w:rPr>
                <w:rFonts w:ascii="Arial" w:cs="Arial" w:eastAsia="Arial" w:hAnsi="Arial"/>
                <w:sz w:val="20"/>
                <w:szCs w:val="20"/>
                <w:color w:val="auto"/>
              </w:rPr>
              <w:t>101.LAB</w:t>
            </w:r>
          </w:p>
        </w:tc>
        <w:tc>
          <w:tcPr>
            <w:tcW w:w="10520" w:type="dxa"/>
            <w:vAlign w:val="bottom"/>
          </w:tcPr>
          <w:p>
            <w:pPr>
              <w:ind w:left="140"/>
              <w:spacing w:after="0"/>
              <w:rPr>
                <w:sz w:val="20"/>
                <w:szCs w:val="20"/>
                <w:color w:val="auto"/>
              </w:rPr>
            </w:pPr>
            <w:r>
              <w:rPr>
                <w:rFonts w:ascii="Arial" w:cs="Arial" w:eastAsia="Arial" w:hAnsi="Arial"/>
                <w:sz w:val="20"/>
                <w:szCs w:val="20"/>
                <w:color w:val="auto"/>
              </w:rPr>
              <w:t>XBRL Taxonomy Extension Label Linkbase Document</w:t>
            </w:r>
          </w:p>
        </w:tc>
      </w:tr>
      <w:tr>
        <w:trPr>
          <w:trHeight w:val="459"/>
        </w:trPr>
        <w:tc>
          <w:tcPr>
            <w:tcW w:w="900" w:type="dxa"/>
            <w:vAlign w:val="bottom"/>
          </w:tcPr>
          <w:p>
            <w:pPr>
              <w:spacing w:after="0"/>
              <w:rPr>
                <w:sz w:val="20"/>
                <w:szCs w:val="20"/>
                <w:color w:val="auto"/>
              </w:rPr>
            </w:pPr>
            <w:r>
              <w:rPr>
                <w:rFonts w:ascii="Arial" w:cs="Arial" w:eastAsia="Arial" w:hAnsi="Arial"/>
                <w:sz w:val="20"/>
                <w:szCs w:val="20"/>
                <w:color w:val="auto"/>
              </w:rPr>
              <w:t>101.PRE</w:t>
            </w:r>
          </w:p>
        </w:tc>
        <w:tc>
          <w:tcPr>
            <w:tcW w:w="10520" w:type="dxa"/>
            <w:vAlign w:val="bottom"/>
          </w:tcPr>
          <w:p>
            <w:pPr>
              <w:ind w:left="140"/>
              <w:spacing w:after="0"/>
              <w:rPr>
                <w:sz w:val="20"/>
                <w:szCs w:val="20"/>
                <w:color w:val="auto"/>
              </w:rPr>
            </w:pPr>
            <w:r>
              <w:rPr>
                <w:rFonts w:ascii="Arial" w:cs="Arial" w:eastAsia="Arial" w:hAnsi="Arial"/>
                <w:sz w:val="20"/>
                <w:szCs w:val="20"/>
                <w:color w:val="auto"/>
              </w:rPr>
              <w:t>XBRL Taxonomy Extension Presentation Linkbase Document</w:t>
            </w:r>
          </w:p>
        </w:tc>
      </w:tr>
      <w:tr>
        <w:trPr>
          <w:trHeight w:val="459"/>
        </w:trPr>
        <w:tc>
          <w:tcPr>
            <w:tcW w:w="900" w:type="dxa"/>
            <w:vAlign w:val="bottom"/>
          </w:tcPr>
          <w:p>
            <w:pPr>
              <w:spacing w:after="0"/>
              <w:rPr>
                <w:sz w:val="20"/>
                <w:szCs w:val="20"/>
                <w:color w:val="auto"/>
              </w:rPr>
            </w:pPr>
            <w:r>
              <w:rPr>
                <w:rFonts w:ascii="Arial" w:cs="Arial" w:eastAsia="Arial" w:hAnsi="Arial"/>
                <w:sz w:val="20"/>
                <w:szCs w:val="20"/>
                <w:color w:val="auto"/>
              </w:rPr>
              <w:t>101.DEF</w:t>
            </w:r>
          </w:p>
        </w:tc>
        <w:tc>
          <w:tcPr>
            <w:tcW w:w="10520" w:type="dxa"/>
            <w:vAlign w:val="bottom"/>
          </w:tcPr>
          <w:p>
            <w:pPr>
              <w:ind w:left="140"/>
              <w:spacing w:after="0"/>
              <w:rPr>
                <w:sz w:val="20"/>
                <w:szCs w:val="20"/>
                <w:color w:val="auto"/>
              </w:rPr>
            </w:pPr>
            <w:r>
              <w:rPr>
                <w:rFonts w:ascii="Arial" w:cs="Arial" w:eastAsia="Arial" w:hAnsi="Arial"/>
                <w:sz w:val="20"/>
                <w:szCs w:val="20"/>
                <w:color w:val="auto"/>
              </w:rPr>
              <w:t>XBRL Taxonomy Extension Definition Linkbase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61 of 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61" w:name="page62"/>
    <w:bookmarkEnd w:id="61"/>
    <w:p>
      <w:pPr>
        <w:jc w:val="center"/>
        <w:spacing w:after="0"/>
        <w:rPr>
          <w:sz w:val="20"/>
          <w:szCs w:val="20"/>
          <w:color w:val="auto"/>
        </w:rPr>
      </w:pPr>
      <w:r>
        <w:rPr>
          <w:rFonts w:ascii="Arial" w:cs="Arial" w:eastAsia="Arial" w:hAnsi="Arial"/>
          <w:sz w:val="20"/>
          <w:szCs w:val="20"/>
          <w:color w:val="auto"/>
        </w:rPr>
        <w:t>SIGNATURES</w:t>
      </w:r>
    </w:p>
    <w:p>
      <w:pPr>
        <w:spacing w:after="0" w:line="216"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thereunto duly authorized.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8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4200" w:type="dxa"/>
            <w:vAlign w:val="bottom"/>
          </w:tcPr>
          <w:p>
            <w:pPr>
              <w:spacing w:after="0"/>
              <w:rPr>
                <w:sz w:val="20"/>
                <w:szCs w:val="20"/>
                <w:color w:val="auto"/>
              </w:rPr>
            </w:pPr>
            <w:r>
              <w:rPr>
                <w:rFonts w:ascii="Arial" w:cs="Arial" w:eastAsia="Arial" w:hAnsi="Arial"/>
                <w:sz w:val="20"/>
                <w:szCs w:val="20"/>
                <w:color w:val="auto"/>
              </w:rPr>
              <w:t>MARTIN MARIETTA MATERIALS, INC.</w:t>
            </w:r>
          </w:p>
        </w:tc>
      </w:tr>
      <w:tr>
        <w:trPr>
          <w:trHeight w:val="250"/>
        </w:trPr>
        <w:tc>
          <w:tcPr>
            <w:tcW w:w="4380" w:type="dxa"/>
            <w:vAlign w:val="bottom"/>
          </w:tcPr>
          <w:p>
            <w:pPr>
              <w:spacing w:after="0"/>
              <w:rPr>
                <w:sz w:val="21"/>
                <w:szCs w:val="21"/>
                <w:color w:val="auto"/>
              </w:rPr>
            </w:pPr>
          </w:p>
        </w:tc>
        <w:tc>
          <w:tcPr>
            <w:tcW w:w="2840" w:type="dxa"/>
            <w:vAlign w:val="bottom"/>
          </w:tcPr>
          <w:p>
            <w:pPr>
              <w:spacing w:after="0"/>
              <w:rPr>
                <w:sz w:val="21"/>
                <w:szCs w:val="21"/>
                <w:color w:val="auto"/>
              </w:rPr>
            </w:pPr>
          </w:p>
        </w:tc>
        <w:tc>
          <w:tcPr>
            <w:tcW w:w="4200" w:type="dxa"/>
            <w:vAlign w:val="bottom"/>
          </w:tcPr>
          <w:p>
            <w:pPr>
              <w:jc w:val="center"/>
              <w:ind w:right="1961"/>
              <w:spacing w:after="0"/>
              <w:rPr>
                <w:sz w:val="20"/>
                <w:szCs w:val="20"/>
                <w:color w:val="auto"/>
              </w:rPr>
            </w:pPr>
            <w:r>
              <w:rPr>
                <w:rFonts w:ascii="Arial" w:cs="Arial" w:eastAsia="Arial" w:hAnsi="Arial"/>
                <w:sz w:val="20"/>
                <w:szCs w:val="20"/>
                <w:color w:val="auto"/>
                <w:w w:val="89"/>
              </w:rPr>
              <w:t>(Registrant)</w:t>
            </w:r>
          </w:p>
        </w:tc>
      </w:tr>
      <w:tr>
        <w:trPr>
          <w:trHeight w:val="455"/>
        </w:trPr>
        <w:tc>
          <w:tcPr>
            <w:tcW w:w="4380" w:type="dxa"/>
            <w:vAlign w:val="bottom"/>
          </w:tcPr>
          <w:p>
            <w:pPr>
              <w:spacing w:after="0"/>
              <w:rPr>
                <w:sz w:val="20"/>
                <w:szCs w:val="20"/>
                <w:color w:val="auto"/>
              </w:rPr>
            </w:pPr>
            <w:r>
              <w:rPr>
                <w:rFonts w:ascii="Arial" w:cs="Arial" w:eastAsia="Arial" w:hAnsi="Arial"/>
                <w:sz w:val="20"/>
                <w:szCs w:val="20"/>
                <w:color w:val="auto"/>
              </w:rPr>
              <w:t>Date: November 5, 2015</w:t>
            </w:r>
          </w:p>
        </w:tc>
        <w:tc>
          <w:tcPr>
            <w:tcW w:w="7040" w:type="dxa"/>
            <w:vAlign w:val="bottom"/>
            <w:gridSpan w:val="2"/>
          </w:tcPr>
          <w:p>
            <w:pPr>
              <w:ind w:left="2440"/>
              <w:spacing w:after="0"/>
              <w:rPr>
                <w:sz w:val="20"/>
                <w:szCs w:val="20"/>
                <w:color w:val="auto"/>
              </w:rPr>
            </w:pPr>
            <w:r>
              <w:rPr>
                <w:rFonts w:ascii="Arial" w:cs="Arial" w:eastAsia="Arial" w:hAnsi="Arial"/>
                <w:sz w:val="20"/>
                <w:szCs w:val="20"/>
                <w:color w:val="auto"/>
              </w:rPr>
              <w:t>By: /s/ Anne H. Lloyd</w:t>
            </w:r>
          </w:p>
        </w:tc>
      </w:tr>
      <w:tr>
        <w:trPr>
          <w:trHeight w:val="206"/>
        </w:trPr>
        <w:tc>
          <w:tcPr>
            <w:tcW w:w="438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4200" w:type="dxa"/>
            <w:vAlign w:val="bottom"/>
            <w:tcBorders>
              <w:top w:val="single" w:sz="8" w:color="auto"/>
            </w:tcBorders>
          </w:tcPr>
          <w:p>
            <w:pPr>
              <w:spacing w:after="0" w:line="207" w:lineRule="exact"/>
              <w:rPr>
                <w:sz w:val="20"/>
                <w:szCs w:val="20"/>
                <w:color w:val="auto"/>
              </w:rPr>
            </w:pPr>
            <w:r>
              <w:rPr>
                <w:rFonts w:ascii="Arial" w:cs="Arial" w:eastAsia="Arial" w:hAnsi="Arial"/>
                <w:sz w:val="20"/>
                <w:szCs w:val="20"/>
                <w:color w:val="auto"/>
              </w:rPr>
              <w:t>Anne H. Lloyd</w:t>
            </w:r>
          </w:p>
        </w:tc>
      </w:tr>
      <w:tr>
        <w:trPr>
          <w:trHeight w:val="230"/>
        </w:trPr>
        <w:tc>
          <w:tcPr>
            <w:tcW w:w="438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4200" w:type="dxa"/>
            <w:vAlign w:val="bottom"/>
          </w:tcPr>
          <w:p>
            <w:pPr>
              <w:spacing w:after="0"/>
              <w:rPr>
                <w:sz w:val="20"/>
                <w:szCs w:val="20"/>
                <w:color w:val="auto"/>
              </w:rPr>
            </w:pPr>
            <w:r>
              <w:rPr>
                <w:rFonts w:ascii="Arial" w:cs="Arial" w:eastAsia="Arial" w:hAnsi="Arial"/>
                <w:sz w:val="20"/>
                <w:szCs w:val="20"/>
                <w:color w:val="auto"/>
              </w:rPr>
              <w:t>Executive Vice President and</w:t>
            </w:r>
          </w:p>
        </w:tc>
      </w:tr>
      <w:tr>
        <w:trPr>
          <w:trHeight w:val="250"/>
        </w:trPr>
        <w:tc>
          <w:tcPr>
            <w:tcW w:w="4380" w:type="dxa"/>
            <w:vAlign w:val="bottom"/>
          </w:tcPr>
          <w:p>
            <w:pPr>
              <w:spacing w:after="0"/>
              <w:rPr>
                <w:sz w:val="21"/>
                <w:szCs w:val="21"/>
                <w:color w:val="auto"/>
              </w:rPr>
            </w:pPr>
          </w:p>
        </w:tc>
        <w:tc>
          <w:tcPr>
            <w:tcW w:w="2840" w:type="dxa"/>
            <w:vAlign w:val="bottom"/>
          </w:tcPr>
          <w:p>
            <w:pPr>
              <w:spacing w:after="0"/>
              <w:rPr>
                <w:sz w:val="21"/>
                <w:szCs w:val="21"/>
                <w:color w:val="auto"/>
              </w:rPr>
            </w:pPr>
          </w:p>
        </w:tc>
        <w:tc>
          <w:tcPr>
            <w:tcW w:w="4200" w:type="dxa"/>
            <w:vAlign w:val="bottom"/>
          </w:tcPr>
          <w:p>
            <w:pPr>
              <w:jc w:val="center"/>
              <w:ind w:right="1961"/>
              <w:spacing w:after="0"/>
              <w:rPr>
                <w:sz w:val="20"/>
                <w:szCs w:val="20"/>
                <w:color w:val="auto"/>
              </w:rPr>
            </w:pPr>
            <w:r>
              <w:rPr>
                <w:rFonts w:ascii="Arial" w:cs="Arial" w:eastAsia="Arial" w:hAnsi="Arial"/>
                <w:sz w:val="20"/>
                <w:szCs w:val="20"/>
                <w:color w:val="auto"/>
                <w:w w:val="94"/>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62 of 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028" w:right="239" w:bottom="1440" w:gutter="0" w:footer="0" w:header="0"/>
        </w:sectPr>
      </w:pPr>
    </w:p>
    <w:bookmarkStart w:id="62" w:name="page63"/>
    <w:bookmarkEnd w:id="62"/>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September 30, 2015</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EXHIBIT INDEX</w:t>
      </w:r>
    </w:p>
    <w:p>
      <w:pPr>
        <w:spacing w:after="0" w:line="229" w:lineRule="exact"/>
        <w:rPr>
          <w:sz w:val="20"/>
          <w:szCs w:val="20"/>
          <w:color w:val="auto"/>
        </w:rPr>
      </w:pPr>
    </w:p>
    <w:p>
      <w:pPr>
        <w:ind w:left="20"/>
        <w:spacing w:after="0"/>
        <w:tabs>
          <w:tab w:leader="none" w:pos="5800" w:val="left"/>
        </w:tabs>
        <w:rPr>
          <w:sz w:val="20"/>
          <w:szCs w:val="20"/>
          <w:color w:val="auto"/>
        </w:rPr>
      </w:pPr>
      <w:r>
        <w:rPr>
          <w:rFonts w:ascii="Arial" w:cs="Arial" w:eastAsia="Arial" w:hAnsi="Arial"/>
          <w:sz w:val="20"/>
          <w:szCs w:val="20"/>
          <w:u w:val="single" w:color="auto"/>
          <w:color w:val="auto"/>
        </w:rPr>
        <w:t>Exhibit No.</w:t>
      </w:r>
      <w:r>
        <w:rPr>
          <w:sz w:val="20"/>
          <w:szCs w:val="20"/>
          <w:color w:val="auto"/>
        </w:rPr>
        <w:tab/>
      </w:r>
      <w:r>
        <w:rPr>
          <w:rFonts w:ascii="Arial" w:cs="Arial" w:eastAsia="Arial" w:hAnsi="Arial"/>
          <w:sz w:val="16"/>
          <w:szCs w:val="16"/>
          <w:color w:val="auto"/>
        </w:rPr>
        <w:t>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19050</wp:posOffset>
            </wp:positionV>
            <wp:extent cx="65862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00" w:type="dxa"/>
            <w:vAlign w:val="bottom"/>
          </w:tcPr>
          <w:p>
            <w:pPr>
              <w:spacing w:after="0"/>
              <w:rPr>
                <w:sz w:val="20"/>
                <w:szCs w:val="20"/>
                <w:color w:val="auto"/>
              </w:rPr>
            </w:pPr>
            <w:r>
              <w:rPr>
                <w:rFonts w:ascii="Arial" w:cs="Arial" w:eastAsia="Arial" w:hAnsi="Arial"/>
                <w:sz w:val="20"/>
                <w:szCs w:val="20"/>
                <w:color w:val="auto"/>
              </w:rPr>
              <w:t>31.01</w:t>
            </w:r>
          </w:p>
        </w:tc>
        <w:tc>
          <w:tcPr>
            <w:tcW w:w="10520" w:type="dxa"/>
            <w:vAlign w:val="bottom"/>
          </w:tcPr>
          <w:p>
            <w:pPr>
              <w:ind w:left="140"/>
              <w:spacing w:after="0"/>
              <w:rPr>
                <w:sz w:val="20"/>
                <w:szCs w:val="20"/>
                <w:color w:val="auto"/>
              </w:rPr>
            </w:pPr>
            <w:r>
              <w:rPr>
                <w:rFonts w:ascii="Arial" w:cs="Arial" w:eastAsia="Arial" w:hAnsi="Arial"/>
                <w:sz w:val="20"/>
                <w:szCs w:val="20"/>
                <w:color w:val="auto"/>
                <w:w w:val="91"/>
              </w:rPr>
              <w:t>Certification dated November 5, 2015 of Chief Executive Officer pursuant to Securities and Exchange Act of 1934 rule 13a-14 as</w:t>
            </w:r>
          </w:p>
        </w:tc>
      </w:tr>
      <w:tr>
        <w:trPr>
          <w:trHeight w:val="250"/>
        </w:trPr>
        <w:tc>
          <w:tcPr>
            <w:tcW w:w="900" w:type="dxa"/>
            <w:vAlign w:val="bottom"/>
          </w:tcPr>
          <w:p>
            <w:pPr>
              <w:spacing w:after="0"/>
              <w:rPr>
                <w:sz w:val="21"/>
                <w:szCs w:val="21"/>
                <w:color w:val="auto"/>
              </w:rPr>
            </w:pPr>
          </w:p>
        </w:tc>
        <w:tc>
          <w:tcPr>
            <w:tcW w:w="10520" w:type="dxa"/>
            <w:vAlign w:val="bottom"/>
          </w:tcPr>
          <w:p>
            <w:pPr>
              <w:ind w:left="140"/>
              <w:spacing w:after="0"/>
              <w:rPr>
                <w:sz w:val="20"/>
                <w:szCs w:val="20"/>
                <w:color w:val="auto"/>
              </w:rPr>
            </w:pPr>
            <w:r>
              <w:rPr>
                <w:rFonts w:ascii="Arial" w:cs="Arial" w:eastAsia="Arial" w:hAnsi="Arial"/>
                <w:sz w:val="20"/>
                <w:szCs w:val="20"/>
                <w:color w:val="auto"/>
              </w:rPr>
              <w:t>adopted pursuant to Section 302 of the Sarbanes-Oxley Act of 2002</w:t>
            </w:r>
          </w:p>
        </w:tc>
      </w:tr>
      <w:tr>
        <w:trPr>
          <w:trHeight w:val="438"/>
        </w:trPr>
        <w:tc>
          <w:tcPr>
            <w:tcW w:w="900" w:type="dxa"/>
            <w:vAlign w:val="bottom"/>
          </w:tcPr>
          <w:p>
            <w:pPr>
              <w:spacing w:after="0"/>
              <w:rPr>
                <w:sz w:val="20"/>
                <w:szCs w:val="20"/>
                <w:color w:val="auto"/>
              </w:rPr>
            </w:pPr>
            <w:r>
              <w:rPr>
                <w:rFonts w:ascii="Arial" w:cs="Arial" w:eastAsia="Arial" w:hAnsi="Arial"/>
                <w:sz w:val="20"/>
                <w:szCs w:val="20"/>
                <w:color w:val="auto"/>
              </w:rPr>
              <w:t>31.02</w:t>
            </w:r>
          </w:p>
        </w:tc>
        <w:tc>
          <w:tcPr>
            <w:tcW w:w="10520" w:type="dxa"/>
            <w:vAlign w:val="bottom"/>
          </w:tcPr>
          <w:p>
            <w:pPr>
              <w:ind w:left="140"/>
              <w:spacing w:after="0"/>
              <w:rPr>
                <w:sz w:val="20"/>
                <w:szCs w:val="20"/>
                <w:color w:val="auto"/>
              </w:rPr>
            </w:pPr>
            <w:r>
              <w:rPr>
                <w:rFonts w:ascii="Arial" w:cs="Arial" w:eastAsia="Arial" w:hAnsi="Arial"/>
                <w:sz w:val="20"/>
                <w:szCs w:val="20"/>
                <w:color w:val="auto"/>
                <w:w w:val="91"/>
              </w:rPr>
              <w:t>Certification dated November 5, 2015 of Chief Financial Officer pursuant to Securities and Exchange Act of 1934 rule 13a-14 as</w:t>
            </w:r>
          </w:p>
        </w:tc>
      </w:tr>
      <w:tr>
        <w:trPr>
          <w:trHeight w:val="250"/>
        </w:trPr>
        <w:tc>
          <w:tcPr>
            <w:tcW w:w="900" w:type="dxa"/>
            <w:vAlign w:val="bottom"/>
          </w:tcPr>
          <w:p>
            <w:pPr>
              <w:spacing w:after="0"/>
              <w:rPr>
                <w:sz w:val="21"/>
                <w:szCs w:val="21"/>
                <w:color w:val="auto"/>
              </w:rPr>
            </w:pPr>
          </w:p>
        </w:tc>
        <w:tc>
          <w:tcPr>
            <w:tcW w:w="10520" w:type="dxa"/>
            <w:vAlign w:val="bottom"/>
          </w:tcPr>
          <w:p>
            <w:pPr>
              <w:ind w:left="140"/>
              <w:spacing w:after="0"/>
              <w:rPr>
                <w:sz w:val="20"/>
                <w:szCs w:val="20"/>
                <w:color w:val="auto"/>
              </w:rPr>
            </w:pPr>
            <w:r>
              <w:rPr>
                <w:rFonts w:ascii="Arial" w:cs="Arial" w:eastAsia="Arial" w:hAnsi="Arial"/>
                <w:sz w:val="20"/>
                <w:szCs w:val="20"/>
                <w:color w:val="auto"/>
              </w:rPr>
              <w:t>adopted pursuant to Section 302 of the Sarbanes-Oxley Act of 2002</w:t>
            </w:r>
          </w:p>
        </w:tc>
      </w:tr>
      <w:tr>
        <w:trPr>
          <w:trHeight w:val="438"/>
        </w:trPr>
        <w:tc>
          <w:tcPr>
            <w:tcW w:w="900" w:type="dxa"/>
            <w:vAlign w:val="bottom"/>
          </w:tcPr>
          <w:p>
            <w:pPr>
              <w:spacing w:after="0"/>
              <w:rPr>
                <w:sz w:val="20"/>
                <w:szCs w:val="20"/>
                <w:color w:val="auto"/>
              </w:rPr>
            </w:pPr>
            <w:r>
              <w:rPr>
                <w:rFonts w:ascii="Arial" w:cs="Arial" w:eastAsia="Arial" w:hAnsi="Arial"/>
                <w:sz w:val="20"/>
                <w:szCs w:val="20"/>
                <w:color w:val="auto"/>
              </w:rPr>
              <w:t>32.01</w:t>
            </w:r>
          </w:p>
        </w:tc>
        <w:tc>
          <w:tcPr>
            <w:tcW w:w="10520" w:type="dxa"/>
            <w:vAlign w:val="bottom"/>
          </w:tcPr>
          <w:p>
            <w:pPr>
              <w:ind w:left="140"/>
              <w:spacing w:after="0"/>
              <w:rPr>
                <w:sz w:val="20"/>
                <w:szCs w:val="20"/>
                <w:color w:val="auto"/>
              </w:rPr>
            </w:pPr>
            <w:r>
              <w:rPr>
                <w:rFonts w:ascii="Arial" w:cs="Arial" w:eastAsia="Arial" w:hAnsi="Arial"/>
                <w:sz w:val="20"/>
                <w:szCs w:val="20"/>
                <w:color w:val="auto"/>
                <w:w w:val="89"/>
              </w:rPr>
              <w:t>Written Statement dated November 5, 2015 of Chief Executive Officer required by 18 U.S.C. 1350, as adopted pursuant to Section</w:t>
            </w:r>
          </w:p>
        </w:tc>
      </w:tr>
      <w:tr>
        <w:trPr>
          <w:trHeight w:val="250"/>
        </w:trPr>
        <w:tc>
          <w:tcPr>
            <w:tcW w:w="900" w:type="dxa"/>
            <w:vAlign w:val="bottom"/>
          </w:tcPr>
          <w:p>
            <w:pPr>
              <w:spacing w:after="0"/>
              <w:rPr>
                <w:sz w:val="21"/>
                <w:szCs w:val="21"/>
                <w:color w:val="auto"/>
              </w:rPr>
            </w:pPr>
          </w:p>
        </w:tc>
        <w:tc>
          <w:tcPr>
            <w:tcW w:w="10520" w:type="dxa"/>
            <w:vAlign w:val="bottom"/>
          </w:tcPr>
          <w:p>
            <w:pPr>
              <w:ind w:left="140"/>
              <w:spacing w:after="0"/>
              <w:rPr>
                <w:sz w:val="20"/>
                <w:szCs w:val="20"/>
                <w:color w:val="auto"/>
              </w:rPr>
            </w:pPr>
            <w:r>
              <w:rPr>
                <w:rFonts w:ascii="Arial" w:cs="Arial" w:eastAsia="Arial" w:hAnsi="Arial"/>
                <w:sz w:val="20"/>
                <w:szCs w:val="20"/>
                <w:color w:val="auto"/>
              </w:rPr>
              <w:t>906 of the Sarbanes-Oxley Act of 2002</w:t>
            </w:r>
          </w:p>
        </w:tc>
      </w:tr>
      <w:tr>
        <w:trPr>
          <w:trHeight w:val="438"/>
        </w:trPr>
        <w:tc>
          <w:tcPr>
            <w:tcW w:w="900" w:type="dxa"/>
            <w:vAlign w:val="bottom"/>
          </w:tcPr>
          <w:p>
            <w:pPr>
              <w:spacing w:after="0"/>
              <w:rPr>
                <w:sz w:val="20"/>
                <w:szCs w:val="20"/>
                <w:color w:val="auto"/>
              </w:rPr>
            </w:pPr>
            <w:r>
              <w:rPr>
                <w:rFonts w:ascii="Arial" w:cs="Arial" w:eastAsia="Arial" w:hAnsi="Arial"/>
                <w:sz w:val="20"/>
                <w:szCs w:val="20"/>
                <w:color w:val="auto"/>
              </w:rPr>
              <w:t>32.02</w:t>
            </w:r>
          </w:p>
        </w:tc>
        <w:tc>
          <w:tcPr>
            <w:tcW w:w="10520" w:type="dxa"/>
            <w:vAlign w:val="bottom"/>
          </w:tcPr>
          <w:p>
            <w:pPr>
              <w:ind w:left="140"/>
              <w:spacing w:after="0"/>
              <w:rPr>
                <w:sz w:val="20"/>
                <w:szCs w:val="20"/>
                <w:color w:val="auto"/>
              </w:rPr>
            </w:pPr>
            <w:r>
              <w:rPr>
                <w:rFonts w:ascii="Arial" w:cs="Arial" w:eastAsia="Arial" w:hAnsi="Arial"/>
                <w:sz w:val="20"/>
                <w:szCs w:val="20"/>
                <w:color w:val="auto"/>
                <w:w w:val="90"/>
              </w:rPr>
              <w:t>Written Statement dated November 5, 2015 of Chief Financial Officer required by 18 U.S.C. 1350, as adopted pursuant to Section</w:t>
            </w:r>
          </w:p>
        </w:tc>
      </w:tr>
      <w:tr>
        <w:trPr>
          <w:trHeight w:val="250"/>
        </w:trPr>
        <w:tc>
          <w:tcPr>
            <w:tcW w:w="900" w:type="dxa"/>
            <w:vAlign w:val="bottom"/>
          </w:tcPr>
          <w:p>
            <w:pPr>
              <w:spacing w:after="0"/>
              <w:rPr>
                <w:sz w:val="21"/>
                <w:szCs w:val="21"/>
                <w:color w:val="auto"/>
              </w:rPr>
            </w:pPr>
          </w:p>
        </w:tc>
        <w:tc>
          <w:tcPr>
            <w:tcW w:w="10520" w:type="dxa"/>
            <w:vAlign w:val="bottom"/>
          </w:tcPr>
          <w:p>
            <w:pPr>
              <w:ind w:left="140"/>
              <w:spacing w:after="0"/>
              <w:rPr>
                <w:sz w:val="20"/>
                <w:szCs w:val="20"/>
                <w:color w:val="auto"/>
              </w:rPr>
            </w:pPr>
            <w:r>
              <w:rPr>
                <w:rFonts w:ascii="Arial" w:cs="Arial" w:eastAsia="Arial" w:hAnsi="Arial"/>
                <w:sz w:val="20"/>
                <w:szCs w:val="20"/>
                <w:color w:val="auto"/>
              </w:rPr>
              <w:t>906 of the Sarbanes-Oxley Act of 2002</w:t>
            </w:r>
          </w:p>
        </w:tc>
      </w:tr>
      <w:tr>
        <w:trPr>
          <w:trHeight w:val="459"/>
        </w:trPr>
        <w:tc>
          <w:tcPr>
            <w:tcW w:w="900" w:type="dxa"/>
            <w:vAlign w:val="bottom"/>
          </w:tcPr>
          <w:p>
            <w:pPr>
              <w:spacing w:after="0"/>
              <w:rPr>
                <w:sz w:val="20"/>
                <w:szCs w:val="20"/>
                <w:color w:val="auto"/>
              </w:rPr>
            </w:pPr>
            <w:r>
              <w:rPr>
                <w:rFonts w:ascii="Arial" w:cs="Arial" w:eastAsia="Arial" w:hAnsi="Arial"/>
                <w:sz w:val="20"/>
                <w:szCs w:val="20"/>
                <w:color w:val="auto"/>
              </w:rPr>
              <w:t>95</w:t>
            </w:r>
          </w:p>
        </w:tc>
        <w:tc>
          <w:tcPr>
            <w:tcW w:w="10520" w:type="dxa"/>
            <w:vAlign w:val="bottom"/>
          </w:tcPr>
          <w:p>
            <w:pPr>
              <w:ind w:left="140"/>
              <w:spacing w:after="0"/>
              <w:rPr>
                <w:sz w:val="20"/>
                <w:szCs w:val="20"/>
                <w:color w:val="auto"/>
              </w:rPr>
            </w:pPr>
            <w:r>
              <w:rPr>
                <w:rFonts w:ascii="Arial" w:cs="Arial" w:eastAsia="Arial" w:hAnsi="Arial"/>
                <w:sz w:val="20"/>
                <w:szCs w:val="20"/>
                <w:color w:val="auto"/>
              </w:rPr>
              <w:t>Mine Safety Disclosures</w:t>
            </w:r>
          </w:p>
        </w:tc>
      </w:tr>
      <w:tr>
        <w:trPr>
          <w:trHeight w:val="459"/>
        </w:trPr>
        <w:tc>
          <w:tcPr>
            <w:tcW w:w="900" w:type="dxa"/>
            <w:vAlign w:val="bottom"/>
          </w:tcPr>
          <w:p>
            <w:pPr>
              <w:spacing w:after="0"/>
              <w:rPr>
                <w:sz w:val="20"/>
                <w:szCs w:val="20"/>
                <w:color w:val="auto"/>
              </w:rPr>
            </w:pPr>
            <w:r>
              <w:rPr>
                <w:rFonts w:ascii="Arial" w:cs="Arial" w:eastAsia="Arial" w:hAnsi="Arial"/>
                <w:sz w:val="20"/>
                <w:szCs w:val="20"/>
                <w:color w:val="auto"/>
              </w:rPr>
              <w:t>101.INS</w:t>
            </w:r>
          </w:p>
        </w:tc>
        <w:tc>
          <w:tcPr>
            <w:tcW w:w="10520" w:type="dxa"/>
            <w:vAlign w:val="bottom"/>
          </w:tcPr>
          <w:p>
            <w:pPr>
              <w:ind w:left="140"/>
              <w:spacing w:after="0"/>
              <w:rPr>
                <w:sz w:val="20"/>
                <w:szCs w:val="20"/>
                <w:color w:val="auto"/>
              </w:rPr>
            </w:pPr>
            <w:r>
              <w:rPr>
                <w:rFonts w:ascii="Arial" w:cs="Arial" w:eastAsia="Arial" w:hAnsi="Arial"/>
                <w:sz w:val="20"/>
                <w:szCs w:val="20"/>
                <w:color w:val="auto"/>
              </w:rPr>
              <w:t>XBRL Instance Document</w:t>
            </w:r>
          </w:p>
        </w:tc>
      </w:tr>
      <w:tr>
        <w:trPr>
          <w:trHeight w:val="459"/>
        </w:trPr>
        <w:tc>
          <w:tcPr>
            <w:tcW w:w="900" w:type="dxa"/>
            <w:vAlign w:val="bottom"/>
          </w:tcPr>
          <w:p>
            <w:pPr>
              <w:spacing w:after="0"/>
              <w:rPr>
                <w:sz w:val="20"/>
                <w:szCs w:val="20"/>
                <w:color w:val="auto"/>
              </w:rPr>
            </w:pPr>
            <w:r>
              <w:rPr>
                <w:rFonts w:ascii="Arial" w:cs="Arial" w:eastAsia="Arial" w:hAnsi="Arial"/>
                <w:sz w:val="20"/>
                <w:szCs w:val="20"/>
                <w:color w:val="auto"/>
              </w:rPr>
              <w:t>101.SCH</w:t>
            </w:r>
          </w:p>
        </w:tc>
        <w:tc>
          <w:tcPr>
            <w:tcW w:w="10520" w:type="dxa"/>
            <w:vAlign w:val="bottom"/>
          </w:tcPr>
          <w:p>
            <w:pPr>
              <w:ind w:left="140"/>
              <w:spacing w:after="0"/>
              <w:rPr>
                <w:sz w:val="20"/>
                <w:szCs w:val="20"/>
                <w:color w:val="auto"/>
              </w:rPr>
            </w:pPr>
            <w:r>
              <w:rPr>
                <w:rFonts w:ascii="Arial" w:cs="Arial" w:eastAsia="Arial" w:hAnsi="Arial"/>
                <w:sz w:val="20"/>
                <w:szCs w:val="20"/>
                <w:color w:val="auto"/>
              </w:rPr>
              <w:t>XBRL Taxonomy Extension Schema Document</w:t>
            </w:r>
          </w:p>
        </w:tc>
      </w:tr>
      <w:tr>
        <w:trPr>
          <w:trHeight w:val="459"/>
        </w:trPr>
        <w:tc>
          <w:tcPr>
            <w:tcW w:w="900" w:type="dxa"/>
            <w:vAlign w:val="bottom"/>
          </w:tcPr>
          <w:p>
            <w:pPr>
              <w:spacing w:after="0"/>
              <w:rPr>
                <w:sz w:val="20"/>
                <w:szCs w:val="20"/>
                <w:color w:val="auto"/>
              </w:rPr>
            </w:pPr>
            <w:r>
              <w:rPr>
                <w:rFonts w:ascii="Arial" w:cs="Arial" w:eastAsia="Arial" w:hAnsi="Arial"/>
                <w:sz w:val="20"/>
                <w:szCs w:val="20"/>
                <w:color w:val="auto"/>
              </w:rPr>
              <w:t>101.CAL</w:t>
            </w:r>
          </w:p>
        </w:tc>
        <w:tc>
          <w:tcPr>
            <w:tcW w:w="10520" w:type="dxa"/>
            <w:vAlign w:val="bottom"/>
          </w:tcPr>
          <w:p>
            <w:pPr>
              <w:ind w:left="140"/>
              <w:spacing w:after="0"/>
              <w:rPr>
                <w:sz w:val="20"/>
                <w:szCs w:val="20"/>
                <w:color w:val="auto"/>
              </w:rPr>
            </w:pPr>
            <w:r>
              <w:rPr>
                <w:rFonts w:ascii="Arial" w:cs="Arial" w:eastAsia="Arial" w:hAnsi="Arial"/>
                <w:sz w:val="20"/>
                <w:szCs w:val="20"/>
                <w:color w:val="auto"/>
              </w:rPr>
              <w:t>XBRL Taxonomy Extension Calculation Linkbase Document</w:t>
            </w:r>
          </w:p>
        </w:tc>
      </w:tr>
      <w:tr>
        <w:trPr>
          <w:trHeight w:val="459"/>
        </w:trPr>
        <w:tc>
          <w:tcPr>
            <w:tcW w:w="900" w:type="dxa"/>
            <w:vAlign w:val="bottom"/>
          </w:tcPr>
          <w:p>
            <w:pPr>
              <w:spacing w:after="0"/>
              <w:rPr>
                <w:sz w:val="20"/>
                <w:szCs w:val="20"/>
                <w:color w:val="auto"/>
              </w:rPr>
            </w:pPr>
            <w:r>
              <w:rPr>
                <w:rFonts w:ascii="Arial" w:cs="Arial" w:eastAsia="Arial" w:hAnsi="Arial"/>
                <w:sz w:val="20"/>
                <w:szCs w:val="20"/>
                <w:color w:val="auto"/>
              </w:rPr>
              <w:t>101.LAB</w:t>
            </w:r>
          </w:p>
        </w:tc>
        <w:tc>
          <w:tcPr>
            <w:tcW w:w="10520" w:type="dxa"/>
            <w:vAlign w:val="bottom"/>
          </w:tcPr>
          <w:p>
            <w:pPr>
              <w:ind w:left="140"/>
              <w:spacing w:after="0"/>
              <w:rPr>
                <w:sz w:val="20"/>
                <w:szCs w:val="20"/>
                <w:color w:val="auto"/>
              </w:rPr>
            </w:pPr>
            <w:r>
              <w:rPr>
                <w:rFonts w:ascii="Arial" w:cs="Arial" w:eastAsia="Arial" w:hAnsi="Arial"/>
                <w:sz w:val="20"/>
                <w:szCs w:val="20"/>
                <w:color w:val="auto"/>
              </w:rPr>
              <w:t>XBRL Taxonomy Extension Label Linkbase Document</w:t>
            </w:r>
          </w:p>
        </w:tc>
      </w:tr>
      <w:tr>
        <w:trPr>
          <w:trHeight w:val="459"/>
        </w:trPr>
        <w:tc>
          <w:tcPr>
            <w:tcW w:w="900" w:type="dxa"/>
            <w:vAlign w:val="bottom"/>
          </w:tcPr>
          <w:p>
            <w:pPr>
              <w:spacing w:after="0"/>
              <w:rPr>
                <w:sz w:val="20"/>
                <w:szCs w:val="20"/>
                <w:color w:val="auto"/>
              </w:rPr>
            </w:pPr>
            <w:r>
              <w:rPr>
                <w:rFonts w:ascii="Arial" w:cs="Arial" w:eastAsia="Arial" w:hAnsi="Arial"/>
                <w:sz w:val="20"/>
                <w:szCs w:val="20"/>
                <w:color w:val="auto"/>
              </w:rPr>
              <w:t>101.PRE</w:t>
            </w:r>
          </w:p>
        </w:tc>
        <w:tc>
          <w:tcPr>
            <w:tcW w:w="10520" w:type="dxa"/>
            <w:vAlign w:val="bottom"/>
          </w:tcPr>
          <w:p>
            <w:pPr>
              <w:ind w:left="140"/>
              <w:spacing w:after="0"/>
              <w:rPr>
                <w:sz w:val="20"/>
                <w:szCs w:val="20"/>
                <w:color w:val="auto"/>
              </w:rPr>
            </w:pPr>
            <w:r>
              <w:rPr>
                <w:rFonts w:ascii="Arial" w:cs="Arial" w:eastAsia="Arial" w:hAnsi="Arial"/>
                <w:sz w:val="20"/>
                <w:szCs w:val="20"/>
                <w:color w:val="auto"/>
              </w:rPr>
              <w:t>XBRL Taxonomy Extension Presentation Linkbase Document</w:t>
            </w:r>
          </w:p>
        </w:tc>
      </w:tr>
      <w:tr>
        <w:trPr>
          <w:trHeight w:val="459"/>
        </w:trPr>
        <w:tc>
          <w:tcPr>
            <w:tcW w:w="900" w:type="dxa"/>
            <w:vAlign w:val="bottom"/>
          </w:tcPr>
          <w:p>
            <w:pPr>
              <w:spacing w:after="0"/>
              <w:rPr>
                <w:sz w:val="20"/>
                <w:szCs w:val="20"/>
                <w:color w:val="auto"/>
              </w:rPr>
            </w:pPr>
            <w:r>
              <w:rPr>
                <w:rFonts w:ascii="Arial" w:cs="Arial" w:eastAsia="Arial" w:hAnsi="Arial"/>
                <w:sz w:val="20"/>
                <w:szCs w:val="20"/>
                <w:color w:val="auto"/>
              </w:rPr>
              <w:t>101.DEF</w:t>
            </w:r>
          </w:p>
        </w:tc>
        <w:tc>
          <w:tcPr>
            <w:tcW w:w="10520" w:type="dxa"/>
            <w:vAlign w:val="bottom"/>
          </w:tcPr>
          <w:p>
            <w:pPr>
              <w:ind w:left="140"/>
              <w:spacing w:after="0"/>
              <w:rPr>
                <w:sz w:val="20"/>
                <w:szCs w:val="20"/>
                <w:color w:val="auto"/>
              </w:rPr>
            </w:pPr>
            <w:r>
              <w:rPr>
                <w:rFonts w:ascii="Arial" w:cs="Arial" w:eastAsia="Arial" w:hAnsi="Arial"/>
                <w:sz w:val="20"/>
                <w:szCs w:val="20"/>
                <w:color w:val="auto"/>
              </w:rPr>
              <w:t>XBRL Taxonomy Extension Definition Linkbase</w:t>
            </w:r>
          </w:p>
        </w:tc>
      </w:tr>
    </w:tbl>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63 of 63</w:t>
      </w:r>
    </w:p>
    <w:p>
      <w:pPr>
        <w:sectPr>
          <w:pgSz w:w="11900" w:h="16838" w:orient="portrait"/>
          <w:cols w:equalWidth="0" w:num="1">
            <w:col w:w="11420"/>
          </w:cols>
          <w:pgMar w:left="240" w:top="339" w:right="239" w:bottom="1440" w:gutter="0" w:footer="0" w:header="0"/>
        </w:sectPr>
      </w:pPr>
    </w:p>
    <w:bookmarkStart w:id="63" w:name="page64"/>
    <w:bookmarkEnd w:id="63"/>
    <w:p>
      <w:pPr>
        <w:jc w:val="right"/>
        <w:spacing w:after="0"/>
        <w:rPr>
          <w:sz w:val="20"/>
          <w:szCs w:val="20"/>
          <w:color w:val="auto"/>
        </w:rPr>
      </w:pPr>
      <w:r>
        <w:rPr>
          <w:rFonts w:ascii="Arial" w:cs="Arial" w:eastAsia="Arial" w:hAnsi="Arial"/>
          <w:sz w:val="20"/>
          <w:szCs w:val="20"/>
          <w:b w:val="1"/>
          <w:bCs w:val="1"/>
          <w:color w:val="auto"/>
        </w:rPr>
        <w:t>EXHIBIT 31.01</w:t>
      </w:r>
    </w:p>
    <w:p>
      <w:pPr>
        <w:spacing w:after="0" w:line="200" w:lineRule="exact"/>
        <w:rPr>
          <w:sz w:val="20"/>
          <w:szCs w:val="20"/>
          <w:color w:val="auto"/>
        </w:rPr>
      </w:pPr>
    </w:p>
    <w:p>
      <w:pPr>
        <w:spacing w:after="0" w:line="286" w:lineRule="exact"/>
        <w:rPr>
          <w:sz w:val="20"/>
          <w:szCs w:val="20"/>
          <w:color w:val="auto"/>
        </w:rPr>
      </w:pPr>
    </w:p>
    <w:p>
      <w:pPr>
        <w:jc w:val="center"/>
        <w:ind w:left="260" w:right="100"/>
        <w:spacing w:after="0" w:line="267" w:lineRule="auto"/>
        <w:rPr>
          <w:sz w:val="20"/>
          <w:szCs w:val="20"/>
          <w:color w:val="auto"/>
        </w:rPr>
      </w:pPr>
      <w:r>
        <w:rPr>
          <w:rFonts w:ascii="Arial" w:cs="Arial" w:eastAsia="Arial" w:hAnsi="Arial"/>
          <w:sz w:val="20"/>
          <w:szCs w:val="20"/>
          <w:b w:val="1"/>
          <w:bCs w:val="1"/>
          <w:color w:val="auto"/>
        </w:rPr>
        <w:t>CERTIFICATION PURSUANT TO SECURITIES AND EXCHANGE ACT OF 1934 RULE 13a-14 AS ADOPTED PURSUANT TO SECTION 302 OF SARBANES-OXLEY ACT OF 2002</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I, C. Howard Nye, certify that:</w:t>
      </w:r>
    </w:p>
    <w:p>
      <w:pPr>
        <w:spacing w:after="0" w:line="229" w:lineRule="exact"/>
        <w:rPr>
          <w:sz w:val="20"/>
          <w:szCs w:val="20"/>
          <w:color w:val="auto"/>
        </w:rPr>
      </w:pPr>
    </w:p>
    <w:p>
      <w:pPr>
        <w:ind w:left="1300" w:hanging="428"/>
        <w:spacing w:after="0"/>
        <w:tabs>
          <w:tab w:leader="none" w:pos="1300" w:val="left"/>
        </w:tabs>
        <w:numPr>
          <w:ilvl w:val="0"/>
          <w:numId w:val="40"/>
        </w:numPr>
        <w:rPr>
          <w:rFonts w:ascii="Arial" w:cs="Arial" w:eastAsia="Arial" w:hAnsi="Arial"/>
          <w:sz w:val="20"/>
          <w:szCs w:val="20"/>
          <w:color w:val="auto"/>
        </w:rPr>
      </w:pPr>
      <w:r>
        <w:rPr>
          <w:rFonts w:ascii="Arial" w:cs="Arial" w:eastAsia="Arial" w:hAnsi="Arial"/>
          <w:sz w:val="20"/>
          <w:szCs w:val="20"/>
          <w:color w:val="auto"/>
        </w:rPr>
        <w:t>I have reviewed this Form 10-Q of Martin Marietta Materials, Inc.;</w:t>
      </w:r>
    </w:p>
    <w:p>
      <w:pPr>
        <w:spacing w:after="0" w:line="229" w:lineRule="exact"/>
        <w:rPr>
          <w:rFonts w:ascii="Arial" w:cs="Arial" w:eastAsia="Arial" w:hAnsi="Arial"/>
          <w:sz w:val="20"/>
          <w:szCs w:val="20"/>
          <w:color w:val="auto"/>
        </w:rPr>
      </w:pPr>
    </w:p>
    <w:p>
      <w:pPr>
        <w:jc w:val="both"/>
        <w:ind w:left="1300" w:hanging="428"/>
        <w:spacing w:after="0" w:line="250" w:lineRule="auto"/>
        <w:tabs>
          <w:tab w:leader="none" w:pos="1300" w:val="left"/>
        </w:tabs>
        <w:numPr>
          <w:ilvl w:val="0"/>
          <w:numId w:val="40"/>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9" w:lineRule="exact"/>
        <w:rPr>
          <w:rFonts w:ascii="Arial" w:cs="Arial" w:eastAsia="Arial" w:hAnsi="Arial"/>
          <w:sz w:val="20"/>
          <w:szCs w:val="20"/>
          <w:color w:val="auto"/>
        </w:rPr>
      </w:pPr>
    </w:p>
    <w:p>
      <w:pPr>
        <w:jc w:val="both"/>
        <w:ind w:left="1300" w:hanging="428"/>
        <w:spacing w:after="0" w:line="250" w:lineRule="auto"/>
        <w:tabs>
          <w:tab w:leader="none" w:pos="1300" w:val="left"/>
        </w:tabs>
        <w:numPr>
          <w:ilvl w:val="0"/>
          <w:numId w:val="40"/>
        </w:numPr>
        <w:rPr>
          <w:rFonts w:ascii="Arial" w:cs="Arial" w:eastAsia="Arial" w:hAnsi="Arial"/>
          <w:sz w:val="20"/>
          <w:szCs w:val="20"/>
          <w:color w:val="auto"/>
        </w:rPr>
      </w:pPr>
      <w:r>
        <w:rPr>
          <w:rFonts w:ascii="Arial" w:cs="Arial" w:eastAsia="Arial" w:hAnsi="Arial"/>
          <w:sz w:val="20"/>
          <w:szCs w:val="20"/>
          <w:color w:val="auto"/>
        </w:rPr>
        <w:t>Based on my knowledge, the consolidated financial statements, and other financial information included in this report, fairly present in all material respects the consolidated financial condition, results of operations and cash flows of the registrant as of, and for, the periods presented in this report;</w:t>
      </w:r>
    </w:p>
    <w:p>
      <w:pPr>
        <w:spacing w:after="0" w:line="199" w:lineRule="exact"/>
        <w:rPr>
          <w:rFonts w:ascii="Arial" w:cs="Arial" w:eastAsia="Arial" w:hAnsi="Arial"/>
          <w:sz w:val="20"/>
          <w:szCs w:val="20"/>
          <w:color w:val="auto"/>
        </w:rPr>
      </w:pPr>
    </w:p>
    <w:p>
      <w:pPr>
        <w:jc w:val="both"/>
        <w:ind w:left="1300" w:right="20" w:hanging="428"/>
        <w:spacing w:after="0" w:line="250" w:lineRule="auto"/>
        <w:tabs>
          <w:tab w:leader="none" w:pos="1300" w:val="left"/>
        </w:tabs>
        <w:numPr>
          <w:ilvl w:val="0"/>
          <w:numId w:val="40"/>
        </w:numPr>
        <w:rPr>
          <w:rFonts w:ascii="Arial" w:cs="Arial" w:eastAsia="Arial" w:hAnsi="Arial"/>
          <w:sz w:val="20"/>
          <w:szCs w:val="20"/>
          <w:color w:val="auto"/>
        </w:rPr>
      </w:pPr>
      <w:r>
        <w:rPr>
          <w:rFonts w:ascii="Arial" w:cs="Arial" w:eastAsia="Arial" w:hAnsi="Arial"/>
          <w:sz w:val="20"/>
          <w:szCs w:val="20"/>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9" w:lineRule="exact"/>
        <w:rPr>
          <w:rFonts w:ascii="Arial" w:cs="Arial" w:eastAsia="Arial" w:hAnsi="Arial"/>
          <w:sz w:val="20"/>
          <w:szCs w:val="20"/>
          <w:color w:val="auto"/>
        </w:rPr>
      </w:pPr>
    </w:p>
    <w:p>
      <w:pPr>
        <w:jc w:val="both"/>
        <w:ind w:left="2180" w:hanging="430"/>
        <w:spacing w:after="0" w:line="246" w:lineRule="auto"/>
        <w:tabs>
          <w:tab w:leader="none" w:pos="2180" w:val="left"/>
        </w:tabs>
        <w:numPr>
          <w:ilvl w:val="1"/>
          <w:numId w:val="40"/>
        </w:numPr>
        <w:rPr>
          <w:rFonts w:ascii="Arial" w:cs="Arial" w:eastAsia="Arial" w:hAnsi="Arial"/>
          <w:sz w:val="20"/>
          <w:szCs w:val="20"/>
          <w:color w:val="auto"/>
        </w:rPr>
      </w:pPr>
      <w:r>
        <w:rPr>
          <w:rFonts w:ascii="Arial" w:cs="Arial" w:eastAsia="Arial" w:hAnsi="Arial"/>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5" w:lineRule="exact"/>
        <w:rPr>
          <w:rFonts w:ascii="Arial" w:cs="Arial" w:eastAsia="Arial" w:hAnsi="Arial"/>
          <w:sz w:val="20"/>
          <w:szCs w:val="20"/>
          <w:color w:val="auto"/>
        </w:rPr>
      </w:pPr>
    </w:p>
    <w:p>
      <w:pPr>
        <w:jc w:val="both"/>
        <w:ind w:left="2180" w:hanging="430"/>
        <w:spacing w:after="0" w:line="246" w:lineRule="auto"/>
        <w:tabs>
          <w:tab w:leader="none" w:pos="2180" w:val="left"/>
        </w:tabs>
        <w:numPr>
          <w:ilvl w:val="1"/>
          <w:numId w:val="40"/>
        </w:numPr>
        <w:rPr>
          <w:rFonts w:ascii="Arial" w:cs="Arial" w:eastAsia="Arial" w:hAnsi="Arial"/>
          <w:sz w:val="20"/>
          <w:szCs w:val="20"/>
          <w:color w:val="auto"/>
        </w:rPr>
      </w:pPr>
      <w:r>
        <w:rPr>
          <w:rFonts w:ascii="Arial" w:cs="Arial" w:eastAsia="Arial" w:hAnsi="Arial"/>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consolidated financial statements for external purposes in accordance with generally accepted accounting principles;</w:t>
      </w:r>
    </w:p>
    <w:p>
      <w:pPr>
        <w:spacing w:after="0" w:line="205" w:lineRule="exact"/>
        <w:rPr>
          <w:rFonts w:ascii="Arial" w:cs="Arial" w:eastAsia="Arial" w:hAnsi="Arial"/>
          <w:sz w:val="20"/>
          <w:szCs w:val="20"/>
          <w:color w:val="auto"/>
        </w:rPr>
      </w:pPr>
    </w:p>
    <w:p>
      <w:pPr>
        <w:jc w:val="both"/>
        <w:ind w:left="2180" w:hanging="430"/>
        <w:spacing w:after="0" w:line="250" w:lineRule="auto"/>
        <w:tabs>
          <w:tab w:leader="none" w:pos="2180" w:val="left"/>
        </w:tabs>
        <w:numPr>
          <w:ilvl w:val="1"/>
          <w:numId w:val="40"/>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9" w:lineRule="exact"/>
        <w:rPr>
          <w:rFonts w:ascii="Arial" w:cs="Arial" w:eastAsia="Arial" w:hAnsi="Arial"/>
          <w:sz w:val="20"/>
          <w:szCs w:val="20"/>
          <w:color w:val="auto"/>
        </w:rPr>
      </w:pPr>
    </w:p>
    <w:p>
      <w:pPr>
        <w:jc w:val="both"/>
        <w:ind w:left="2180" w:hanging="430"/>
        <w:spacing w:after="0" w:line="250" w:lineRule="auto"/>
        <w:tabs>
          <w:tab w:leader="none" w:pos="2180" w:val="left"/>
        </w:tabs>
        <w:numPr>
          <w:ilvl w:val="1"/>
          <w:numId w:val="40"/>
        </w:numPr>
        <w:rPr>
          <w:rFonts w:ascii="Arial" w:cs="Arial" w:eastAsia="Arial" w:hAnsi="Arial"/>
          <w:sz w:val="20"/>
          <w:szCs w:val="20"/>
          <w:color w:val="auto"/>
        </w:rPr>
      </w:pPr>
      <w:r>
        <w:rPr>
          <w:rFonts w:ascii="Arial" w:cs="Arial" w:eastAsia="Arial" w:hAnsi="Arial"/>
          <w:sz w:val="20"/>
          <w:szCs w:val="20"/>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467995</wp:posOffset>
            </wp:positionV>
            <wp:extent cx="72891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64" w:name="page65"/>
    <w:bookmarkEnd w:id="64"/>
    <w:p>
      <w:pPr>
        <w:jc w:val="both"/>
        <w:ind w:left="1300" w:hanging="428"/>
        <w:spacing w:after="0" w:line="250" w:lineRule="auto"/>
        <w:tabs>
          <w:tab w:leader="none" w:pos="1300" w:val="left"/>
        </w:tabs>
        <w:numPr>
          <w:ilvl w:val="0"/>
          <w:numId w:val="41"/>
        </w:numPr>
        <w:rPr>
          <w:rFonts w:ascii="Arial" w:cs="Arial" w:eastAsia="Arial" w:hAnsi="Arial"/>
          <w:sz w:val="20"/>
          <w:szCs w:val="20"/>
          <w:color w:val="auto"/>
        </w:rPr>
      </w:pPr>
      <w:r>
        <w:rPr>
          <w:rFonts w:ascii="Arial" w:cs="Arial" w:eastAsia="Arial" w:hAnsi="Arial"/>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9" w:lineRule="exact"/>
        <w:rPr>
          <w:rFonts w:ascii="Arial" w:cs="Arial" w:eastAsia="Arial" w:hAnsi="Arial"/>
          <w:sz w:val="20"/>
          <w:szCs w:val="20"/>
          <w:color w:val="auto"/>
        </w:rPr>
      </w:pPr>
    </w:p>
    <w:p>
      <w:pPr>
        <w:jc w:val="both"/>
        <w:ind w:left="2180" w:hanging="430"/>
        <w:spacing w:after="0" w:line="250" w:lineRule="auto"/>
        <w:tabs>
          <w:tab w:leader="none" w:pos="2180" w:val="left"/>
        </w:tabs>
        <w:numPr>
          <w:ilvl w:val="1"/>
          <w:numId w:val="41"/>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9" w:lineRule="exact"/>
        <w:rPr>
          <w:rFonts w:ascii="Arial" w:cs="Arial" w:eastAsia="Arial" w:hAnsi="Arial"/>
          <w:sz w:val="20"/>
          <w:szCs w:val="20"/>
          <w:color w:val="auto"/>
        </w:rPr>
      </w:pPr>
    </w:p>
    <w:p>
      <w:pPr>
        <w:ind w:left="2180" w:hanging="430"/>
        <w:spacing w:after="0" w:line="260" w:lineRule="auto"/>
        <w:tabs>
          <w:tab w:leader="none" w:pos="2180" w:val="left"/>
        </w:tabs>
        <w:numPr>
          <w:ilvl w:val="1"/>
          <w:numId w:val="41"/>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420" w:type="dxa"/>
            <w:vAlign w:val="bottom"/>
          </w:tcPr>
          <w:p>
            <w:pPr>
              <w:spacing w:after="0"/>
              <w:rPr>
                <w:sz w:val="20"/>
                <w:szCs w:val="20"/>
                <w:color w:val="auto"/>
              </w:rPr>
            </w:pPr>
            <w:r>
              <w:rPr>
                <w:rFonts w:ascii="Arial" w:cs="Arial" w:eastAsia="Arial" w:hAnsi="Arial"/>
                <w:sz w:val="20"/>
                <w:szCs w:val="20"/>
                <w:color w:val="auto"/>
              </w:rPr>
              <w:t>Date: November 5, 2015</w:t>
            </w:r>
          </w:p>
        </w:tc>
        <w:tc>
          <w:tcPr>
            <w:tcW w:w="7000" w:type="dxa"/>
            <w:vAlign w:val="bottom"/>
            <w:gridSpan w:val="2"/>
          </w:tcPr>
          <w:p>
            <w:pPr>
              <w:ind w:left="2440"/>
              <w:spacing w:after="0"/>
              <w:rPr>
                <w:sz w:val="20"/>
                <w:szCs w:val="20"/>
                <w:color w:val="auto"/>
              </w:rPr>
            </w:pPr>
            <w:r>
              <w:rPr>
                <w:rFonts w:ascii="Arial" w:cs="Arial" w:eastAsia="Arial" w:hAnsi="Arial"/>
                <w:sz w:val="20"/>
                <w:szCs w:val="20"/>
                <w:color w:val="auto"/>
              </w:rPr>
              <w:t>By:  /s/ C. Howard Nye</w:t>
            </w:r>
          </w:p>
        </w:tc>
      </w:tr>
      <w:tr>
        <w:trPr>
          <w:trHeight w:val="206"/>
        </w:trPr>
        <w:tc>
          <w:tcPr>
            <w:tcW w:w="442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4100" w:type="dxa"/>
            <w:vAlign w:val="bottom"/>
            <w:tcBorders>
              <w:top w:val="single" w:sz="8" w:color="auto"/>
            </w:tcBorders>
          </w:tcPr>
          <w:p>
            <w:pPr>
              <w:spacing w:after="0" w:line="207" w:lineRule="exact"/>
              <w:rPr>
                <w:sz w:val="20"/>
                <w:szCs w:val="20"/>
                <w:color w:val="auto"/>
              </w:rPr>
            </w:pPr>
            <w:r>
              <w:rPr>
                <w:rFonts w:ascii="Arial" w:cs="Arial" w:eastAsia="Arial" w:hAnsi="Arial"/>
                <w:sz w:val="20"/>
                <w:szCs w:val="20"/>
                <w:color w:val="auto"/>
              </w:rPr>
              <w:t>C. Howard Nye</w:t>
            </w:r>
          </w:p>
        </w:tc>
      </w:tr>
      <w:tr>
        <w:trPr>
          <w:trHeight w:val="230"/>
        </w:trPr>
        <w:tc>
          <w:tcPr>
            <w:tcW w:w="442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20"/>
                <w:szCs w:val="20"/>
                <w:color w:val="auto"/>
              </w:rPr>
              <w:t>Chairman, President and</w:t>
            </w:r>
          </w:p>
        </w:tc>
      </w:tr>
      <w:tr>
        <w:trPr>
          <w:trHeight w:val="250"/>
        </w:trPr>
        <w:tc>
          <w:tcPr>
            <w:tcW w:w="4420" w:type="dxa"/>
            <w:vAlign w:val="bottom"/>
          </w:tcPr>
          <w:p>
            <w:pPr>
              <w:spacing w:after="0"/>
              <w:rPr>
                <w:sz w:val="21"/>
                <w:szCs w:val="21"/>
                <w:color w:val="auto"/>
              </w:rPr>
            </w:pPr>
          </w:p>
        </w:tc>
        <w:tc>
          <w:tcPr>
            <w:tcW w:w="2900" w:type="dxa"/>
            <w:vAlign w:val="bottom"/>
          </w:tcPr>
          <w:p>
            <w:pPr>
              <w:spacing w:after="0"/>
              <w:rPr>
                <w:sz w:val="21"/>
                <w:szCs w:val="21"/>
                <w:color w:val="auto"/>
              </w:rPr>
            </w:pPr>
          </w:p>
        </w:tc>
        <w:tc>
          <w:tcPr>
            <w:tcW w:w="4100" w:type="dxa"/>
            <w:vAlign w:val="bottom"/>
          </w:tcPr>
          <w:p>
            <w:pPr>
              <w:ind w:left="140"/>
              <w:spacing w:after="0"/>
              <w:rPr>
                <w:sz w:val="20"/>
                <w:szCs w:val="20"/>
                <w:color w:val="auto"/>
              </w:rPr>
            </w:pPr>
            <w:r>
              <w:rPr>
                <w:rFonts w:ascii="Arial" w:cs="Arial" w:eastAsia="Arial" w:hAnsi="Arial"/>
                <w:sz w:val="20"/>
                <w:szCs w:val="20"/>
                <w:color w:val="auto"/>
              </w:rPr>
              <w:t>Chief Executive Officer</w:t>
            </w:r>
          </w:p>
        </w:tc>
      </w:tr>
    </w:tbl>
    <w:p>
      <w:pPr>
        <w:sectPr>
          <w:pgSz w:w="11900" w:h="16838" w:orient="portrait"/>
          <w:cols w:equalWidth="0" w:num="1">
            <w:col w:w="11420"/>
          </w:cols>
          <w:pgMar w:left="240" w:top="1041" w:right="239" w:bottom="1440" w:gutter="0" w:footer="0" w:header="0"/>
        </w:sectPr>
      </w:pPr>
    </w:p>
    <w:bookmarkStart w:id="65" w:name="page66"/>
    <w:bookmarkEnd w:id="65"/>
    <w:p>
      <w:pPr>
        <w:jc w:val="right"/>
        <w:spacing w:after="0"/>
        <w:rPr>
          <w:sz w:val="20"/>
          <w:szCs w:val="20"/>
          <w:color w:val="auto"/>
        </w:rPr>
      </w:pPr>
      <w:r>
        <w:rPr>
          <w:rFonts w:ascii="Arial" w:cs="Arial" w:eastAsia="Arial" w:hAnsi="Arial"/>
          <w:sz w:val="20"/>
          <w:szCs w:val="20"/>
          <w:b w:val="1"/>
          <w:bCs w:val="1"/>
          <w:color w:val="auto"/>
        </w:rPr>
        <w:t>EXHIBIT 31.02</w:t>
      </w:r>
    </w:p>
    <w:p>
      <w:pPr>
        <w:spacing w:after="0" w:line="200" w:lineRule="exact"/>
        <w:rPr>
          <w:sz w:val="20"/>
          <w:szCs w:val="20"/>
          <w:color w:val="auto"/>
        </w:rPr>
      </w:pPr>
    </w:p>
    <w:p>
      <w:pPr>
        <w:spacing w:after="0" w:line="286" w:lineRule="exact"/>
        <w:rPr>
          <w:sz w:val="20"/>
          <w:szCs w:val="20"/>
          <w:color w:val="auto"/>
        </w:rPr>
      </w:pPr>
    </w:p>
    <w:p>
      <w:pPr>
        <w:jc w:val="center"/>
        <w:ind w:left="260" w:right="100"/>
        <w:spacing w:after="0" w:line="267" w:lineRule="auto"/>
        <w:rPr>
          <w:sz w:val="20"/>
          <w:szCs w:val="20"/>
          <w:color w:val="auto"/>
        </w:rPr>
      </w:pPr>
      <w:r>
        <w:rPr>
          <w:rFonts w:ascii="Arial" w:cs="Arial" w:eastAsia="Arial" w:hAnsi="Arial"/>
          <w:sz w:val="20"/>
          <w:szCs w:val="20"/>
          <w:b w:val="1"/>
          <w:bCs w:val="1"/>
          <w:color w:val="auto"/>
        </w:rPr>
        <w:t>CERTIFICATION PURSUANT TO SECURITIES AND EXCHANGE ACT OF 1934 RULE 13a-14 AS ADOPTED PURSUANT TO SECTION 302 OF SARBANES-OXLEY ACT OF 2002</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color w:val="auto"/>
        </w:rPr>
        <w:t>I, Anne H. Lloyd, certify that:</w:t>
      </w:r>
    </w:p>
    <w:p>
      <w:pPr>
        <w:spacing w:after="0" w:line="229" w:lineRule="exact"/>
        <w:rPr>
          <w:sz w:val="20"/>
          <w:szCs w:val="20"/>
          <w:color w:val="auto"/>
        </w:rPr>
      </w:pPr>
    </w:p>
    <w:p>
      <w:pPr>
        <w:ind w:left="1300" w:hanging="428"/>
        <w:spacing w:after="0"/>
        <w:tabs>
          <w:tab w:leader="none" w:pos="1300" w:val="left"/>
        </w:tabs>
        <w:numPr>
          <w:ilvl w:val="0"/>
          <w:numId w:val="42"/>
        </w:numPr>
        <w:rPr>
          <w:rFonts w:ascii="Arial" w:cs="Arial" w:eastAsia="Arial" w:hAnsi="Arial"/>
          <w:sz w:val="20"/>
          <w:szCs w:val="20"/>
          <w:color w:val="auto"/>
        </w:rPr>
      </w:pPr>
      <w:r>
        <w:rPr>
          <w:rFonts w:ascii="Arial" w:cs="Arial" w:eastAsia="Arial" w:hAnsi="Arial"/>
          <w:sz w:val="20"/>
          <w:szCs w:val="20"/>
          <w:color w:val="auto"/>
        </w:rPr>
        <w:t>I have reviewed this Form 10-Q of Martin Marietta Materials, Inc.;</w:t>
      </w:r>
    </w:p>
    <w:p>
      <w:pPr>
        <w:spacing w:after="0" w:line="229" w:lineRule="exact"/>
        <w:rPr>
          <w:rFonts w:ascii="Arial" w:cs="Arial" w:eastAsia="Arial" w:hAnsi="Arial"/>
          <w:sz w:val="20"/>
          <w:szCs w:val="20"/>
          <w:color w:val="auto"/>
        </w:rPr>
      </w:pPr>
    </w:p>
    <w:p>
      <w:pPr>
        <w:jc w:val="both"/>
        <w:ind w:left="1300" w:hanging="428"/>
        <w:spacing w:after="0" w:line="250" w:lineRule="auto"/>
        <w:tabs>
          <w:tab w:leader="none" w:pos="1300" w:val="left"/>
        </w:tabs>
        <w:numPr>
          <w:ilvl w:val="0"/>
          <w:numId w:val="42"/>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9" w:lineRule="exact"/>
        <w:rPr>
          <w:rFonts w:ascii="Arial" w:cs="Arial" w:eastAsia="Arial" w:hAnsi="Arial"/>
          <w:sz w:val="20"/>
          <w:szCs w:val="20"/>
          <w:color w:val="auto"/>
        </w:rPr>
      </w:pPr>
    </w:p>
    <w:p>
      <w:pPr>
        <w:jc w:val="both"/>
        <w:ind w:left="1300" w:hanging="428"/>
        <w:spacing w:after="0" w:line="250" w:lineRule="auto"/>
        <w:tabs>
          <w:tab w:leader="none" w:pos="1300" w:val="left"/>
        </w:tabs>
        <w:numPr>
          <w:ilvl w:val="0"/>
          <w:numId w:val="42"/>
        </w:numPr>
        <w:rPr>
          <w:rFonts w:ascii="Arial" w:cs="Arial" w:eastAsia="Arial" w:hAnsi="Arial"/>
          <w:sz w:val="20"/>
          <w:szCs w:val="20"/>
          <w:color w:val="auto"/>
        </w:rPr>
      </w:pPr>
      <w:r>
        <w:rPr>
          <w:rFonts w:ascii="Arial" w:cs="Arial" w:eastAsia="Arial" w:hAnsi="Arial"/>
          <w:sz w:val="20"/>
          <w:szCs w:val="20"/>
          <w:color w:val="auto"/>
        </w:rPr>
        <w:t>Based on my knowledge, the consolidated financial statements, and other financial information included in this report, fairly present in all material respects the consolidated financial condition, results of operations and cash flows of the registrant as of, and for, the periods presented in this report;</w:t>
      </w:r>
    </w:p>
    <w:p>
      <w:pPr>
        <w:spacing w:after="0" w:line="199" w:lineRule="exact"/>
        <w:rPr>
          <w:rFonts w:ascii="Arial" w:cs="Arial" w:eastAsia="Arial" w:hAnsi="Arial"/>
          <w:sz w:val="20"/>
          <w:szCs w:val="20"/>
          <w:color w:val="auto"/>
        </w:rPr>
      </w:pPr>
    </w:p>
    <w:p>
      <w:pPr>
        <w:jc w:val="both"/>
        <w:ind w:left="1300" w:right="20" w:hanging="428"/>
        <w:spacing w:after="0" w:line="250" w:lineRule="auto"/>
        <w:tabs>
          <w:tab w:leader="none" w:pos="1300" w:val="left"/>
        </w:tabs>
        <w:numPr>
          <w:ilvl w:val="0"/>
          <w:numId w:val="42"/>
        </w:numPr>
        <w:rPr>
          <w:rFonts w:ascii="Arial" w:cs="Arial" w:eastAsia="Arial" w:hAnsi="Arial"/>
          <w:sz w:val="20"/>
          <w:szCs w:val="20"/>
          <w:color w:val="auto"/>
        </w:rPr>
      </w:pPr>
      <w:r>
        <w:rPr>
          <w:rFonts w:ascii="Arial" w:cs="Arial" w:eastAsia="Arial" w:hAnsi="Arial"/>
          <w:sz w:val="20"/>
          <w:szCs w:val="20"/>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9" w:lineRule="exact"/>
        <w:rPr>
          <w:rFonts w:ascii="Arial" w:cs="Arial" w:eastAsia="Arial" w:hAnsi="Arial"/>
          <w:sz w:val="20"/>
          <w:szCs w:val="20"/>
          <w:color w:val="auto"/>
        </w:rPr>
      </w:pPr>
    </w:p>
    <w:p>
      <w:pPr>
        <w:jc w:val="both"/>
        <w:ind w:left="2180" w:hanging="430"/>
        <w:spacing w:after="0" w:line="246" w:lineRule="auto"/>
        <w:tabs>
          <w:tab w:leader="none" w:pos="2180" w:val="left"/>
        </w:tabs>
        <w:numPr>
          <w:ilvl w:val="1"/>
          <w:numId w:val="42"/>
        </w:numPr>
        <w:rPr>
          <w:rFonts w:ascii="Arial" w:cs="Arial" w:eastAsia="Arial" w:hAnsi="Arial"/>
          <w:sz w:val="20"/>
          <w:szCs w:val="20"/>
          <w:color w:val="auto"/>
        </w:rPr>
      </w:pPr>
      <w:r>
        <w:rPr>
          <w:rFonts w:ascii="Arial" w:cs="Arial" w:eastAsia="Arial" w:hAnsi="Arial"/>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5" w:lineRule="exact"/>
        <w:rPr>
          <w:rFonts w:ascii="Arial" w:cs="Arial" w:eastAsia="Arial" w:hAnsi="Arial"/>
          <w:sz w:val="20"/>
          <w:szCs w:val="20"/>
          <w:color w:val="auto"/>
        </w:rPr>
      </w:pPr>
    </w:p>
    <w:p>
      <w:pPr>
        <w:jc w:val="both"/>
        <w:ind w:left="2180" w:hanging="430"/>
        <w:spacing w:after="0" w:line="246" w:lineRule="auto"/>
        <w:tabs>
          <w:tab w:leader="none" w:pos="2180" w:val="left"/>
        </w:tabs>
        <w:numPr>
          <w:ilvl w:val="1"/>
          <w:numId w:val="42"/>
        </w:numPr>
        <w:rPr>
          <w:rFonts w:ascii="Arial" w:cs="Arial" w:eastAsia="Arial" w:hAnsi="Arial"/>
          <w:sz w:val="20"/>
          <w:szCs w:val="20"/>
          <w:color w:val="auto"/>
        </w:rPr>
      </w:pPr>
      <w:r>
        <w:rPr>
          <w:rFonts w:ascii="Arial" w:cs="Arial" w:eastAsia="Arial" w:hAnsi="Arial"/>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consolidated financial statements for external purposes in accordance with generally accepted accounting principles;</w:t>
      </w:r>
    </w:p>
    <w:p>
      <w:pPr>
        <w:spacing w:after="0" w:line="205" w:lineRule="exact"/>
        <w:rPr>
          <w:rFonts w:ascii="Arial" w:cs="Arial" w:eastAsia="Arial" w:hAnsi="Arial"/>
          <w:sz w:val="20"/>
          <w:szCs w:val="20"/>
          <w:color w:val="auto"/>
        </w:rPr>
      </w:pPr>
    </w:p>
    <w:p>
      <w:pPr>
        <w:jc w:val="both"/>
        <w:ind w:left="2180" w:hanging="430"/>
        <w:spacing w:after="0" w:line="250" w:lineRule="auto"/>
        <w:tabs>
          <w:tab w:leader="none" w:pos="2180" w:val="left"/>
        </w:tabs>
        <w:numPr>
          <w:ilvl w:val="1"/>
          <w:numId w:val="42"/>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9" w:lineRule="exact"/>
        <w:rPr>
          <w:rFonts w:ascii="Arial" w:cs="Arial" w:eastAsia="Arial" w:hAnsi="Arial"/>
          <w:sz w:val="20"/>
          <w:szCs w:val="20"/>
          <w:color w:val="auto"/>
        </w:rPr>
      </w:pPr>
    </w:p>
    <w:p>
      <w:pPr>
        <w:jc w:val="both"/>
        <w:ind w:left="2180" w:hanging="430"/>
        <w:spacing w:after="0" w:line="250" w:lineRule="auto"/>
        <w:tabs>
          <w:tab w:leader="none" w:pos="2180" w:val="left"/>
        </w:tabs>
        <w:numPr>
          <w:ilvl w:val="1"/>
          <w:numId w:val="42"/>
        </w:numPr>
        <w:rPr>
          <w:rFonts w:ascii="Arial" w:cs="Arial" w:eastAsia="Arial" w:hAnsi="Arial"/>
          <w:sz w:val="20"/>
          <w:szCs w:val="20"/>
          <w:color w:val="auto"/>
        </w:rPr>
      </w:pPr>
      <w:r>
        <w:rPr>
          <w:rFonts w:ascii="Arial" w:cs="Arial" w:eastAsia="Arial" w:hAnsi="Arial"/>
          <w:sz w:val="20"/>
          <w:szCs w:val="20"/>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2891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03" w:right="239" w:bottom="1440" w:gutter="0" w:footer="0" w:header="0"/>
        </w:sectPr>
      </w:pPr>
    </w:p>
    <w:bookmarkStart w:id="66" w:name="page67"/>
    <w:bookmarkEnd w:id="66"/>
    <w:p>
      <w:pPr>
        <w:jc w:val="both"/>
        <w:ind w:left="1300" w:hanging="428"/>
        <w:spacing w:after="0" w:line="250" w:lineRule="auto"/>
        <w:tabs>
          <w:tab w:leader="none" w:pos="1300" w:val="left"/>
        </w:tabs>
        <w:numPr>
          <w:ilvl w:val="0"/>
          <w:numId w:val="43"/>
        </w:numPr>
        <w:rPr>
          <w:rFonts w:ascii="Arial" w:cs="Arial" w:eastAsia="Arial" w:hAnsi="Arial"/>
          <w:sz w:val="20"/>
          <w:szCs w:val="20"/>
          <w:color w:val="auto"/>
        </w:rPr>
      </w:pPr>
      <w:r>
        <w:rPr>
          <w:rFonts w:ascii="Arial" w:cs="Arial" w:eastAsia="Arial" w:hAnsi="Arial"/>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9" w:lineRule="exact"/>
        <w:rPr>
          <w:rFonts w:ascii="Arial" w:cs="Arial" w:eastAsia="Arial" w:hAnsi="Arial"/>
          <w:sz w:val="20"/>
          <w:szCs w:val="20"/>
          <w:color w:val="auto"/>
        </w:rPr>
      </w:pPr>
    </w:p>
    <w:p>
      <w:pPr>
        <w:jc w:val="both"/>
        <w:ind w:left="2180" w:hanging="430"/>
        <w:spacing w:after="0" w:line="250" w:lineRule="auto"/>
        <w:tabs>
          <w:tab w:leader="none" w:pos="2180" w:val="left"/>
        </w:tabs>
        <w:numPr>
          <w:ilvl w:val="1"/>
          <w:numId w:val="43"/>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99" w:lineRule="exact"/>
        <w:rPr>
          <w:rFonts w:ascii="Arial" w:cs="Arial" w:eastAsia="Arial" w:hAnsi="Arial"/>
          <w:sz w:val="20"/>
          <w:szCs w:val="20"/>
          <w:color w:val="auto"/>
        </w:rPr>
      </w:pPr>
    </w:p>
    <w:p>
      <w:pPr>
        <w:ind w:left="2180" w:hanging="430"/>
        <w:spacing w:after="0" w:line="260" w:lineRule="auto"/>
        <w:tabs>
          <w:tab w:leader="none" w:pos="2180" w:val="left"/>
        </w:tabs>
        <w:numPr>
          <w:ilvl w:val="1"/>
          <w:numId w:val="43"/>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400" w:type="dxa"/>
            <w:vAlign w:val="bottom"/>
          </w:tcPr>
          <w:p>
            <w:pPr>
              <w:spacing w:after="0"/>
              <w:rPr>
                <w:sz w:val="20"/>
                <w:szCs w:val="20"/>
                <w:color w:val="auto"/>
              </w:rPr>
            </w:pPr>
            <w:r>
              <w:rPr>
                <w:rFonts w:ascii="Arial" w:cs="Arial" w:eastAsia="Arial" w:hAnsi="Arial"/>
                <w:sz w:val="20"/>
                <w:szCs w:val="20"/>
                <w:color w:val="auto"/>
              </w:rPr>
              <w:t>Date: November 5, 2015</w:t>
            </w:r>
          </w:p>
        </w:tc>
        <w:tc>
          <w:tcPr>
            <w:tcW w:w="7020" w:type="dxa"/>
            <w:vAlign w:val="bottom"/>
            <w:gridSpan w:val="2"/>
          </w:tcPr>
          <w:p>
            <w:pPr>
              <w:ind w:left="2460"/>
              <w:spacing w:after="0"/>
              <w:rPr>
                <w:sz w:val="20"/>
                <w:szCs w:val="20"/>
                <w:color w:val="auto"/>
              </w:rPr>
            </w:pPr>
            <w:r>
              <w:rPr>
                <w:rFonts w:ascii="Arial" w:cs="Arial" w:eastAsia="Arial" w:hAnsi="Arial"/>
                <w:sz w:val="20"/>
                <w:szCs w:val="20"/>
                <w:color w:val="auto"/>
              </w:rPr>
              <w:t>By:  /s/ Anne H. Lloyd</w:t>
            </w:r>
          </w:p>
        </w:tc>
      </w:tr>
      <w:tr>
        <w:trPr>
          <w:trHeight w:val="206"/>
        </w:trPr>
        <w:tc>
          <w:tcPr>
            <w:tcW w:w="440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4100" w:type="dxa"/>
            <w:vAlign w:val="bottom"/>
            <w:tcBorders>
              <w:top w:val="single" w:sz="8" w:color="auto"/>
            </w:tcBorders>
          </w:tcPr>
          <w:p>
            <w:pPr>
              <w:spacing w:after="0" w:line="207" w:lineRule="exact"/>
              <w:rPr>
                <w:sz w:val="20"/>
                <w:szCs w:val="20"/>
                <w:color w:val="auto"/>
              </w:rPr>
            </w:pPr>
            <w:r>
              <w:rPr>
                <w:rFonts w:ascii="Arial" w:cs="Arial" w:eastAsia="Arial" w:hAnsi="Arial"/>
                <w:sz w:val="20"/>
                <w:szCs w:val="20"/>
                <w:color w:val="auto"/>
              </w:rPr>
              <w:t>Anne H. Lloyd</w:t>
            </w:r>
          </w:p>
        </w:tc>
      </w:tr>
      <w:tr>
        <w:trPr>
          <w:trHeight w:val="230"/>
        </w:trPr>
        <w:tc>
          <w:tcPr>
            <w:tcW w:w="440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20"/>
                <w:szCs w:val="20"/>
                <w:color w:val="auto"/>
              </w:rPr>
              <w:t>Executive Vice President and</w:t>
            </w:r>
          </w:p>
        </w:tc>
      </w:tr>
      <w:tr>
        <w:trPr>
          <w:trHeight w:val="250"/>
        </w:trPr>
        <w:tc>
          <w:tcPr>
            <w:tcW w:w="4400" w:type="dxa"/>
            <w:vAlign w:val="bottom"/>
          </w:tcPr>
          <w:p>
            <w:pPr>
              <w:spacing w:after="0"/>
              <w:rPr>
                <w:sz w:val="21"/>
                <w:szCs w:val="21"/>
                <w:color w:val="auto"/>
              </w:rPr>
            </w:pPr>
          </w:p>
        </w:tc>
        <w:tc>
          <w:tcPr>
            <w:tcW w:w="2920" w:type="dxa"/>
            <w:vAlign w:val="bottom"/>
          </w:tcPr>
          <w:p>
            <w:pPr>
              <w:spacing w:after="0"/>
              <w:rPr>
                <w:sz w:val="21"/>
                <w:szCs w:val="21"/>
                <w:color w:val="auto"/>
              </w:rPr>
            </w:pPr>
          </w:p>
        </w:tc>
        <w:tc>
          <w:tcPr>
            <w:tcW w:w="4100" w:type="dxa"/>
            <w:vAlign w:val="bottom"/>
          </w:tcPr>
          <w:p>
            <w:pPr>
              <w:ind w:left="140"/>
              <w:spacing w:after="0"/>
              <w:rPr>
                <w:sz w:val="20"/>
                <w:szCs w:val="20"/>
                <w:color w:val="auto"/>
              </w:rPr>
            </w:pPr>
            <w:r>
              <w:rPr>
                <w:rFonts w:ascii="Arial" w:cs="Arial" w:eastAsia="Arial" w:hAnsi="Arial"/>
                <w:sz w:val="20"/>
                <w:szCs w:val="20"/>
                <w:color w:val="auto"/>
              </w:rPr>
              <w:t>Chief Financial Officer</w:t>
            </w:r>
          </w:p>
        </w:tc>
      </w:tr>
    </w:tbl>
    <w:p>
      <w:pPr>
        <w:sectPr>
          <w:pgSz w:w="11900" w:h="16838" w:orient="portrait"/>
          <w:cols w:equalWidth="0" w:num="1">
            <w:col w:w="11420"/>
          </w:cols>
          <w:pgMar w:left="240" w:top="1041" w:right="239" w:bottom="1440" w:gutter="0" w:footer="0" w:header="0"/>
        </w:sectPr>
      </w:pPr>
    </w:p>
    <w:bookmarkStart w:id="67" w:name="page68"/>
    <w:bookmarkEnd w:id="67"/>
    <w:p>
      <w:pPr>
        <w:jc w:val="right"/>
        <w:spacing w:after="0"/>
        <w:rPr>
          <w:sz w:val="20"/>
          <w:szCs w:val="20"/>
          <w:color w:val="auto"/>
        </w:rPr>
      </w:pPr>
      <w:r>
        <w:rPr>
          <w:rFonts w:ascii="Arial" w:cs="Arial" w:eastAsia="Arial" w:hAnsi="Arial"/>
          <w:sz w:val="20"/>
          <w:szCs w:val="20"/>
          <w:b w:val="1"/>
          <w:bCs w:val="1"/>
          <w:color w:val="auto"/>
        </w:rPr>
        <w:t>EXHIBIT 32.01</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Written Statement Pursuant to 18 U.S.C. 1350,</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As Adopted Pursuant to Section 906 of the Sarbanes-Oxley Act of 2002</w:t>
      </w:r>
    </w:p>
    <w:p>
      <w:pPr>
        <w:spacing w:after="0" w:line="200" w:lineRule="exact"/>
        <w:rPr>
          <w:sz w:val="20"/>
          <w:szCs w:val="20"/>
          <w:color w:val="auto"/>
        </w:rPr>
      </w:pPr>
    </w:p>
    <w:p>
      <w:pPr>
        <w:spacing w:after="0" w:line="243" w:lineRule="exact"/>
        <w:rPr>
          <w:sz w:val="20"/>
          <w:szCs w:val="20"/>
          <w:color w:val="auto"/>
        </w:rPr>
      </w:pPr>
    </w:p>
    <w:p>
      <w:pPr>
        <w:jc w:val="both"/>
        <w:ind w:firstLine="877"/>
        <w:spacing w:after="0" w:line="250" w:lineRule="auto"/>
        <w:rPr>
          <w:sz w:val="20"/>
          <w:szCs w:val="20"/>
          <w:color w:val="auto"/>
        </w:rPr>
      </w:pPr>
      <w:r>
        <w:rPr>
          <w:rFonts w:ascii="Arial" w:cs="Arial" w:eastAsia="Arial" w:hAnsi="Arial"/>
          <w:sz w:val="20"/>
          <w:szCs w:val="20"/>
          <w:color w:val="auto"/>
        </w:rPr>
        <w:t>In connection with the Quarterly Report on Form 10-Q for the period ended September 30, 2015 (the “Report”) of Martin Marietta Materials, Inc. (the “Registrant”), as filed with the Securities and Exchange Commission on the date hereof, I, C. Howard Nye, the Chief Executive Officer of the Registrant, certify, to the best of my knowledge, that:</w:t>
      </w:r>
    </w:p>
    <w:p>
      <w:pPr>
        <w:spacing w:after="0" w:line="200" w:lineRule="exact"/>
        <w:rPr>
          <w:sz w:val="20"/>
          <w:szCs w:val="20"/>
          <w:color w:val="auto"/>
        </w:rPr>
      </w:pPr>
    </w:p>
    <w:p>
      <w:pPr>
        <w:ind w:left="1740" w:hanging="868"/>
        <w:spacing w:after="0" w:line="260" w:lineRule="auto"/>
        <w:tabs>
          <w:tab w:leader="none" w:pos="1740" w:val="left"/>
        </w:tabs>
        <w:numPr>
          <w:ilvl w:val="0"/>
          <w:numId w:val="44"/>
        </w:numPr>
        <w:rPr>
          <w:rFonts w:ascii="Arial" w:cs="Arial" w:eastAsia="Arial" w:hAnsi="Arial"/>
          <w:sz w:val="20"/>
          <w:szCs w:val="20"/>
          <w:color w:val="auto"/>
        </w:rPr>
      </w:pPr>
      <w:r>
        <w:rPr>
          <w:rFonts w:ascii="Arial" w:cs="Arial" w:eastAsia="Arial" w:hAnsi="Arial"/>
          <w:sz w:val="20"/>
          <w:szCs w:val="20"/>
          <w:color w:val="auto"/>
        </w:rPr>
        <w:t>the Report fully complies with the requirements of Section 13(a) or 15(d) of the Securities Exchange Act of 1934, as amended; and</w:t>
      </w:r>
    </w:p>
    <w:p>
      <w:pPr>
        <w:spacing w:after="0" w:line="190" w:lineRule="exact"/>
        <w:rPr>
          <w:rFonts w:ascii="Arial" w:cs="Arial" w:eastAsia="Arial" w:hAnsi="Arial"/>
          <w:sz w:val="20"/>
          <w:szCs w:val="20"/>
          <w:color w:val="auto"/>
        </w:rPr>
      </w:pPr>
    </w:p>
    <w:p>
      <w:pPr>
        <w:ind w:left="1740" w:right="20" w:hanging="868"/>
        <w:spacing w:after="0" w:line="260" w:lineRule="auto"/>
        <w:tabs>
          <w:tab w:leader="none" w:pos="1740" w:val="left"/>
        </w:tabs>
        <w:numPr>
          <w:ilvl w:val="0"/>
          <w:numId w:val="44"/>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6860"/>
        <w:spacing w:after="0"/>
        <w:rPr>
          <w:sz w:val="20"/>
          <w:szCs w:val="20"/>
          <w:color w:val="auto"/>
        </w:rPr>
      </w:pPr>
      <w:r>
        <w:rPr>
          <w:rFonts w:ascii="Arial" w:cs="Arial" w:eastAsia="Arial" w:hAnsi="Arial"/>
          <w:sz w:val="20"/>
          <w:szCs w:val="20"/>
          <w:color w:val="auto"/>
        </w:rPr>
        <w:t>/s/ C. Howard Nye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10160</wp:posOffset>
            </wp:positionV>
            <wp:extent cx="289877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20"/>
          <w:szCs w:val="20"/>
          <w:color w:val="auto"/>
        </w:rPr>
        <w:t>C. Howard Nye</w:t>
      </w:r>
    </w:p>
    <w:p>
      <w:pPr>
        <w:spacing w:after="0" w:line="8" w:lineRule="exact"/>
        <w:rPr>
          <w:sz w:val="20"/>
          <w:szCs w:val="20"/>
          <w:color w:val="auto"/>
        </w:rPr>
      </w:pPr>
    </w:p>
    <w:p>
      <w:pPr>
        <w:ind w:left="6860"/>
        <w:spacing w:after="0"/>
        <w:rPr>
          <w:sz w:val="20"/>
          <w:szCs w:val="20"/>
          <w:color w:val="auto"/>
        </w:rPr>
      </w:pPr>
      <w:r>
        <w:rPr>
          <w:rFonts w:ascii="Arial" w:cs="Arial" w:eastAsia="Arial" w:hAnsi="Arial"/>
          <w:sz w:val="20"/>
          <w:szCs w:val="20"/>
          <w:color w:val="auto"/>
        </w:rPr>
        <w:t>Chairman, President and</w:t>
      </w:r>
    </w:p>
    <w:p>
      <w:pPr>
        <w:ind w:left="7000"/>
        <w:spacing w:after="0"/>
        <w:rPr>
          <w:sz w:val="20"/>
          <w:szCs w:val="20"/>
          <w:color w:val="auto"/>
        </w:rPr>
      </w:pPr>
      <w:r>
        <w:rPr>
          <w:rFonts w:ascii="Arial" w:cs="Arial" w:eastAsia="Arial" w:hAnsi="Arial"/>
          <w:sz w:val="20"/>
          <w:szCs w:val="20"/>
          <w:color w:val="auto"/>
        </w:rPr>
        <w:t>Chief Executive Officer</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Dated: November 5, 2015</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A signed original of this written statement required by Section 906 has been provided to Martin Marietta Materials, Inc. and will be retained by Martin Marietta Materials, Inc. and furnished to the Securities and Exchange Commission or its staff upon request.</w:t>
      </w:r>
    </w:p>
    <w:p>
      <w:pPr>
        <w:sectPr>
          <w:pgSz w:w="11900" w:h="16838" w:orient="portrait"/>
          <w:cols w:equalWidth="0" w:num="1">
            <w:col w:w="11420"/>
          </w:cols>
          <w:pgMar w:left="240" w:top="576" w:right="239" w:bottom="1440" w:gutter="0" w:footer="0" w:header="0"/>
        </w:sectPr>
      </w:pPr>
    </w:p>
    <w:bookmarkStart w:id="68" w:name="page69"/>
    <w:bookmarkEnd w:id="68"/>
    <w:p>
      <w:pPr>
        <w:jc w:val="right"/>
        <w:spacing w:after="0"/>
        <w:rPr>
          <w:sz w:val="20"/>
          <w:szCs w:val="20"/>
          <w:color w:val="auto"/>
        </w:rPr>
      </w:pPr>
      <w:r>
        <w:rPr>
          <w:rFonts w:ascii="Arial" w:cs="Arial" w:eastAsia="Arial" w:hAnsi="Arial"/>
          <w:sz w:val="20"/>
          <w:szCs w:val="20"/>
          <w:b w:val="1"/>
          <w:bCs w:val="1"/>
          <w:color w:val="auto"/>
        </w:rPr>
        <w:t>EXHIBIT 32.02</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Written Statement Pursuant to 18 U.S.C. 1350,</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As Adopted Pursuant to Section 906 of the Sarbanes-Oxley Act of 2002</w:t>
      </w:r>
    </w:p>
    <w:p>
      <w:pPr>
        <w:spacing w:after="0" w:line="200" w:lineRule="exact"/>
        <w:rPr>
          <w:sz w:val="20"/>
          <w:szCs w:val="20"/>
          <w:color w:val="auto"/>
        </w:rPr>
      </w:pPr>
    </w:p>
    <w:p>
      <w:pPr>
        <w:spacing w:after="0" w:line="243" w:lineRule="exact"/>
        <w:rPr>
          <w:sz w:val="20"/>
          <w:szCs w:val="20"/>
          <w:color w:val="auto"/>
        </w:rPr>
      </w:pPr>
    </w:p>
    <w:p>
      <w:pPr>
        <w:jc w:val="both"/>
        <w:ind w:firstLine="877"/>
        <w:spacing w:after="0" w:line="250" w:lineRule="auto"/>
        <w:rPr>
          <w:sz w:val="20"/>
          <w:szCs w:val="20"/>
          <w:color w:val="auto"/>
        </w:rPr>
      </w:pPr>
      <w:r>
        <w:rPr>
          <w:rFonts w:ascii="Arial" w:cs="Arial" w:eastAsia="Arial" w:hAnsi="Arial"/>
          <w:sz w:val="20"/>
          <w:szCs w:val="20"/>
          <w:color w:val="auto"/>
        </w:rPr>
        <w:t>In connection with the Quarterly Report on Form 10-Q for the period ended September 30, 2015 (the “Report”) of Martin Marietta Materials, Inc. (the “Registrant”), as filed with the Securities and Exchange Commission on the date hereof, I, Anne H. Lloyd, the Chief Financial Officer of the Registrant, certify, to the best of my knowledge, that:</w:t>
      </w:r>
    </w:p>
    <w:p>
      <w:pPr>
        <w:spacing w:after="0" w:line="200" w:lineRule="exact"/>
        <w:rPr>
          <w:sz w:val="20"/>
          <w:szCs w:val="20"/>
          <w:color w:val="auto"/>
        </w:rPr>
      </w:pPr>
    </w:p>
    <w:p>
      <w:pPr>
        <w:ind w:left="1740" w:hanging="868"/>
        <w:spacing w:after="0" w:line="260" w:lineRule="auto"/>
        <w:tabs>
          <w:tab w:leader="none" w:pos="1740" w:val="left"/>
        </w:tabs>
        <w:numPr>
          <w:ilvl w:val="0"/>
          <w:numId w:val="45"/>
        </w:numPr>
        <w:rPr>
          <w:rFonts w:ascii="Arial" w:cs="Arial" w:eastAsia="Arial" w:hAnsi="Arial"/>
          <w:sz w:val="20"/>
          <w:szCs w:val="20"/>
          <w:color w:val="auto"/>
        </w:rPr>
      </w:pPr>
      <w:r>
        <w:rPr>
          <w:rFonts w:ascii="Arial" w:cs="Arial" w:eastAsia="Arial" w:hAnsi="Arial"/>
          <w:sz w:val="20"/>
          <w:szCs w:val="20"/>
          <w:color w:val="auto"/>
        </w:rPr>
        <w:t>the Report fully complies with the requirements of Section 13(a) or 15(d) of the Securities Exchange Act of 1934, as amended; and</w:t>
      </w:r>
    </w:p>
    <w:p>
      <w:pPr>
        <w:spacing w:after="0" w:line="190" w:lineRule="exact"/>
        <w:rPr>
          <w:rFonts w:ascii="Arial" w:cs="Arial" w:eastAsia="Arial" w:hAnsi="Arial"/>
          <w:sz w:val="20"/>
          <w:szCs w:val="20"/>
          <w:color w:val="auto"/>
        </w:rPr>
      </w:pPr>
    </w:p>
    <w:p>
      <w:pPr>
        <w:ind w:left="1740" w:right="20" w:hanging="868"/>
        <w:spacing w:after="0" w:line="260" w:lineRule="auto"/>
        <w:tabs>
          <w:tab w:leader="none" w:pos="1740" w:val="left"/>
        </w:tabs>
        <w:numPr>
          <w:ilvl w:val="0"/>
          <w:numId w:val="45"/>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6860"/>
        <w:spacing w:after="0"/>
        <w:rPr>
          <w:sz w:val="20"/>
          <w:szCs w:val="20"/>
          <w:color w:val="auto"/>
        </w:rPr>
      </w:pPr>
      <w:r>
        <w:rPr>
          <w:rFonts w:ascii="Arial" w:cs="Arial" w:eastAsia="Arial" w:hAnsi="Arial"/>
          <w:sz w:val="20"/>
          <w:szCs w:val="20"/>
          <w:color w:val="auto"/>
        </w:rPr>
        <w:t>/s/ Anne H. Lloyd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10160</wp:posOffset>
            </wp:positionV>
            <wp:extent cx="289877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20"/>
          <w:szCs w:val="20"/>
          <w:color w:val="auto"/>
        </w:rPr>
        <w:t>Anne H. Lloyd</w:t>
      </w:r>
    </w:p>
    <w:p>
      <w:pPr>
        <w:spacing w:after="0" w:line="8" w:lineRule="exact"/>
        <w:rPr>
          <w:sz w:val="20"/>
          <w:szCs w:val="20"/>
          <w:color w:val="auto"/>
        </w:rPr>
      </w:pPr>
    </w:p>
    <w:p>
      <w:pPr>
        <w:ind w:left="6860"/>
        <w:spacing w:after="0"/>
        <w:rPr>
          <w:sz w:val="20"/>
          <w:szCs w:val="20"/>
          <w:color w:val="auto"/>
        </w:rPr>
      </w:pPr>
      <w:r>
        <w:rPr>
          <w:rFonts w:ascii="Arial" w:cs="Arial" w:eastAsia="Arial" w:hAnsi="Arial"/>
          <w:sz w:val="20"/>
          <w:szCs w:val="20"/>
          <w:color w:val="auto"/>
        </w:rPr>
        <w:t>Executive Vice President and</w:t>
      </w:r>
    </w:p>
    <w:p>
      <w:pPr>
        <w:ind w:left="7000"/>
        <w:spacing w:after="0"/>
        <w:rPr>
          <w:sz w:val="20"/>
          <w:szCs w:val="20"/>
          <w:color w:val="auto"/>
        </w:rPr>
      </w:pPr>
      <w:r>
        <w:rPr>
          <w:rFonts w:ascii="Arial" w:cs="Arial" w:eastAsia="Arial" w:hAnsi="Arial"/>
          <w:sz w:val="20"/>
          <w:szCs w:val="20"/>
          <w:color w:val="auto"/>
        </w:rPr>
        <w:t>Chief Financial Officer</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Dated: November 5, 2015</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A signed original of this written statement required by Section 906 has been provided to Martin Marietta Materials, Inc. and will be retained by Martin Marietta Materials, Inc. and furnished to the Securities and Exchange Commission or its staff upon request.</w:t>
      </w:r>
    </w:p>
    <w:p>
      <w:pPr>
        <w:sectPr>
          <w:pgSz w:w="11900" w:h="16838" w:orient="portrait"/>
          <w:cols w:equalWidth="0" w:num="1">
            <w:col w:w="11420"/>
          </w:cols>
          <w:pgMar w:left="240" w:top="360" w:right="239" w:bottom="1440" w:gutter="0" w:footer="0" w:header="0"/>
        </w:sectPr>
      </w:pPr>
    </w:p>
    <w:bookmarkStart w:id="69" w:name="page70"/>
    <w:bookmarkEnd w:id="69"/>
    <w:p>
      <w:pPr>
        <w:jc w:val="right"/>
        <w:spacing w:after="0"/>
        <w:rPr>
          <w:sz w:val="20"/>
          <w:szCs w:val="20"/>
          <w:color w:val="auto"/>
        </w:rPr>
      </w:pPr>
      <w:r>
        <w:rPr>
          <w:rFonts w:ascii="Arial" w:cs="Arial" w:eastAsia="Arial" w:hAnsi="Arial"/>
          <w:sz w:val="20"/>
          <w:szCs w:val="20"/>
          <w:b w:val="1"/>
          <w:bCs w:val="1"/>
          <w:color w:val="auto"/>
        </w:rPr>
        <w:t>EXHIBIT 95</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MINE SAFETY DISCLOSURES</w:t>
      </w:r>
    </w:p>
    <w:p>
      <w:pPr>
        <w:spacing w:after="0" w:line="235"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The operation of the Corporation’s domestic aggregates quarries and mines is subject to regulation by the federal Mine Safety and Health Administration (MSHA) under the Federal Mine Safety and Health Act of 1977 (the “Mine Act”). MSHA inspects the Corporation’s quarries and mines on a regular basis and issues various citations and orders when it believes a violation has occurred under the Mine Act. Whenever MSHA issues a citation or order, it also generally proposes a civil penalty, or fine, related to the alleged violation. Citations or orders may be contested and appealed, and as part of that process, are often reduced in severity and amount, and are sometimes dismissed.</w:t>
      </w:r>
    </w:p>
    <w:p>
      <w:pPr>
        <w:spacing w:after="0" w:line="179"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Under the Dodd-Frank Wall Street Reform and Consumer Protection Act (the “Dodd-Frank Act”), the Corporation is required to present information regarding certain mining safety and health citations which MSHA has issued with respect to its aggregates mining operations in its periodic reports filed with the Securities and Exchange Commission (SEC). In evaluating this information, consideration should be given to factors such as: (i) the number of citations and orders will vary depending on the size of the quarry or mine and types of operations (underground or surface), (ii) the number of citations issued will vary from inspector to inspector and location to location, and (iii) citations and orders can be contested and appealed, and in that process, may be reduced in severity and amount, and are sometimes dismissed.</w:t>
      </w:r>
    </w:p>
    <w:p>
      <w:pPr>
        <w:spacing w:after="0" w:line="179"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Corporation has provided the information below in response to the SEC’s rules and regulations issued under the provisions of the Dodd-Frank Act. The disclosures reflect U.S. mining operations only, as the requirements of the Dodd-Frank Act and the SEC rules and regulations thereunder do not apply to the Corporation’s quarries and mines operated outside the United States.</w:t>
      </w:r>
    </w:p>
    <w:p>
      <w:pPr>
        <w:spacing w:after="0" w:line="200"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Corporation presents the following items regarding certain mining safety and health matters for the three months ended September 30, 2015:</w:t>
      </w:r>
    </w:p>
    <w:p>
      <w:pPr>
        <w:spacing w:after="0" w:line="190" w:lineRule="exact"/>
        <w:rPr>
          <w:sz w:val="20"/>
          <w:szCs w:val="20"/>
          <w:color w:val="auto"/>
        </w:rPr>
      </w:pPr>
    </w:p>
    <w:p>
      <w:pPr>
        <w:jc w:val="both"/>
        <w:ind w:left="500" w:hanging="424"/>
        <w:spacing w:after="0" w:line="259" w:lineRule="auto"/>
        <w:tabs>
          <w:tab w:leader="none" w:pos="500" w:val="left"/>
        </w:tabs>
        <w:numPr>
          <w:ilvl w:val="0"/>
          <w:numId w:val="46"/>
        </w:numPr>
        <w:rPr>
          <w:rFonts w:ascii="Arial" w:cs="Arial" w:eastAsia="Arial" w:hAnsi="Arial"/>
          <w:sz w:val="19"/>
          <w:szCs w:val="19"/>
          <w:b w:val="1"/>
          <w:bCs w:val="1"/>
          <w:color w:val="auto"/>
        </w:rPr>
      </w:pPr>
      <w:r>
        <w:rPr>
          <w:rFonts w:ascii="Arial" w:cs="Arial" w:eastAsia="Arial" w:hAnsi="Arial"/>
          <w:sz w:val="19"/>
          <w:szCs w:val="19"/>
          <w:color w:val="auto"/>
        </w:rPr>
        <w:t>Total number of violations of mandatory health or safety standards that could significantly and substantially contribute to the cause and effect of a mine safety or health hazard under section 104 of the Mine Act for which the Corporation has received a citation from MSHA (hereinafter, “Section 104 S&amp;S Citations”). If MSHA determines that a violation of a mandatory health or safety standard is likely to result in a reasonably serious injury or illness under the unique circumstance contributed to by the violation, MSHA will classify the violation as a “significant and substantial” violation (commonly referred to as a “S&amp;S” violation). MSHA inspectors will classify each citation or order written as a “S&amp;S” violation or 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462915</wp:posOffset>
            </wp:positionV>
            <wp:extent cx="72891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70" w:name="page71"/>
    <w:bookmarkEnd w:id="70"/>
    <w:p>
      <w:pPr>
        <w:jc w:val="both"/>
        <w:ind w:left="424" w:hanging="424"/>
        <w:spacing w:after="0" w:line="247" w:lineRule="auto"/>
        <w:tabs>
          <w:tab w:leader="none" w:pos="424" w:val="left"/>
        </w:tabs>
        <w:numPr>
          <w:ilvl w:val="0"/>
          <w:numId w:val="47"/>
        </w:numPr>
        <w:rPr>
          <w:rFonts w:ascii="Arial" w:cs="Arial" w:eastAsia="Arial" w:hAnsi="Arial"/>
          <w:sz w:val="20"/>
          <w:szCs w:val="20"/>
          <w:b w:val="1"/>
          <w:bCs w:val="1"/>
          <w:color w:val="auto"/>
        </w:rPr>
      </w:pPr>
      <w:r>
        <w:rPr>
          <w:rFonts w:ascii="Arial" w:cs="Arial" w:eastAsia="Arial" w:hAnsi="Arial"/>
          <w:sz w:val="20"/>
          <w:szCs w:val="20"/>
          <w:color w:val="auto"/>
        </w:rPr>
        <w:t>Total number of orders issued under section 104(b) of the Mine Act (hereinafter, “Section 104(b) Orders”). These orders are issued for situations in which MSHA determines a previous violation covered by a Section 104(a) citation has not been totally abated within the prescribed time period, so a further order is needed to require the mine operator to immediately withdraw all persons (except authorized persons) from the affected area of a quarry or mine.</w:t>
      </w:r>
    </w:p>
    <w:p>
      <w:pPr>
        <w:spacing w:after="0" w:line="202" w:lineRule="exact"/>
        <w:rPr>
          <w:rFonts w:ascii="Arial" w:cs="Arial" w:eastAsia="Arial" w:hAnsi="Arial"/>
          <w:sz w:val="20"/>
          <w:szCs w:val="20"/>
          <w:b w:val="1"/>
          <w:bCs w:val="1"/>
          <w:color w:val="auto"/>
        </w:rPr>
      </w:pPr>
    </w:p>
    <w:p>
      <w:pPr>
        <w:jc w:val="both"/>
        <w:ind w:left="424" w:hanging="424"/>
        <w:spacing w:after="0" w:line="260" w:lineRule="auto"/>
        <w:tabs>
          <w:tab w:leader="none" w:pos="424" w:val="left"/>
        </w:tabs>
        <w:numPr>
          <w:ilvl w:val="0"/>
          <w:numId w:val="47"/>
        </w:numPr>
        <w:rPr>
          <w:rFonts w:ascii="Arial" w:cs="Arial" w:eastAsia="Arial" w:hAnsi="Arial"/>
          <w:sz w:val="19"/>
          <w:szCs w:val="19"/>
          <w:b w:val="1"/>
          <w:bCs w:val="1"/>
          <w:color w:val="auto"/>
        </w:rPr>
      </w:pPr>
      <w:r>
        <w:rPr>
          <w:rFonts w:ascii="Arial" w:cs="Arial" w:eastAsia="Arial" w:hAnsi="Arial"/>
          <w:sz w:val="19"/>
          <w:szCs w:val="19"/>
          <w:color w:val="auto"/>
        </w:rPr>
        <w:t>Total number of citations and orders for unwarrantable failure of the mine operator to comply with mandatory health or safety standards under Section 104(d) of the Mine Act (hereinafter, “Section 104(d) Citations and Orders”). These violations are similar to those described above, but the standard is that the violation could significantly and substantially contribute to the cause and effect of a safety or health hazard, but the conditions do not cause imminent danger, and the MSHA inspector finds that the violation is caused by an unwarranted failure of the operator to comply with the health and safety standards.</w:t>
      </w:r>
    </w:p>
    <w:p>
      <w:pPr>
        <w:spacing w:after="0" w:line="194" w:lineRule="exact"/>
        <w:rPr>
          <w:rFonts w:ascii="Arial" w:cs="Arial" w:eastAsia="Arial" w:hAnsi="Arial"/>
          <w:sz w:val="19"/>
          <w:szCs w:val="19"/>
          <w:b w:val="1"/>
          <w:bCs w:val="1"/>
          <w:color w:val="auto"/>
        </w:rPr>
      </w:pPr>
    </w:p>
    <w:p>
      <w:pPr>
        <w:jc w:val="both"/>
        <w:ind w:left="424" w:hanging="424"/>
        <w:spacing w:after="0" w:line="244" w:lineRule="auto"/>
        <w:tabs>
          <w:tab w:leader="none" w:pos="424" w:val="left"/>
        </w:tabs>
        <w:numPr>
          <w:ilvl w:val="0"/>
          <w:numId w:val="47"/>
        </w:numPr>
        <w:rPr>
          <w:rFonts w:ascii="Arial" w:cs="Arial" w:eastAsia="Arial" w:hAnsi="Arial"/>
          <w:sz w:val="20"/>
          <w:szCs w:val="20"/>
          <w:b w:val="1"/>
          <w:bCs w:val="1"/>
          <w:color w:val="auto"/>
        </w:rPr>
      </w:pPr>
      <w:r>
        <w:rPr>
          <w:rFonts w:ascii="Arial" w:cs="Arial" w:eastAsia="Arial" w:hAnsi="Arial"/>
          <w:sz w:val="20"/>
          <w:szCs w:val="20"/>
          <w:color w:val="auto"/>
        </w:rPr>
        <w:t>Total number of flagrant violations under section 110(b)(2) of the Mine Act (hereinafter, “Section 110(b)(2) Violations”). These violations are penalty violations issued if MSHA determines that violations are “flagrant”, for which civil penalties may be assessed. A “flagrant” violation means a reckless or repeated failure to make reasonable efforts to eliminate a known violation of a mandatory health or safety standard that substantially and proximately caused, or reasonably could have been expected to cause, death or serious bodily injury.</w:t>
      </w:r>
    </w:p>
    <w:p>
      <w:pPr>
        <w:spacing w:after="0" w:line="208" w:lineRule="exact"/>
        <w:rPr>
          <w:rFonts w:ascii="Arial" w:cs="Arial" w:eastAsia="Arial" w:hAnsi="Arial"/>
          <w:sz w:val="20"/>
          <w:szCs w:val="20"/>
          <w:b w:val="1"/>
          <w:bCs w:val="1"/>
          <w:color w:val="auto"/>
        </w:rPr>
      </w:pPr>
    </w:p>
    <w:p>
      <w:pPr>
        <w:jc w:val="both"/>
        <w:ind w:left="424" w:hanging="424"/>
        <w:spacing w:after="0" w:line="263" w:lineRule="auto"/>
        <w:tabs>
          <w:tab w:leader="none" w:pos="424" w:val="left"/>
        </w:tabs>
        <w:numPr>
          <w:ilvl w:val="0"/>
          <w:numId w:val="47"/>
        </w:numPr>
        <w:rPr>
          <w:rFonts w:ascii="Arial" w:cs="Arial" w:eastAsia="Arial" w:hAnsi="Arial"/>
          <w:sz w:val="19"/>
          <w:szCs w:val="19"/>
          <w:b w:val="1"/>
          <w:bCs w:val="1"/>
          <w:color w:val="auto"/>
        </w:rPr>
      </w:pPr>
      <w:r>
        <w:rPr>
          <w:rFonts w:ascii="Arial" w:cs="Arial" w:eastAsia="Arial" w:hAnsi="Arial"/>
          <w:sz w:val="19"/>
          <w:szCs w:val="19"/>
          <w:color w:val="auto"/>
        </w:rPr>
        <w:t>Total number of imminent danger orders issued under section 107(a) of the Mine Act (hereinafter, “Section 107(a) Orders”). These orders are issued for situations in which MSHA determines an imminent danger exists in the quarry or mine and results in orders of immediate withdrawal of all persons (except certain authorized persons) from the area of the quarry or mine affected by its condition until the imminent danger and the underlying conditions causing the imminent danger no longer exist.</w:t>
      </w:r>
    </w:p>
    <w:p>
      <w:pPr>
        <w:spacing w:after="0" w:line="190" w:lineRule="exact"/>
        <w:rPr>
          <w:rFonts w:ascii="Arial" w:cs="Arial" w:eastAsia="Arial" w:hAnsi="Arial"/>
          <w:sz w:val="19"/>
          <w:szCs w:val="19"/>
          <w:b w:val="1"/>
          <w:bCs w:val="1"/>
          <w:color w:val="auto"/>
        </w:rPr>
      </w:pPr>
    </w:p>
    <w:p>
      <w:pPr>
        <w:jc w:val="both"/>
        <w:ind w:left="424" w:hanging="424"/>
        <w:spacing w:after="0" w:line="282" w:lineRule="auto"/>
        <w:tabs>
          <w:tab w:leader="none" w:pos="424" w:val="left"/>
        </w:tabs>
        <w:numPr>
          <w:ilvl w:val="0"/>
          <w:numId w:val="47"/>
        </w:numPr>
        <w:rPr>
          <w:rFonts w:ascii="Arial" w:cs="Arial" w:eastAsia="Arial" w:hAnsi="Arial"/>
          <w:sz w:val="18"/>
          <w:szCs w:val="18"/>
          <w:b w:val="1"/>
          <w:bCs w:val="1"/>
          <w:color w:val="auto"/>
        </w:rPr>
      </w:pPr>
      <w:r>
        <w:rPr>
          <w:rFonts w:ascii="Arial" w:cs="Arial" w:eastAsia="Arial" w:hAnsi="Arial"/>
          <w:sz w:val="18"/>
          <w:szCs w:val="18"/>
          <w:color w:val="auto"/>
        </w:rPr>
        <w:t>Total dollar value of proposed assessments from MSHA under the Mine Act. These are the amounts of proposed assessments issued by MSHA with each citation or order for the time period covered by the reports. Penalties are assessed by MSHA according to a formula that considers a number of factors, including the mine operator’s history, size, negligence, gravity of the violation, good faith in trying to correct the violation promptly, and the effect of the penalty on the operator’s ability to continue in business.</w:t>
      </w:r>
    </w:p>
    <w:p>
      <w:pPr>
        <w:spacing w:after="0" w:line="175" w:lineRule="exact"/>
        <w:rPr>
          <w:rFonts w:ascii="Arial" w:cs="Arial" w:eastAsia="Arial" w:hAnsi="Arial"/>
          <w:sz w:val="18"/>
          <w:szCs w:val="18"/>
          <w:b w:val="1"/>
          <w:bCs w:val="1"/>
          <w:color w:val="auto"/>
        </w:rPr>
      </w:pPr>
    </w:p>
    <w:p>
      <w:pPr>
        <w:jc w:val="both"/>
        <w:ind w:left="424" w:hanging="424"/>
        <w:spacing w:after="0" w:line="291" w:lineRule="auto"/>
        <w:tabs>
          <w:tab w:leader="none" w:pos="424" w:val="left"/>
        </w:tabs>
        <w:numPr>
          <w:ilvl w:val="0"/>
          <w:numId w:val="47"/>
        </w:numPr>
        <w:rPr>
          <w:rFonts w:ascii="Arial" w:cs="Arial" w:eastAsia="Arial" w:hAnsi="Arial"/>
          <w:sz w:val="18"/>
          <w:szCs w:val="18"/>
          <w:b w:val="1"/>
          <w:bCs w:val="1"/>
          <w:color w:val="auto"/>
        </w:rPr>
      </w:pPr>
      <w:r>
        <w:rPr>
          <w:rFonts w:ascii="Arial" w:cs="Arial" w:eastAsia="Arial" w:hAnsi="Arial"/>
          <w:sz w:val="18"/>
          <w:szCs w:val="18"/>
          <w:color w:val="auto"/>
        </w:rPr>
        <w:t>Total number of mining-related fatalities. Mines subject to the Mine Act are required to report all fatalities occurring at their facilities unless the fatality is determined to be “non-chargeable” to the mining industry. The final rules of the SEC require disclosure of mining-related fatalities at mines subject to the Mine Act. Only fatalities determined by MSHA not to be mining-related may be excluded.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-55245</wp:posOffset>
            </wp:positionH>
            <wp:positionV relativeFrom="paragraph">
              <wp:posOffset>300355</wp:posOffset>
            </wp:positionV>
            <wp:extent cx="72891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4"/>
          </w:cols>
          <w:pgMar w:left="316" w:top="122" w:right="239" w:bottom="1440" w:gutter="0" w:footer="0" w:header="0"/>
        </w:sectPr>
      </w:pPr>
    </w:p>
    <w:bookmarkStart w:id="71" w:name="page72"/>
    <w:bookmarkEnd w:id="71"/>
    <w:p>
      <w:pPr>
        <w:jc w:val="both"/>
        <w:ind w:left="424" w:hanging="424"/>
        <w:spacing w:after="0" w:line="263" w:lineRule="auto"/>
        <w:tabs>
          <w:tab w:leader="none" w:pos="424" w:val="left"/>
        </w:tabs>
        <w:numPr>
          <w:ilvl w:val="0"/>
          <w:numId w:val="48"/>
        </w:numPr>
        <w:rPr>
          <w:rFonts w:ascii="Arial" w:cs="Arial" w:eastAsia="Arial" w:hAnsi="Arial"/>
          <w:sz w:val="19"/>
          <w:szCs w:val="19"/>
          <w:b w:val="1"/>
          <w:bCs w:val="1"/>
          <w:color w:val="auto"/>
        </w:rPr>
      </w:pPr>
      <w:r>
        <w:rPr>
          <w:rFonts w:ascii="Arial" w:cs="Arial" w:eastAsia="Arial" w:hAnsi="Arial"/>
          <w:sz w:val="19"/>
          <w:szCs w:val="19"/>
          <w:color w:val="auto"/>
        </w:rPr>
        <w:t>Receipt of written notice from MSHA of a pattern (or a potential to have such a pattern) of violations of mandatory health or safety standards that are of such nature as could have significantly and substantially contributed to the cause and effect of other mine health or safety hazards under Section 104(e) of the Mine Act. If MSHA determines that a mine has a “pattern” of these types of violations, or the potential to have such a pattern, MSHA is required to notify the mine operator of the existence of such a thing.</w:t>
      </w:r>
    </w:p>
    <w:p>
      <w:pPr>
        <w:spacing w:after="0" w:line="190" w:lineRule="exact"/>
        <w:rPr>
          <w:rFonts w:ascii="Arial" w:cs="Arial" w:eastAsia="Arial" w:hAnsi="Arial"/>
          <w:sz w:val="19"/>
          <w:szCs w:val="19"/>
          <w:b w:val="1"/>
          <w:bCs w:val="1"/>
          <w:color w:val="auto"/>
        </w:rPr>
      </w:pPr>
    </w:p>
    <w:p>
      <w:pPr>
        <w:ind w:left="424" w:hanging="424"/>
        <w:spacing w:after="0"/>
        <w:tabs>
          <w:tab w:leader="none" w:pos="424" w:val="left"/>
        </w:tabs>
        <w:numPr>
          <w:ilvl w:val="0"/>
          <w:numId w:val="48"/>
        </w:numPr>
        <w:rPr>
          <w:rFonts w:ascii="Arial" w:cs="Arial" w:eastAsia="Arial" w:hAnsi="Arial"/>
          <w:sz w:val="20"/>
          <w:szCs w:val="20"/>
          <w:b w:val="1"/>
          <w:bCs w:val="1"/>
          <w:color w:val="auto"/>
        </w:rPr>
      </w:pPr>
      <w:r>
        <w:rPr>
          <w:rFonts w:ascii="Arial" w:cs="Arial" w:eastAsia="Arial" w:hAnsi="Arial"/>
          <w:sz w:val="20"/>
          <w:szCs w:val="20"/>
          <w:color w:val="auto"/>
        </w:rPr>
        <w:t>Legal actions before the Federal Mine Safety and Health Review Commissions pending as of the last day of period.</w:t>
      </w:r>
    </w:p>
    <w:p>
      <w:pPr>
        <w:spacing w:after="0" w:line="229" w:lineRule="exact"/>
        <w:rPr>
          <w:rFonts w:ascii="Arial" w:cs="Arial" w:eastAsia="Arial" w:hAnsi="Arial"/>
          <w:sz w:val="20"/>
          <w:szCs w:val="20"/>
          <w:b w:val="1"/>
          <w:bCs w:val="1"/>
          <w:color w:val="auto"/>
        </w:rPr>
      </w:pPr>
    </w:p>
    <w:p>
      <w:pPr>
        <w:ind w:left="424" w:hanging="424"/>
        <w:spacing w:after="0"/>
        <w:tabs>
          <w:tab w:leader="none" w:pos="424" w:val="left"/>
        </w:tabs>
        <w:numPr>
          <w:ilvl w:val="0"/>
          <w:numId w:val="48"/>
        </w:numPr>
        <w:rPr>
          <w:rFonts w:ascii="Arial" w:cs="Arial" w:eastAsia="Arial" w:hAnsi="Arial"/>
          <w:sz w:val="20"/>
          <w:szCs w:val="20"/>
          <w:b w:val="1"/>
          <w:bCs w:val="1"/>
          <w:color w:val="auto"/>
        </w:rPr>
      </w:pPr>
      <w:r>
        <w:rPr>
          <w:rFonts w:ascii="Arial" w:cs="Arial" w:eastAsia="Arial" w:hAnsi="Arial"/>
          <w:sz w:val="20"/>
          <w:szCs w:val="20"/>
          <w:color w:val="auto"/>
        </w:rPr>
        <w:t>Legal actions before the Federal Mine Safety and Health Review Commissions initiated during period.</w:t>
      </w:r>
    </w:p>
    <w:p>
      <w:pPr>
        <w:spacing w:after="0" w:line="229" w:lineRule="exact"/>
        <w:rPr>
          <w:rFonts w:ascii="Arial" w:cs="Arial" w:eastAsia="Arial" w:hAnsi="Arial"/>
          <w:sz w:val="20"/>
          <w:szCs w:val="20"/>
          <w:b w:val="1"/>
          <w:bCs w:val="1"/>
          <w:color w:val="auto"/>
        </w:rPr>
      </w:pPr>
    </w:p>
    <w:p>
      <w:pPr>
        <w:ind w:left="424" w:hanging="424"/>
        <w:spacing w:after="0"/>
        <w:tabs>
          <w:tab w:leader="none" w:pos="424" w:val="left"/>
        </w:tabs>
        <w:numPr>
          <w:ilvl w:val="0"/>
          <w:numId w:val="48"/>
        </w:numPr>
        <w:rPr>
          <w:rFonts w:ascii="Arial" w:cs="Arial" w:eastAsia="Arial" w:hAnsi="Arial"/>
          <w:sz w:val="20"/>
          <w:szCs w:val="20"/>
          <w:b w:val="1"/>
          <w:bCs w:val="1"/>
          <w:color w:val="auto"/>
        </w:rPr>
      </w:pPr>
      <w:r>
        <w:rPr>
          <w:rFonts w:ascii="Arial" w:cs="Arial" w:eastAsia="Arial" w:hAnsi="Arial"/>
          <w:sz w:val="20"/>
          <w:szCs w:val="20"/>
          <w:color w:val="auto"/>
        </w:rPr>
        <w:t>Legal actions before the Federal Mine Safety and Health Review Commissions resolved during period.</w:t>
      </w:r>
    </w:p>
    <w:p>
      <w:pPr>
        <w:spacing w:after="0" w:line="200" w:lineRule="exact"/>
        <w:rPr>
          <w:sz w:val="20"/>
          <w:szCs w:val="20"/>
          <w:color w:val="auto"/>
        </w:rPr>
      </w:pPr>
    </w:p>
    <w:p>
      <w:pPr>
        <w:spacing w:after="0" w:line="259" w:lineRule="exact"/>
        <w:rPr>
          <w:sz w:val="20"/>
          <w:szCs w:val="20"/>
          <w:color w:val="auto"/>
        </w:rPr>
      </w:pPr>
    </w:p>
    <w:p>
      <w:pPr>
        <w:jc w:val="both"/>
        <w:ind w:left="44"/>
        <w:spacing w:after="0" w:line="273" w:lineRule="auto"/>
        <w:rPr>
          <w:sz w:val="20"/>
          <w:szCs w:val="20"/>
          <w:color w:val="auto"/>
        </w:rPr>
      </w:pPr>
      <w:r>
        <w:rPr>
          <w:rFonts w:ascii="Arial" w:cs="Arial" w:eastAsia="Arial" w:hAnsi="Arial"/>
          <w:sz w:val="18"/>
          <w:szCs w:val="18"/>
          <w:color w:val="auto"/>
        </w:rPr>
        <w:t>The Federal Mine Safety and Health Review Commission (the “Commission”) is an independent adjudicative agency that provides administrative trial and appellate review of legal disputes arising under the Mine Act. The cases may involve, among other questions, challenges by operators to citations, orders and penalties they have received from MSHA, or complaints of discrimination by miners under Section 105 of the Mine Act. Appendix 1 shows, for each of the Corporation’s quarries and mines identified, as of September 30, 2015, the number of legal actions pending before the Commission, along with the number of legal actions initiated before the Commission during the quarter as well as resolved during the quarter. In addition, Appendix 1 includes a footnote to the column for legal actions before the Commission pending as of the last day of the period, which footnote breaks down that total number of legal actions pending by categories according to the type of proceeding in accordance with various categories established by the Procedural Rules of the Commission.</w:t>
      </w:r>
    </w:p>
    <w:p>
      <w:pPr>
        <w:spacing w:after="0" w:line="183" w:lineRule="exact"/>
        <w:rPr>
          <w:sz w:val="20"/>
          <w:szCs w:val="20"/>
          <w:color w:val="auto"/>
        </w:rPr>
      </w:pPr>
    </w:p>
    <w:p>
      <w:pPr>
        <w:ind w:left="44"/>
        <w:spacing w:after="0"/>
        <w:rPr>
          <w:sz w:val="20"/>
          <w:szCs w:val="20"/>
          <w:color w:val="auto"/>
        </w:rPr>
      </w:pPr>
      <w:r>
        <w:rPr>
          <w:rFonts w:ascii="Arial" w:cs="Arial" w:eastAsia="Arial" w:hAnsi="Arial"/>
          <w:sz w:val="20"/>
          <w:szCs w:val="20"/>
          <w:color w:val="auto"/>
        </w:rPr>
        <w:t>Appendix 1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-55245</wp:posOffset>
            </wp:positionH>
            <wp:positionV relativeFrom="paragraph">
              <wp:posOffset>632460</wp:posOffset>
            </wp:positionV>
            <wp:extent cx="72891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4"/>
          </w:cols>
          <w:pgMar w:left="316" w:top="352" w:right="23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252"/>
        </w:trPr>
        <w:tc>
          <w:tcPr>
            <w:tcW w:w="10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660" w:type="dxa"/>
            <w:vAlign w:val="bottom"/>
            <w:gridSpan w:val="3"/>
          </w:tcPr>
          <w:p>
            <w:pPr>
              <w:ind w:left="720"/>
              <w:spacing w:after="0"/>
              <w:rPr>
                <w:sz w:val="20"/>
                <w:szCs w:val="20"/>
                <w:color w:val="auto"/>
              </w:rPr>
            </w:pPr>
            <w:r>
              <w:rPr>
                <w:rFonts w:ascii="Arial" w:cs="Arial" w:eastAsia="Arial" w:hAnsi="Arial"/>
                <w:sz w:val="20"/>
                <w:szCs w:val="20"/>
                <w:color w:val="auto"/>
                <w:w w:val="91"/>
              </w:rPr>
              <w:t>Appendix 1</w:t>
            </w:r>
          </w:p>
        </w:tc>
      </w:tr>
      <w:tr>
        <w:trPr>
          <w:trHeight w:val="446"/>
        </w:trPr>
        <w:tc>
          <w:tcPr>
            <w:tcW w:w="10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20" w:type="dxa"/>
            <w:vAlign w:val="bottom"/>
            <w:gridSpan w:val="2"/>
          </w:tcPr>
          <w:p>
            <w:pPr>
              <w:spacing w:after="0"/>
              <w:rPr>
                <w:sz w:val="20"/>
                <w:szCs w:val="20"/>
                <w:color w:val="auto"/>
              </w:rPr>
            </w:pPr>
            <w:r>
              <w:rPr>
                <w:rFonts w:ascii="Arial" w:cs="Arial" w:eastAsia="Arial" w:hAnsi="Arial"/>
                <w:sz w:val="20"/>
                <w:szCs w:val="20"/>
                <w:b w:val="1"/>
                <w:bCs w:val="1"/>
                <w:color w:val="auto"/>
                <w:w w:val="88"/>
              </w:rPr>
              <w:t>Received Received</w:t>
            </w:r>
          </w:p>
        </w:tc>
        <w:tc>
          <w:tcPr>
            <w:tcW w:w="6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10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20" w:type="dxa"/>
            <w:vAlign w:val="bottom"/>
            <w:gridSpan w:val="2"/>
          </w:tcPr>
          <w:p>
            <w:pPr>
              <w:ind w:left="20"/>
              <w:spacing w:after="0"/>
              <w:rPr>
                <w:sz w:val="20"/>
                <w:szCs w:val="20"/>
                <w:color w:val="auto"/>
              </w:rPr>
            </w:pPr>
            <w:r>
              <w:rPr>
                <w:rFonts w:ascii="Arial" w:cs="Arial" w:eastAsia="Arial" w:hAnsi="Arial"/>
                <w:sz w:val="20"/>
                <w:szCs w:val="20"/>
                <w:b w:val="1"/>
                <w:bCs w:val="1"/>
                <w:color w:val="auto"/>
                <w:w w:val="89"/>
              </w:rPr>
              <w:t>Notice of Notice of</w:t>
            </w:r>
          </w:p>
        </w:tc>
        <w:tc>
          <w:tcPr>
            <w:tcW w:w="680" w:type="dxa"/>
            <w:vAlign w:val="bottom"/>
          </w:tcPr>
          <w:p>
            <w:pPr>
              <w:jc w:val="center"/>
              <w:spacing w:after="0"/>
              <w:rPr>
                <w:sz w:val="20"/>
                <w:szCs w:val="20"/>
                <w:color w:val="auto"/>
              </w:rPr>
            </w:pPr>
            <w:r>
              <w:rPr>
                <w:rFonts w:ascii="Arial" w:cs="Arial" w:eastAsia="Arial" w:hAnsi="Arial"/>
                <w:sz w:val="20"/>
                <w:szCs w:val="20"/>
                <w:b w:val="1"/>
                <w:bCs w:val="1"/>
                <w:color w:val="auto"/>
                <w:w w:val="91"/>
              </w:rPr>
              <w:t>Legal</w:t>
            </w: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10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20" w:type="dxa"/>
            <w:vAlign w:val="bottom"/>
          </w:tcPr>
          <w:p>
            <w:pPr>
              <w:jc w:val="center"/>
              <w:spacing w:after="0"/>
              <w:rPr>
                <w:sz w:val="20"/>
                <w:szCs w:val="20"/>
                <w:color w:val="auto"/>
              </w:rPr>
            </w:pPr>
            <w:r>
              <w:rPr>
                <w:rFonts w:ascii="Arial" w:cs="Arial" w:eastAsia="Arial" w:hAnsi="Arial"/>
                <w:sz w:val="20"/>
                <w:szCs w:val="20"/>
                <w:b w:val="1"/>
                <w:bCs w:val="1"/>
                <w:color w:val="auto"/>
                <w:w w:val="87"/>
              </w:rPr>
              <w:t>Total</w:t>
            </w:r>
          </w:p>
        </w:tc>
        <w:tc>
          <w:tcPr>
            <w:tcW w:w="760" w:type="dxa"/>
            <w:vAlign w:val="bottom"/>
          </w:tcPr>
          <w:p>
            <w:pPr>
              <w:jc w:val="center"/>
              <w:spacing w:after="0"/>
              <w:rPr>
                <w:sz w:val="20"/>
                <w:szCs w:val="20"/>
                <w:color w:val="auto"/>
              </w:rPr>
            </w:pPr>
            <w:r>
              <w:rPr>
                <w:rFonts w:ascii="Arial" w:cs="Arial" w:eastAsia="Arial" w:hAnsi="Arial"/>
                <w:sz w:val="20"/>
                <w:szCs w:val="20"/>
                <w:b w:val="1"/>
                <w:bCs w:val="1"/>
                <w:color w:val="auto"/>
                <w:w w:val="92"/>
              </w:rPr>
              <w:t>Pattern</w:t>
            </w:r>
          </w:p>
        </w:tc>
        <w:tc>
          <w:tcPr>
            <w:tcW w:w="1540" w:type="dxa"/>
            <w:vAlign w:val="bottom"/>
            <w:gridSpan w:val="2"/>
          </w:tcPr>
          <w:p>
            <w:pPr>
              <w:ind w:left="40"/>
              <w:spacing w:after="0"/>
              <w:rPr>
                <w:sz w:val="20"/>
                <w:szCs w:val="20"/>
                <w:color w:val="auto"/>
              </w:rPr>
            </w:pPr>
            <w:r>
              <w:rPr>
                <w:rFonts w:ascii="Arial" w:cs="Arial" w:eastAsia="Arial" w:hAnsi="Arial"/>
                <w:sz w:val="20"/>
                <w:szCs w:val="20"/>
                <w:b w:val="1"/>
                <w:bCs w:val="1"/>
                <w:color w:val="auto"/>
                <w:w w:val="90"/>
              </w:rPr>
              <w:t>Potential Actions</w:t>
            </w: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10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jc w:val="center"/>
              <w:spacing w:after="0"/>
              <w:rPr>
                <w:sz w:val="20"/>
                <w:szCs w:val="20"/>
                <w:color w:val="auto"/>
              </w:rPr>
            </w:pPr>
            <w:r>
              <w:rPr>
                <w:rFonts w:ascii="Arial" w:cs="Arial" w:eastAsia="Arial" w:hAnsi="Arial"/>
                <w:sz w:val="20"/>
                <w:szCs w:val="20"/>
                <w:b w:val="1"/>
                <w:bCs w:val="1"/>
                <w:color w:val="auto"/>
                <w:w w:val="85"/>
              </w:rPr>
              <w:t>Section</w:t>
            </w:r>
          </w:p>
        </w:tc>
        <w:tc>
          <w:tcPr>
            <w:tcW w:w="8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20" w:type="dxa"/>
            <w:vAlign w:val="bottom"/>
          </w:tcPr>
          <w:p>
            <w:pPr>
              <w:jc w:val="center"/>
              <w:spacing w:after="0"/>
              <w:rPr>
                <w:sz w:val="20"/>
                <w:szCs w:val="20"/>
                <w:color w:val="auto"/>
              </w:rPr>
            </w:pPr>
            <w:r>
              <w:rPr>
                <w:rFonts w:ascii="Arial" w:cs="Arial" w:eastAsia="Arial" w:hAnsi="Arial"/>
                <w:sz w:val="20"/>
                <w:szCs w:val="20"/>
                <w:b w:val="1"/>
                <w:bCs w:val="1"/>
                <w:color w:val="auto"/>
                <w:w w:val="92"/>
              </w:rPr>
              <w:t>Number</w:t>
            </w:r>
          </w:p>
        </w:tc>
        <w:tc>
          <w:tcPr>
            <w:tcW w:w="760" w:type="dxa"/>
            <w:vAlign w:val="bottom"/>
          </w:tcPr>
          <w:p>
            <w:pPr>
              <w:jc w:val="center"/>
              <w:spacing w:after="0"/>
              <w:rPr>
                <w:sz w:val="20"/>
                <w:szCs w:val="20"/>
                <w:color w:val="auto"/>
              </w:rPr>
            </w:pPr>
            <w:r>
              <w:rPr>
                <w:rFonts w:ascii="Arial" w:cs="Arial" w:eastAsia="Arial" w:hAnsi="Arial"/>
                <w:sz w:val="20"/>
                <w:szCs w:val="20"/>
                <w:b w:val="1"/>
                <w:bCs w:val="1"/>
                <w:color w:val="auto"/>
                <w:w w:val="95"/>
              </w:rPr>
              <w:t>of</w:t>
            </w:r>
          </w:p>
        </w:tc>
        <w:tc>
          <w:tcPr>
            <w:tcW w:w="1540" w:type="dxa"/>
            <w:vAlign w:val="bottom"/>
            <w:gridSpan w:val="2"/>
          </w:tcPr>
          <w:p>
            <w:pPr>
              <w:ind w:left="120"/>
              <w:spacing w:after="0"/>
              <w:rPr>
                <w:sz w:val="20"/>
                <w:szCs w:val="20"/>
                <w:color w:val="auto"/>
              </w:rPr>
            </w:pPr>
            <w:r>
              <w:rPr>
                <w:rFonts w:ascii="Arial" w:cs="Arial" w:eastAsia="Arial" w:hAnsi="Arial"/>
                <w:sz w:val="20"/>
                <w:szCs w:val="20"/>
                <w:b w:val="1"/>
                <w:bCs w:val="1"/>
                <w:color w:val="auto"/>
                <w:w w:val="90"/>
              </w:rPr>
              <w:t>to have Pending</w:t>
            </w:r>
          </w:p>
        </w:tc>
        <w:tc>
          <w:tcPr>
            <w:tcW w:w="840" w:type="dxa"/>
            <w:vAlign w:val="bottom"/>
          </w:tcPr>
          <w:p>
            <w:pPr>
              <w:jc w:val="center"/>
              <w:spacing w:after="0"/>
              <w:rPr>
                <w:sz w:val="20"/>
                <w:szCs w:val="20"/>
                <w:color w:val="auto"/>
              </w:rPr>
            </w:pPr>
            <w:r>
              <w:rPr>
                <w:rFonts w:ascii="Arial" w:cs="Arial" w:eastAsia="Arial" w:hAnsi="Arial"/>
                <w:sz w:val="20"/>
                <w:szCs w:val="20"/>
                <w:b w:val="1"/>
                <w:bCs w:val="1"/>
                <w:color w:val="auto"/>
                <w:w w:val="91"/>
              </w:rPr>
              <w:t>Legal</w:t>
            </w:r>
          </w:p>
        </w:tc>
        <w:tc>
          <w:tcPr>
            <w:tcW w:w="820" w:type="dxa"/>
            <w:vAlign w:val="bottom"/>
            <w:gridSpan w:val="2"/>
          </w:tcPr>
          <w:p>
            <w:pPr>
              <w:jc w:val="center"/>
              <w:ind w:right="20"/>
              <w:spacing w:after="0"/>
              <w:rPr>
                <w:sz w:val="20"/>
                <w:szCs w:val="20"/>
                <w:color w:val="auto"/>
              </w:rPr>
            </w:pPr>
            <w:r>
              <w:rPr>
                <w:rFonts w:ascii="Arial" w:cs="Arial" w:eastAsia="Arial" w:hAnsi="Arial"/>
                <w:sz w:val="20"/>
                <w:szCs w:val="20"/>
                <w:b w:val="1"/>
                <w:bCs w:val="1"/>
                <w:color w:val="auto"/>
                <w:w w:val="91"/>
              </w:rPr>
              <w:t>Legal</w:t>
            </w:r>
          </w:p>
        </w:tc>
      </w:tr>
      <w:tr>
        <w:trPr>
          <w:trHeight w:val="230"/>
        </w:trPr>
        <w:tc>
          <w:tcPr>
            <w:tcW w:w="10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jc w:val="center"/>
              <w:spacing w:after="0"/>
              <w:rPr>
                <w:sz w:val="20"/>
                <w:szCs w:val="20"/>
                <w:color w:val="auto"/>
              </w:rPr>
            </w:pPr>
            <w:r>
              <w:rPr>
                <w:rFonts w:ascii="Arial" w:cs="Arial" w:eastAsia="Arial" w:hAnsi="Arial"/>
                <w:sz w:val="20"/>
                <w:szCs w:val="20"/>
                <w:b w:val="1"/>
                <w:bCs w:val="1"/>
                <w:color w:val="auto"/>
                <w:w w:val="91"/>
              </w:rPr>
              <w:t>104(d)</w:t>
            </w:r>
          </w:p>
        </w:tc>
        <w:tc>
          <w:tcPr>
            <w:tcW w:w="8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0" w:type="dxa"/>
            <w:vAlign w:val="bottom"/>
            <w:gridSpan w:val="2"/>
          </w:tcPr>
          <w:p>
            <w:pPr>
              <w:jc w:val="center"/>
              <w:spacing w:after="0"/>
              <w:rPr>
                <w:sz w:val="20"/>
                <w:szCs w:val="20"/>
                <w:color w:val="auto"/>
              </w:rPr>
            </w:pPr>
            <w:r>
              <w:rPr>
                <w:rFonts w:ascii="Arial" w:cs="Arial" w:eastAsia="Arial" w:hAnsi="Arial"/>
                <w:sz w:val="20"/>
                <w:szCs w:val="20"/>
                <w:b w:val="1"/>
                <w:bCs w:val="1"/>
                <w:color w:val="auto"/>
                <w:w w:val="92"/>
              </w:rPr>
              <w:t>Total Dollar</w:t>
            </w:r>
          </w:p>
        </w:tc>
        <w:tc>
          <w:tcPr>
            <w:tcW w:w="820" w:type="dxa"/>
            <w:vAlign w:val="bottom"/>
          </w:tcPr>
          <w:p>
            <w:pPr>
              <w:jc w:val="center"/>
              <w:spacing w:after="0"/>
              <w:rPr>
                <w:sz w:val="20"/>
                <w:szCs w:val="20"/>
                <w:color w:val="auto"/>
              </w:rPr>
            </w:pPr>
            <w:r>
              <w:rPr>
                <w:rFonts w:ascii="Arial" w:cs="Arial" w:eastAsia="Arial" w:hAnsi="Arial"/>
                <w:sz w:val="20"/>
                <w:szCs w:val="20"/>
                <w:b w:val="1"/>
                <w:bCs w:val="1"/>
                <w:color w:val="auto"/>
                <w:w w:val="95"/>
              </w:rPr>
              <w:t>of</w:t>
            </w:r>
          </w:p>
        </w:tc>
        <w:tc>
          <w:tcPr>
            <w:tcW w:w="1620" w:type="dxa"/>
            <w:vAlign w:val="bottom"/>
            <w:gridSpan w:val="2"/>
          </w:tcPr>
          <w:p>
            <w:pPr>
              <w:spacing w:after="0"/>
              <w:rPr>
                <w:sz w:val="20"/>
                <w:szCs w:val="20"/>
                <w:color w:val="auto"/>
              </w:rPr>
            </w:pPr>
            <w:r>
              <w:rPr>
                <w:rFonts w:ascii="Arial" w:cs="Arial" w:eastAsia="Arial" w:hAnsi="Arial"/>
                <w:sz w:val="20"/>
                <w:szCs w:val="20"/>
                <w:b w:val="1"/>
                <w:bCs w:val="1"/>
                <w:color w:val="auto"/>
              </w:rPr>
              <w:t>Violation Pattern</w:t>
            </w:r>
          </w:p>
        </w:tc>
        <w:tc>
          <w:tcPr>
            <w:tcW w:w="680" w:type="dxa"/>
            <w:vAlign w:val="bottom"/>
          </w:tcPr>
          <w:p>
            <w:pPr>
              <w:jc w:val="center"/>
              <w:spacing w:after="0"/>
              <w:rPr>
                <w:sz w:val="20"/>
                <w:szCs w:val="20"/>
                <w:color w:val="auto"/>
              </w:rPr>
            </w:pPr>
            <w:r>
              <w:rPr>
                <w:rFonts w:ascii="Arial" w:cs="Arial" w:eastAsia="Arial" w:hAnsi="Arial"/>
                <w:sz w:val="20"/>
                <w:szCs w:val="20"/>
                <w:b w:val="1"/>
                <w:bCs w:val="1"/>
                <w:color w:val="auto"/>
                <w:w w:val="85"/>
              </w:rPr>
              <w:t>as of</w:t>
            </w:r>
          </w:p>
        </w:tc>
        <w:tc>
          <w:tcPr>
            <w:tcW w:w="840" w:type="dxa"/>
            <w:vAlign w:val="bottom"/>
          </w:tcPr>
          <w:p>
            <w:pPr>
              <w:jc w:val="center"/>
              <w:spacing w:after="0"/>
              <w:rPr>
                <w:sz w:val="20"/>
                <w:szCs w:val="20"/>
                <w:color w:val="auto"/>
              </w:rPr>
            </w:pPr>
            <w:r>
              <w:rPr>
                <w:rFonts w:ascii="Arial" w:cs="Arial" w:eastAsia="Arial" w:hAnsi="Arial"/>
                <w:sz w:val="20"/>
                <w:szCs w:val="20"/>
                <w:b w:val="1"/>
                <w:bCs w:val="1"/>
                <w:color w:val="auto"/>
                <w:w w:val="87"/>
              </w:rPr>
              <w:t>Actions</w:t>
            </w:r>
          </w:p>
        </w:tc>
        <w:tc>
          <w:tcPr>
            <w:tcW w:w="820" w:type="dxa"/>
            <w:vAlign w:val="bottom"/>
            <w:gridSpan w:val="2"/>
          </w:tcPr>
          <w:p>
            <w:pPr>
              <w:jc w:val="center"/>
              <w:ind w:right="20"/>
              <w:spacing w:after="0"/>
              <w:rPr>
                <w:sz w:val="20"/>
                <w:szCs w:val="20"/>
                <w:color w:val="auto"/>
              </w:rPr>
            </w:pPr>
            <w:r>
              <w:rPr>
                <w:rFonts w:ascii="Arial" w:cs="Arial" w:eastAsia="Arial" w:hAnsi="Arial"/>
                <w:sz w:val="20"/>
                <w:szCs w:val="20"/>
                <w:b w:val="1"/>
                <w:bCs w:val="1"/>
                <w:color w:val="auto"/>
                <w:w w:val="87"/>
              </w:rPr>
              <w:t>Actions</w:t>
            </w:r>
          </w:p>
        </w:tc>
      </w:tr>
      <w:tr>
        <w:trPr>
          <w:trHeight w:val="230"/>
        </w:trPr>
        <w:tc>
          <w:tcPr>
            <w:tcW w:w="10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20" w:type="dxa"/>
            <w:vAlign w:val="bottom"/>
            <w:gridSpan w:val="3"/>
          </w:tcPr>
          <w:p>
            <w:pPr>
              <w:ind w:left="80"/>
              <w:spacing w:after="0"/>
              <w:rPr>
                <w:sz w:val="20"/>
                <w:szCs w:val="20"/>
                <w:color w:val="auto"/>
              </w:rPr>
            </w:pPr>
            <w:r>
              <w:rPr>
                <w:rFonts w:ascii="Arial" w:cs="Arial" w:eastAsia="Arial" w:hAnsi="Arial"/>
                <w:sz w:val="20"/>
                <w:szCs w:val="20"/>
                <w:b w:val="1"/>
                <w:bCs w:val="1"/>
                <w:color w:val="auto"/>
                <w:w w:val="87"/>
              </w:rPr>
              <w:t>Section Section Citations</w:t>
            </w:r>
          </w:p>
        </w:tc>
        <w:tc>
          <w:tcPr>
            <w:tcW w:w="860" w:type="dxa"/>
            <w:vAlign w:val="bottom"/>
          </w:tcPr>
          <w:p>
            <w:pPr>
              <w:ind w:left="120"/>
              <w:spacing w:after="0"/>
              <w:rPr>
                <w:sz w:val="20"/>
                <w:szCs w:val="20"/>
                <w:color w:val="auto"/>
              </w:rPr>
            </w:pPr>
            <w:r>
              <w:rPr>
                <w:rFonts w:ascii="Arial" w:cs="Arial" w:eastAsia="Arial" w:hAnsi="Arial"/>
                <w:sz w:val="20"/>
                <w:szCs w:val="20"/>
                <w:b w:val="1"/>
                <w:bCs w:val="1"/>
                <w:color w:val="auto"/>
                <w:w w:val="99"/>
              </w:rPr>
              <w:t>Section</w:t>
            </w:r>
          </w:p>
        </w:tc>
        <w:tc>
          <w:tcPr>
            <w:tcW w:w="660" w:type="dxa"/>
            <w:vAlign w:val="bottom"/>
          </w:tcPr>
          <w:p>
            <w:pPr>
              <w:ind w:left="20"/>
              <w:spacing w:after="0"/>
              <w:rPr>
                <w:sz w:val="20"/>
                <w:szCs w:val="20"/>
                <w:color w:val="auto"/>
              </w:rPr>
            </w:pPr>
            <w:r>
              <w:rPr>
                <w:rFonts w:ascii="Arial" w:cs="Arial" w:eastAsia="Arial" w:hAnsi="Arial"/>
                <w:sz w:val="20"/>
                <w:szCs w:val="20"/>
                <w:b w:val="1"/>
                <w:bCs w:val="1"/>
                <w:color w:val="auto"/>
                <w:w w:val="85"/>
              </w:rPr>
              <w:t>Section</w:t>
            </w:r>
          </w:p>
        </w:tc>
        <w:tc>
          <w:tcPr>
            <w:tcW w:w="140" w:type="dxa"/>
            <w:vAlign w:val="bottom"/>
          </w:tcPr>
          <w:p>
            <w:pPr>
              <w:spacing w:after="0"/>
              <w:rPr>
                <w:sz w:val="19"/>
                <w:szCs w:val="19"/>
                <w:color w:val="auto"/>
              </w:rPr>
            </w:pPr>
          </w:p>
        </w:tc>
        <w:tc>
          <w:tcPr>
            <w:tcW w:w="1060" w:type="dxa"/>
            <w:vAlign w:val="bottom"/>
          </w:tcPr>
          <w:p>
            <w:pPr>
              <w:jc w:val="center"/>
              <w:ind w:right="101"/>
              <w:spacing w:after="0"/>
              <w:rPr>
                <w:sz w:val="20"/>
                <w:szCs w:val="20"/>
                <w:color w:val="auto"/>
              </w:rPr>
            </w:pPr>
            <w:r>
              <w:rPr>
                <w:rFonts w:ascii="Arial" w:cs="Arial" w:eastAsia="Arial" w:hAnsi="Arial"/>
                <w:sz w:val="20"/>
                <w:szCs w:val="20"/>
                <w:b w:val="1"/>
                <w:bCs w:val="1"/>
                <w:color w:val="auto"/>
                <w:w w:val="89"/>
              </w:rPr>
              <w:t>Value of</w:t>
            </w:r>
          </w:p>
        </w:tc>
        <w:tc>
          <w:tcPr>
            <w:tcW w:w="820" w:type="dxa"/>
            <w:vAlign w:val="bottom"/>
          </w:tcPr>
          <w:p>
            <w:pPr>
              <w:jc w:val="center"/>
              <w:spacing w:after="0"/>
              <w:rPr>
                <w:sz w:val="20"/>
                <w:szCs w:val="20"/>
                <w:color w:val="auto"/>
              </w:rPr>
            </w:pPr>
            <w:r>
              <w:rPr>
                <w:rFonts w:ascii="Arial" w:cs="Arial" w:eastAsia="Arial" w:hAnsi="Arial"/>
                <w:sz w:val="20"/>
                <w:szCs w:val="20"/>
                <w:b w:val="1"/>
                <w:bCs w:val="1"/>
                <w:color w:val="auto"/>
                <w:w w:val="96"/>
              </w:rPr>
              <w:t>Mining</w:t>
            </w:r>
          </w:p>
        </w:tc>
        <w:tc>
          <w:tcPr>
            <w:tcW w:w="760" w:type="dxa"/>
            <w:vAlign w:val="bottom"/>
          </w:tcPr>
          <w:p>
            <w:pPr>
              <w:jc w:val="center"/>
              <w:spacing w:after="0"/>
              <w:rPr>
                <w:sz w:val="20"/>
                <w:szCs w:val="20"/>
                <w:color w:val="auto"/>
              </w:rPr>
            </w:pPr>
            <w:r>
              <w:rPr>
                <w:rFonts w:ascii="Arial" w:cs="Arial" w:eastAsia="Arial" w:hAnsi="Arial"/>
                <w:sz w:val="20"/>
                <w:szCs w:val="20"/>
                <w:b w:val="1"/>
                <w:bCs w:val="1"/>
                <w:color w:val="auto"/>
                <w:w w:val="93"/>
              </w:rPr>
              <w:t>Under</w:t>
            </w:r>
          </w:p>
        </w:tc>
        <w:tc>
          <w:tcPr>
            <w:tcW w:w="860" w:type="dxa"/>
            <w:vAlign w:val="bottom"/>
          </w:tcPr>
          <w:p>
            <w:pPr>
              <w:jc w:val="center"/>
              <w:spacing w:after="0"/>
              <w:rPr>
                <w:sz w:val="20"/>
                <w:szCs w:val="20"/>
                <w:color w:val="auto"/>
              </w:rPr>
            </w:pPr>
            <w:r>
              <w:rPr>
                <w:rFonts w:ascii="Arial" w:cs="Arial" w:eastAsia="Arial" w:hAnsi="Arial"/>
                <w:sz w:val="20"/>
                <w:szCs w:val="20"/>
                <w:b w:val="1"/>
                <w:bCs w:val="1"/>
                <w:color w:val="auto"/>
                <w:w w:val="89"/>
              </w:rPr>
              <w:t>under</w:t>
            </w:r>
          </w:p>
        </w:tc>
        <w:tc>
          <w:tcPr>
            <w:tcW w:w="680" w:type="dxa"/>
            <w:vAlign w:val="bottom"/>
          </w:tcPr>
          <w:p>
            <w:pPr>
              <w:jc w:val="center"/>
              <w:spacing w:after="0"/>
              <w:rPr>
                <w:sz w:val="20"/>
                <w:szCs w:val="20"/>
                <w:color w:val="auto"/>
              </w:rPr>
            </w:pPr>
            <w:r>
              <w:rPr>
                <w:rFonts w:ascii="Arial" w:cs="Arial" w:eastAsia="Arial" w:hAnsi="Arial"/>
                <w:sz w:val="20"/>
                <w:szCs w:val="20"/>
                <w:b w:val="1"/>
                <w:bCs w:val="1"/>
                <w:color w:val="auto"/>
                <w:w w:val="87"/>
              </w:rPr>
              <w:t>Last</w:t>
            </w:r>
          </w:p>
        </w:tc>
        <w:tc>
          <w:tcPr>
            <w:tcW w:w="1660" w:type="dxa"/>
            <w:vAlign w:val="bottom"/>
            <w:gridSpan w:val="3"/>
          </w:tcPr>
          <w:p>
            <w:pPr>
              <w:ind w:left="20"/>
              <w:spacing w:after="0"/>
              <w:rPr>
                <w:sz w:val="20"/>
                <w:szCs w:val="20"/>
                <w:color w:val="auto"/>
              </w:rPr>
            </w:pPr>
            <w:r>
              <w:rPr>
                <w:rFonts w:ascii="Arial" w:cs="Arial" w:eastAsia="Arial" w:hAnsi="Arial"/>
                <w:sz w:val="20"/>
                <w:szCs w:val="20"/>
                <w:b w:val="1"/>
                <w:bCs w:val="1"/>
                <w:color w:val="auto"/>
                <w:w w:val="87"/>
              </w:rPr>
              <w:t>Instituted Resolved</w:t>
            </w:r>
          </w:p>
        </w:tc>
      </w:tr>
      <w:tr>
        <w:trPr>
          <w:trHeight w:val="230"/>
        </w:trPr>
        <w:tc>
          <w:tcPr>
            <w:tcW w:w="10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60" w:type="dxa"/>
            <w:vAlign w:val="bottom"/>
            <w:gridSpan w:val="2"/>
          </w:tcPr>
          <w:p>
            <w:pPr>
              <w:ind w:left="20"/>
              <w:spacing w:after="0"/>
              <w:rPr>
                <w:sz w:val="20"/>
                <w:szCs w:val="20"/>
                <w:color w:val="auto"/>
              </w:rPr>
            </w:pPr>
            <w:r>
              <w:rPr>
                <w:rFonts w:ascii="Arial" w:cs="Arial" w:eastAsia="Arial" w:hAnsi="Arial"/>
                <w:sz w:val="20"/>
                <w:szCs w:val="20"/>
                <w:b w:val="1"/>
                <w:bCs w:val="1"/>
                <w:color w:val="auto"/>
                <w:w w:val="98"/>
              </w:rPr>
              <w:t>104 S&amp;S 104(b)</w:t>
            </w:r>
          </w:p>
        </w:tc>
        <w:tc>
          <w:tcPr>
            <w:tcW w:w="760" w:type="dxa"/>
            <w:vAlign w:val="bottom"/>
          </w:tcPr>
          <w:p>
            <w:pPr>
              <w:jc w:val="center"/>
              <w:spacing w:after="0"/>
              <w:rPr>
                <w:sz w:val="20"/>
                <w:szCs w:val="20"/>
                <w:color w:val="auto"/>
              </w:rPr>
            </w:pPr>
            <w:r>
              <w:rPr>
                <w:rFonts w:ascii="Arial" w:cs="Arial" w:eastAsia="Arial" w:hAnsi="Arial"/>
                <w:sz w:val="20"/>
                <w:szCs w:val="20"/>
                <w:b w:val="1"/>
                <w:bCs w:val="1"/>
                <w:color w:val="auto"/>
                <w:w w:val="89"/>
              </w:rPr>
              <w:t>and</w:t>
            </w:r>
          </w:p>
        </w:tc>
        <w:tc>
          <w:tcPr>
            <w:tcW w:w="860" w:type="dxa"/>
            <w:vAlign w:val="bottom"/>
          </w:tcPr>
          <w:p>
            <w:pPr>
              <w:jc w:val="center"/>
              <w:spacing w:after="0"/>
              <w:rPr>
                <w:sz w:val="20"/>
                <w:szCs w:val="20"/>
                <w:color w:val="auto"/>
              </w:rPr>
            </w:pPr>
            <w:r>
              <w:rPr>
                <w:rFonts w:ascii="Arial" w:cs="Arial" w:eastAsia="Arial" w:hAnsi="Arial"/>
                <w:sz w:val="20"/>
                <w:szCs w:val="20"/>
                <w:b w:val="1"/>
                <w:bCs w:val="1"/>
                <w:color w:val="auto"/>
                <w:w w:val="91"/>
              </w:rPr>
              <w:t>110(b)(2)</w:t>
            </w:r>
          </w:p>
        </w:tc>
        <w:tc>
          <w:tcPr>
            <w:tcW w:w="660" w:type="dxa"/>
            <w:vAlign w:val="bottom"/>
          </w:tcPr>
          <w:p>
            <w:pPr>
              <w:jc w:val="center"/>
              <w:spacing w:after="0"/>
              <w:rPr>
                <w:sz w:val="20"/>
                <w:szCs w:val="20"/>
                <w:color w:val="auto"/>
              </w:rPr>
            </w:pPr>
            <w:r>
              <w:rPr>
                <w:rFonts w:ascii="Arial" w:cs="Arial" w:eastAsia="Arial" w:hAnsi="Arial"/>
                <w:sz w:val="20"/>
                <w:szCs w:val="20"/>
                <w:b w:val="1"/>
                <w:bCs w:val="1"/>
                <w:color w:val="auto"/>
                <w:w w:val="93"/>
              </w:rPr>
              <w:t>107(a)</w:t>
            </w:r>
          </w:p>
        </w:tc>
        <w:tc>
          <w:tcPr>
            <w:tcW w:w="140" w:type="dxa"/>
            <w:vAlign w:val="bottom"/>
          </w:tcPr>
          <w:p>
            <w:pPr>
              <w:spacing w:after="0"/>
              <w:rPr>
                <w:sz w:val="19"/>
                <w:szCs w:val="19"/>
                <w:color w:val="auto"/>
              </w:rPr>
            </w:pPr>
          </w:p>
        </w:tc>
        <w:tc>
          <w:tcPr>
            <w:tcW w:w="1060" w:type="dxa"/>
            <w:vAlign w:val="bottom"/>
          </w:tcPr>
          <w:p>
            <w:pPr>
              <w:jc w:val="center"/>
              <w:ind w:right="121"/>
              <w:spacing w:after="0"/>
              <w:rPr>
                <w:sz w:val="20"/>
                <w:szCs w:val="20"/>
                <w:color w:val="auto"/>
              </w:rPr>
            </w:pPr>
            <w:r>
              <w:rPr>
                <w:rFonts w:ascii="Arial" w:cs="Arial" w:eastAsia="Arial" w:hAnsi="Arial"/>
                <w:sz w:val="20"/>
                <w:szCs w:val="20"/>
                <w:b w:val="1"/>
                <w:bCs w:val="1"/>
                <w:color w:val="auto"/>
              </w:rPr>
              <w:t>MSHA</w:t>
            </w:r>
          </w:p>
        </w:tc>
        <w:tc>
          <w:tcPr>
            <w:tcW w:w="820" w:type="dxa"/>
            <w:vAlign w:val="bottom"/>
          </w:tcPr>
          <w:p>
            <w:pPr>
              <w:jc w:val="center"/>
              <w:spacing w:after="0"/>
              <w:rPr>
                <w:sz w:val="20"/>
                <w:szCs w:val="20"/>
                <w:color w:val="auto"/>
              </w:rPr>
            </w:pPr>
            <w:r>
              <w:rPr>
                <w:rFonts w:ascii="Arial" w:cs="Arial" w:eastAsia="Arial" w:hAnsi="Arial"/>
                <w:sz w:val="20"/>
                <w:szCs w:val="20"/>
                <w:b w:val="1"/>
                <w:bCs w:val="1"/>
                <w:color w:val="auto"/>
                <w:w w:val="91"/>
              </w:rPr>
              <w:t>Related</w:t>
            </w:r>
          </w:p>
        </w:tc>
        <w:tc>
          <w:tcPr>
            <w:tcW w:w="760" w:type="dxa"/>
            <w:vAlign w:val="bottom"/>
          </w:tcPr>
          <w:p>
            <w:pPr>
              <w:jc w:val="center"/>
              <w:spacing w:after="0"/>
              <w:rPr>
                <w:sz w:val="20"/>
                <w:szCs w:val="20"/>
                <w:color w:val="auto"/>
              </w:rPr>
            </w:pPr>
            <w:r>
              <w:rPr>
                <w:rFonts w:ascii="Arial" w:cs="Arial" w:eastAsia="Arial" w:hAnsi="Arial"/>
                <w:sz w:val="20"/>
                <w:szCs w:val="20"/>
                <w:b w:val="1"/>
                <w:bCs w:val="1"/>
                <w:color w:val="auto"/>
                <w:w w:val="85"/>
              </w:rPr>
              <w:t>Section</w:t>
            </w:r>
          </w:p>
        </w:tc>
        <w:tc>
          <w:tcPr>
            <w:tcW w:w="860" w:type="dxa"/>
            <w:vAlign w:val="bottom"/>
          </w:tcPr>
          <w:p>
            <w:pPr>
              <w:jc w:val="center"/>
              <w:spacing w:after="0"/>
              <w:rPr>
                <w:sz w:val="20"/>
                <w:szCs w:val="20"/>
                <w:color w:val="auto"/>
              </w:rPr>
            </w:pPr>
            <w:r>
              <w:rPr>
                <w:rFonts w:ascii="Arial" w:cs="Arial" w:eastAsia="Arial" w:hAnsi="Arial"/>
                <w:sz w:val="20"/>
                <w:szCs w:val="20"/>
                <w:b w:val="1"/>
                <w:bCs w:val="1"/>
                <w:color w:val="auto"/>
                <w:w w:val="85"/>
              </w:rPr>
              <w:t>Section</w:t>
            </w:r>
          </w:p>
        </w:tc>
        <w:tc>
          <w:tcPr>
            <w:tcW w:w="680" w:type="dxa"/>
            <w:vAlign w:val="bottom"/>
          </w:tcPr>
          <w:p>
            <w:pPr>
              <w:jc w:val="center"/>
              <w:spacing w:after="0"/>
              <w:rPr>
                <w:sz w:val="20"/>
                <w:szCs w:val="20"/>
                <w:color w:val="auto"/>
              </w:rPr>
            </w:pPr>
            <w:r>
              <w:rPr>
                <w:rFonts w:ascii="Arial" w:cs="Arial" w:eastAsia="Arial" w:hAnsi="Arial"/>
                <w:sz w:val="20"/>
                <w:szCs w:val="20"/>
                <w:b w:val="1"/>
                <w:bCs w:val="1"/>
                <w:color w:val="auto"/>
                <w:w w:val="91"/>
              </w:rPr>
              <w:t>Day of</w:t>
            </w:r>
          </w:p>
        </w:tc>
        <w:tc>
          <w:tcPr>
            <w:tcW w:w="840" w:type="dxa"/>
            <w:vAlign w:val="bottom"/>
          </w:tcPr>
          <w:p>
            <w:pPr>
              <w:jc w:val="center"/>
              <w:spacing w:after="0"/>
              <w:rPr>
                <w:sz w:val="20"/>
                <w:szCs w:val="20"/>
                <w:color w:val="auto"/>
              </w:rPr>
            </w:pPr>
            <w:r>
              <w:rPr>
                <w:rFonts w:ascii="Arial" w:cs="Arial" w:eastAsia="Arial" w:hAnsi="Arial"/>
                <w:sz w:val="20"/>
                <w:szCs w:val="20"/>
                <w:b w:val="1"/>
                <w:bCs w:val="1"/>
                <w:color w:val="auto"/>
                <w:w w:val="93"/>
              </w:rPr>
              <w:t>During</w:t>
            </w:r>
          </w:p>
        </w:tc>
        <w:tc>
          <w:tcPr>
            <w:tcW w:w="820" w:type="dxa"/>
            <w:vAlign w:val="bottom"/>
            <w:gridSpan w:val="2"/>
          </w:tcPr>
          <w:p>
            <w:pPr>
              <w:jc w:val="center"/>
              <w:ind w:right="20"/>
              <w:spacing w:after="0"/>
              <w:rPr>
                <w:sz w:val="20"/>
                <w:szCs w:val="20"/>
                <w:color w:val="auto"/>
              </w:rPr>
            </w:pPr>
            <w:r>
              <w:rPr>
                <w:rFonts w:ascii="Arial" w:cs="Arial" w:eastAsia="Arial" w:hAnsi="Arial"/>
                <w:sz w:val="20"/>
                <w:szCs w:val="20"/>
                <w:b w:val="1"/>
                <w:bCs w:val="1"/>
                <w:color w:val="auto"/>
                <w:w w:val="93"/>
              </w:rPr>
              <w:t>During</w:t>
            </w:r>
          </w:p>
        </w:tc>
      </w:tr>
      <w:tr>
        <w:trPr>
          <w:trHeight w:val="230"/>
        </w:trPr>
        <w:tc>
          <w:tcPr>
            <w:tcW w:w="1000" w:type="dxa"/>
            <w:vAlign w:val="bottom"/>
          </w:tcPr>
          <w:p>
            <w:pPr>
              <w:spacing w:after="0"/>
              <w:rPr>
                <w:sz w:val="19"/>
                <w:szCs w:val="19"/>
                <w:color w:val="auto"/>
              </w:rPr>
            </w:pPr>
          </w:p>
        </w:tc>
        <w:tc>
          <w:tcPr>
            <w:tcW w:w="2180" w:type="dxa"/>
            <w:vAlign w:val="bottom"/>
            <w:gridSpan w:val="3"/>
          </w:tcPr>
          <w:p>
            <w:pPr>
              <w:ind w:left="60"/>
              <w:spacing w:after="0"/>
              <w:rPr>
                <w:sz w:val="20"/>
                <w:szCs w:val="20"/>
                <w:color w:val="auto"/>
              </w:rPr>
            </w:pPr>
            <w:r>
              <w:rPr>
                <w:rFonts w:ascii="Arial" w:cs="Arial" w:eastAsia="Arial" w:hAnsi="Arial"/>
                <w:sz w:val="20"/>
                <w:szCs w:val="20"/>
                <w:b w:val="1"/>
                <w:bCs w:val="1"/>
                <w:color w:val="auto"/>
                <w:w w:val="94"/>
              </w:rPr>
              <w:t>MSHA Citations Orders</w:t>
            </w:r>
          </w:p>
        </w:tc>
        <w:tc>
          <w:tcPr>
            <w:tcW w:w="760" w:type="dxa"/>
            <w:vAlign w:val="bottom"/>
          </w:tcPr>
          <w:p>
            <w:pPr>
              <w:jc w:val="center"/>
              <w:spacing w:after="0"/>
              <w:rPr>
                <w:sz w:val="20"/>
                <w:szCs w:val="20"/>
                <w:color w:val="auto"/>
              </w:rPr>
            </w:pPr>
            <w:r>
              <w:rPr>
                <w:rFonts w:ascii="Arial" w:cs="Arial" w:eastAsia="Arial" w:hAnsi="Arial"/>
                <w:sz w:val="20"/>
                <w:szCs w:val="20"/>
                <w:b w:val="1"/>
                <w:bCs w:val="1"/>
                <w:color w:val="auto"/>
                <w:w w:val="91"/>
              </w:rPr>
              <w:t>Orders</w:t>
            </w:r>
          </w:p>
        </w:tc>
        <w:tc>
          <w:tcPr>
            <w:tcW w:w="3540" w:type="dxa"/>
            <w:vAlign w:val="bottom"/>
            <w:gridSpan w:val="5"/>
          </w:tcPr>
          <w:p>
            <w:pPr>
              <w:ind w:left="20"/>
              <w:spacing w:after="0"/>
              <w:rPr>
                <w:sz w:val="20"/>
                <w:szCs w:val="20"/>
                <w:color w:val="auto"/>
              </w:rPr>
            </w:pPr>
            <w:r>
              <w:rPr>
                <w:rFonts w:ascii="Arial" w:cs="Arial" w:eastAsia="Arial" w:hAnsi="Arial"/>
                <w:sz w:val="20"/>
                <w:szCs w:val="20"/>
                <w:b w:val="1"/>
                <w:bCs w:val="1"/>
                <w:color w:val="auto"/>
                <w:w w:val="87"/>
              </w:rPr>
              <w:t>Violations Orders Assessment/$ Fatalities</w:t>
            </w:r>
          </w:p>
        </w:tc>
        <w:tc>
          <w:tcPr>
            <w:tcW w:w="760" w:type="dxa"/>
            <w:vAlign w:val="bottom"/>
          </w:tcPr>
          <w:p>
            <w:pPr>
              <w:jc w:val="center"/>
              <w:spacing w:after="0"/>
              <w:rPr>
                <w:sz w:val="20"/>
                <w:szCs w:val="20"/>
                <w:color w:val="auto"/>
              </w:rPr>
            </w:pPr>
            <w:r>
              <w:rPr>
                <w:rFonts w:ascii="Arial" w:cs="Arial" w:eastAsia="Arial" w:hAnsi="Arial"/>
                <w:sz w:val="20"/>
                <w:szCs w:val="20"/>
                <w:b w:val="1"/>
                <w:bCs w:val="1"/>
                <w:color w:val="auto"/>
                <w:w w:val="89"/>
              </w:rPr>
              <w:t>104(e)</w:t>
            </w:r>
          </w:p>
        </w:tc>
        <w:tc>
          <w:tcPr>
            <w:tcW w:w="860" w:type="dxa"/>
            <w:vAlign w:val="bottom"/>
          </w:tcPr>
          <w:p>
            <w:pPr>
              <w:jc w:val="center"/>
              <w:spacing w:after="0"/>
              <w:rPr>
                <w:sz w:val="20"/>
                <w:szCs w:val="20"/>
                <w:color w:val="auto"/>
              </w:rPr>
            </w:pPr>
            <w:r>
              <w:rPr>
                <w:rFonts w:ascii="Arial" w:cs="Arial" w:eastAsia="Arial" w:hAnsi="Arial"/>
                <w:sz w:val="20"/>
                <w:szCs w:val="20"/>
                <w:b w:val="1"/>
                <w:bCs w:val="1"/>
                <w:color w:val="auto"/>
                <w:w w:val="89"/>
              </w:rPr>
              <w:t>104(e)</w:t>
            </w:r>
          </w:p>
        </w:tc>
        <w:tc>
          <w:tcPr>
            <w:tcW w:w="680" w:type="dxa"/>
            <w:vAlign w:val="bottom"/>
          </w:tcPr>
          <w:p>
            <w:pPr>
              <w:jc w:val="center"/>
              <w:spacing w:after="0"/>
              <w:rPr>
                <w:sz w:val="20"/>
                <w:szCs w:val="20"/>
                <w:color w:val="auto"/>
              </w:rPr>
            </w:pPr>
            <w:r>
              <w:rPr>
                <w:rFonts w:ascii="Arial" w:cs="Arial" w:eastAsia="Arial" w:hAnsi="Arial"/>
                <w:sz w:val="20"/>
                <w:szCs w:val="20"/>
                <w:b w:val="1"/>
                <w:bCs w:val="1"/>
                <w:color w:val="auto"/>
                <w:w w:val="89"/>
              </w:rPr>
              <w:t>Period</w:t>
            </w:r>
          </w:p>
        </w:tc>
        <w:tc>
          <w:tcPr>
            <w:tcW w:w="840" w:type="dxa"/>
            <w:vAlign w:val="bottom"/>
          </w:tcPr>
          <w:p>
            <w:pPr>
              <w:jc w:val="center"/>
              <w:spacing w:after="0"/>
              <w:rPr>
                <w:sz w:val="20"/>
                <w:szCs w:val="20"/>
                <w:color w:val="auto"/>
              </w:rPr>
            </w:pPr>
            <w:r>
              <w:rPr>
                <w:rFonts w:ascii="Arial" w:cs="Arial" w:eastAsia="Arial" w:hAnsi="Arial"/>
                <w:sz w:val="20"/>
                <w:szCs w:val="20"/>
                <w:b w:val="1"/>
                <w:bCs w:val="1"/>
                <w:color w:val="auto"/>
                <w:w w:val="89"/>
              </w:rPr>
              <w:t>Period</w:t>
            </w:r>
          </w:p>
        </w:tc>
        <w:tc>
          <w:tcPr>
            <w:tcW w:w="820" w:type="dxa"/>
            <w:vAlign w:val="bottom"/>
            <w:gridSpan w:val="2"/>
          </w:tcPr>
          <w:p>
            <w:pPr>
              <w:jc w:val="center"/>
              <w:ind w:right="20"/>
              <w:spacing w:after="0"/>
              <w:rPr>
                <w:sz w:val="20"/>
                <w:szCs w:val="20"/>
                <w:color w:val="auto"/>
              </w:rPr>
            </w:pPr>
            <w:r>
              <w:rPr>
                <w:rFonts w:ascii="Arial" w:cs="Arial" w:eastAsia="Arial" w:hAnsi="Arial"/>
                <w:sz w:val="20"/>
                <w:szCs w:val="20"/>
                <w:b w:val="1"/>
                <w:bCs w:val="1"/>
                <w:color w:val="auto"/>
                <w:w w:val="89"/>
              </w:rPr>
              <w:t>Period</w:t>
            </w:r>
          </w:p>
        </w:tc>
      </w:tr>
      <w:tr>
        <w:trPr>
          <w:trHeight w:val="252"/>
        </w:trPr>
        <w:tc>
          <w:tcPr>
            <w:tcW w:w="1000" w:type="dxa"/>
            <w:vAlign w:val="bottom"/>
          </w:tcPr>
          <w:p>
            <w:pPr>
              <w:ind w:left="120"/>
              <w:spacing w:after="0"/>
              <w:rPr>
                <w:sz w:val="20"/>
                <w:szCs w:val="20"/>
                <w:color w:val="auto"/>
              </w:rPr>
            </w:pPr>
            <w:r>
              <w:rPr>
                <w:rFonts w:ascii="Arial" w:cs="Arial" w:eastAsia="Arial" w:hAnsi="Arial"/>
                <w:sz w:val="20"/>
                <w:szCs w:val="20"/>
                <w:b w:val="1"/>
                <w:bCs w:val="1"/>
                <w:color w:val="auto"/>
              </w:rPr>
              <w:t>Location</w:t>
            </w:r>
          </w:p>
        </w:tc>
        <w:tc>
          <w:tcPr>
            <w:tcW w:w="720" w:type="dxa"/>
            <w:vAlign w:val="bottom"/>
          </w:tcPr>
          <w:p>
            <w:pPr>
              <w:jc w:val="right"/>
              <w:ind w:right="161"/>
              <w:spacing w:after="0"/>
              <w:rPr>
                <w:sz w:val="20"/>
                <w:szCs w:val="20"/>
                <w:color w:val="auto"/>
              </w:rPr>
            </w:pPr>
            <w:r>
              <w:rPr>
                <w:rFonts w:ascii="Arial" w:cs="Arial" w:eastAsia="Arial" w:hAnsi="Arial"/>
                <w:sz w:val="20"/>
                <w:szCs w:val="20"/>
                <w:b w:val="1"/>
                <w:bCs w:val="1"/>
                <w:color w:val="auto"/>
              </w:rPr>
              <w:t>ID</w:t>
            </w:r>
          </w:p>
        </w:tc>
        <w:tc>
          <w:tcPr>
            <w:tcW w:w="760" w:type="dxa"/>
            <w:vAlign w:val="bottom"/>
          </w:tcPr>
          <w:p>
            <w:pPr>
              <w:jc w:val="center"/>
              <w:spacing w:after="0"/>
              <w:rPr>
                <w:sz w:val="20"/>
                <w:szCs w:val="20"/>
                <w:color w:val="auto"/>
              </w:rPr>
            </w:pPr>
            <w:r>
              <w:rPr>
                <w:rFonts w:ascii="Arial" w:cs="Arial" w:eastAsia="Arial" w:hAnsi="Arial"/>
                <w:sz w:val="20"/>
                <w:szCs w:val="20"/>
                <w:b w:val="1"/>
                <w:bCs w:val="1"/>
                <w:color w:val="auto"/>
                <w:w w:val="97"/>
              </w:rPr>
              <w:t>(#)</w:t>
            </w:r>
          </w:p>
        </w:tc>
        <w:tc>
          <w:tcPr>
            <w:tcW w:w="700" w:type="dxa"/>
            <w:vAlign w:val="bottom"/>
          </w:tcPr>
          <w:p>
            <w:pPr>
              <w:jc w:val="center"/>
              <w:spacing w:after="0"/>
              <w:rPr>
                <w:sz w:val="20"/>
                <w:szCs w:val="20"/>
                <w:color w:val="auto"/>
              </w:rPr>
            </w:pPr>
            <w:r>
              <w:rPr>
                <w:rFonts w:ascii="Arial" w:cs="Arial" w:eastAsia="Arial" w:hAnsi="Arial"/>
                <w:sz w:val="20"/>
                <w:szCs w:val="20"/>
                <w:b w:val="1"/>
                <w:bCs w:val="1"/>
                <w:color w:val="auto"/>
                <w:w w:val="89"/>
              </w:rPr>
              <w:t>(#)</w:t>
            </w:r>
          </w:p>
        </w:tc>
        <w:tc>
          <w:tcPr>
            <w:tcW w:w="760" w:type="dxa"/>
            <w:vAlign w:val="bottom"/>
          </w:tcPr>
          <w:p>
            <w:pPr>
              <w:jc w:val="center"/>
              <w:spacing w:after="0"/>
              <w:rPr>
                <w:sz w:val="20"/>
                <w:szCs w:val="20"/>
                <w:color w:val="auto"/>
              </w:rPr>
            </w:pPr>
            <w:r>
              <w:rPr>
                <w:rFonts w:ascii="Arial" w:cs="Arial" w:eastAsia="Arial" w:hAnsi="Arial"/>
                <w:sz w:val="20"/>
                <w:szCs w:val="20"/>
                <w:b w:val="1"/>
                <w:bCs w:val="1"/>
                <w:color w:val="auto"/>
                <w:w w:val="89"/>
              </w:rPr>
              <w:t>(#)</w:t>
            </w:r>
          </w:p>
        </w:tc>
        <w:tc>
          <w:tcPr>
            <w:tcW w:w="860" w:type="dxa"/>
            <w:vAlign w:val="bottom"/>
          </w:tcPr>
          <w:p>
            <w:pPr>
              <w:jc w:val="center"/>
              <w:spacing w:after="0"/>
              <w:rPr>
                <w:sz w:val="20"/>
                <w:szCs w:val="20"/>
                <w:color w:val="auto"/>
              </w:rPr>
            </w:pPr>
            <w:r>
              <w:rPr>
                <w:rFonts w:ascii="Arial" w:cs="Arial" w:eastAsia="Arial" w:hAnsi="Arial"/>
                <w:sz w:val="20"/>
                <w:szCs w:val="20"/>
                <w:b w:val="1"/>
                <w:bCs w:val="1"/>
                <w:color w:val="auto"/>
                <w:w w:val="97"/>
              </w:rPr>
              <w:t>(#)</w:t>
            </w:r>
          </w:p>
        </w:tc>
        <w:tc>
          <w:tcPr>
            <w:tcW w:w="660" w:type="dxa"/>
            <w:vAlign w:val="bottom"/>
          </w:tcPr>
          <w:p>
            <w:pPr>
              <w:jc w:val="center"/>
              <w:spacing w:after="0"/>
              <w:rPr>
                <w:sz w:val="20"/>
                <w:szCs w:val="20"/>
                <w:color w:val="auto"/>
              </w:rPr>
            </w:pPr>
            <w:r>
              <w:rPr>
                <w:rFonts w:ascii="Arial" w:cs="Arial" w:eastAsia="Arial" w:hAnsi="Arial"/>
                <w:sz w:val="20"/>
                <w:szCs w:val="20"/>
                <w:b w:val="1"/>
                <w:bCs w:val="1"/>
                <w:color w:val="auto"/>
                <w:w w:val="89"/>
              </w:rPr>
              <w:t>(#)</w:t>
            </w:r>
          </w:p>
        </w:tc>
        <w:tc>
          <w:tcPr>
            <w:tcW w:w="140" w:type="dxa"/>
            <w:vAlign w:val="bottom"/>
          </w:tcPr>
          <w:p>
            <w:pPr>
              <w:spacing w:after="0"/>
              <w:rPr>
                <w:sz w:val="21"/>
                <w:szCs w:val="21"/>
                <w:color w:val="auto"/>
              </w:rPr>
            </w:pPr>
          </w:p>
        </w:tc>
        <w:tc>
          <w:tcPr>
            <w:tcW w:w="1060" w:type="dxa"/>
            <w:vAlign w:val="bottom"/>
          </w:tcPr>
          <w:p>
            <w:pPr>
              <w:jc w:val="center"/>
              <w:ind w:right="101"/>
              <w:spacing w:after="0"/>
              <w:rPr>
                <w:sz w:val="20"/>
                <w:szCs w:val="20"/>
                <w:color w:val="auto"/>
              </w:rPr>
            </w:pPr>
            <w:r>
              <w:rPr>
                <w:rFonts w:ascii="Arial" w:cs="Arial" w:eastAsia="Arial" w:hAnsi="Arial"/>
                <w:sz w:val="20"/>
                <w:szCs w:val="20"/>
                <w:b w:val="1"/>
                <w:bCs w:val="1"/>
                <w:color w:val="auto"/>
                <w:w w:val="84"/>
              </w:rPr>
              <w:t>Proposed</w:t>
            </w:r>
          </w:p>
        </w:tc>
        <w:tc>
          <w:tcPr>
            <w:tcW w:w="820" w:type="dxa"/>
            <w:vAlign w:val="bottom"/>
          </w:tcPr>
          <w:p>
            <w:pPr>
              <w:jc w:val="center"/>
              <w:spacing w:after="0"/>
              <w:rPr>
                <w:sz w:val="20"/>
                <w:szCs w:val="20"/>
                <w:color w:val="auto"/>
              </w:rPr>
            </w:pPr>
            <w:r>
              <w:rPr>
                <w:rFonts w:ascii="Arial" w:cs="Arial" w:eastAsia="Arial" w:hAnsi="Arial"/>
                <w:sz w:val="20"/>
                <w:szCs w:val="20"/>
                <w:b w:val="1"/>
                <w:bCs w:val="1"/>
                <w:color w:val="auto"/>
                <w:w w:val="89"/>
              </w:rPr>
              <w:t>(#)</w:t>
            </w:r>
          </w:p>
        </w:tc>
        <w:tc>
          <w:tcPr>
            <w:tcW w:w="760" w:type="dxa"/>
            <w:vAlign w:val="bottom"/>
          </w:tcPr>
          <w:p>
            <w:pPr>
              <w:jc w:val="center"/>
              <w:spacing w:after="0"/>
              <w:rPr>
                <w:sz w:val="20"/>
                <w:szCs w:val="20"/>
                <w:color w:val="auto"/>
              </w:rPr>
            </w:pPr>
            <w:r>
              <w:rPr>
                <w:rFonts w:ascii="Arial" w:cs="Arial" w:eastAsia="Arial" w:hAnsi="Arial"/>
                <w:sz w:val="20"/>
                <w:szCs w:val="20"/>
                <w:b w:val="1"/>
                <w:bCs w:val="1"/>
                <w:color w:val="auto"/>
                <w:w w:val="86"/>
              </w:rPr>
              <w:t>(yes/no)</w:t>
            </w:r>
          </w:p>
        </w:tc>
        <w:tc>
          <w:tcPr>
            <w:tcW w:w="860" w:type="dxa"/>
            <w:vAlign w:val="bottom"/>
          </w:tcPr>
          <w:p>
            <w:pPr>
              <w:jc w:val="center"/>
              <w:spacing w:after="0"/>
              <w:rPr>
                <w:sz w:val="20"/>
                <w:szCs w:val="20"/>
                <w:color w:val="auto"/>
              </w:rPr>
            </w:pPr>
            <w:r>
              <w:rPr>
                <w:rFonts w:ascii="Arial" w:cs="Arial" w:eastAsia="Arial" w:hAnsi="Arial"/>
                <w:sz w:val="20"/>
                <w:szCs w:val="20"/>
                <w:b w:val="1"/>
                <w:bCs w:val="1"/>
                <w:color w:val="auto"/>
                <w:w w:val="86"/>
              </w:rPr>
              <w:t>(yes/no)</w:t>
            </w:r>
          </w:p>
        </w:tc>
        <w:tc>
          <w:tcPr>
            <w:tcW w:w="680" w:type="dxa"/>
            <w:vAlign w:val="bottom"/>
          </w:tcPr>
          <w:p>
            <w:pPr>
              <w:jc w:val="center"/>
              <w:spacing w:after="0"/>
              <w:rPr>
                <w:sz w:val="20"/>
                <w:szCs w:val="20"/>
                <w:color w:val="auto"/>
              </w:rPr>
            </w:pPr>
            <w:r>
              <w:rPr>
                <w:rFonts w:ascii="Arial" w:cs="Arial" w:eastAsia="Arial" w:hAnsi="Arial"/>
                <w:sz w:val="20"/>
                <w:szCs w:val="20"/>
                <w:b w:val="1"/>
                <w:bCs w:val="1"/>
                <w:color w:val="auto"/>
                <w:w w:val="99"/>
              </w:rPr>
              <w:t>(#)*</w:t>
            </w:r>
          </w:p>
        </w:tc>
        <w:tc>
          <w:tcPr>
            <w:tcW w:w="840" w:type="dxa"/>
            <w:vAlign w:val="bottom"/>
          </w:tcPr>
          <w:p>
            <w:pPr>
              <w:jc w:val="center"/>
              <w:spacing w:after="0"/>
              <w:rPr>
                <w:sz w:val="20"/>
                <w:szCs w:val="20"/>
                <w:color w:val="auto"/>
              </w:rPr>
            </w:pPr>
            <w:r>
              <w:rPr>
                <w:rFonts w:ascii="Arial" w:cs="Arial" w:eastAsia="Arial" w:hAnsi="Arial"/>
                <w:sz w:val="20"/>
                <w:szCs w:val="20"/>
                <w:b w:val="1"/>
                <w:bCs w:val="1"/>
                <w:color w:val="auto"/>
                <w:w w:val="97"/>
              </w:rPr>
              <w:t>(#)</w:t>
            </w:r>
          </w:p>
        </w:tc>
        <w:tc>
          <w:tcPr>
            <w:tcW w:w="800" w:type="dxa"/>
            <w:vAlign w:val="bottom"/>
          </w:tcPr>
          <w:p>
            <w:pPr>
              <w:jc w:val="center"/>
              <w:spacing w:after="0"/>
              <w:rPr>
                <w:sz w:val="20"/>
                <w:szCs w:val="20"/>
                <w:color w:val="auto"/>
              </w:rPr>
            </w:pPr>
            <w:r>
              <w:rPr>
                <w:rFonts w:ascii="Arial" w:cs="Arial" w:eastAsia="Arial" w:hAnsi="Arial"/>
                <w:sz w:val="20"/>
                <w:szCs w:val="20"/>
                <w:b w:val="1"/>
                <w:bCs w:val="1"/>
                <w:color w:val="auto"/>
                <w:w w:val="97"/>
              </w:rPr>
              <w:t>(#)</w:t>
            </w:r>
          </w:p>
        </w:tc>
        <w:tc>
          <w:tcPr>
            <w:tcW w:w="20" w:type="dxa"/>
            <w:vAlign w:val="bottom"/>
          </w:tcPr>
          <w:p>
            <w:pPr>
              <w:spacing w:after="0"/>
              <w:rPr>
                <w:sz w:val="21"/>
                <w:szCs w:val="21"/>
                <w:color w:val="auto"/>
              </w:rPr>
            </w:pPr>
          </w:p>
        </w:tc>
      </w:tr>
      <w:tr>
        <w:trPr>
          <w:trHeight w:val="226"/>
        </w:trPr>
        <w:tc>
          <w:tcPr>
            <w:tcW w:w="100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rPr>
              <w:t>Alexander</w:t>
            </w:r>
          </w:p>
        </w:tc>
        <w:tc>
          <w:tcPr>
            <w:tcW w:w="7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46"/>
        </w:trPr>
        <w:tc>
          <w:tcPr>
            <w:tcW w:w="1000" w:type="dxa"/>
            <w:vAlign w:val="bottom"/>
            <w:shd w:val="clear" w:color="auto" w:fill="CFF0FC"/>
          </w:tcPr>
          <w:p>
            <w:pPr>
              <w:spacing w:after="0"/>
              <w:rPr>
                <w:sz w:val="20"/>
                <w:szCs w:val="20"/>
                <w:color w:val="auto"/>
              </w:rPr>
            </w:pPr>
            <w:r>
              <w:rPr>
                <w:rFonts w:ascii="Arial" w:cs="Arial" w:eastAsia="Arial" w:hAnsi="Arial"/>
                <w:sz w:val="20"/>
                <w:szCs w:val="20"/>
                <w:color w:val="auto"/>
              </w:rPr>
              <w:t>Quarry</w:t>
            </w:r>
          </w:p>
        </w:tc>
        <w:tc>
          <w:tcPr>
            <w:tcW w:w="7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BN5</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8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20" w:type="dxa"/>
            <w:vAlign w:val="bottom"/>
          </w:tcPr>
          <w:p>
            <w:pPr>
              <w:spacing w:after="0"/>
              <w:rPr>
                <w:sz w:val="21"/>
                <w:szCs w:val="21"/>
                <w:color w:val="auto"/>
              </w:rPr>
            </w:pPr>
          </w:p>
        </w:tc>
      </w:tr>
      <w:tr>
        <w:trPr>
          <w:trHeight w:val="226"/>
        </w:trPr>
        <w:tc>
          <w:tcPr>
            <w:tcW w:w="1000" w:type="dxa"/>
            <w:vAlign w:val="bottom"/>
          </w:tcPr>
          <w:p>
            <w:pPr>
              <w:spacing w:after="0" w:line="227" w:lineRule="exact"/>
              <w:rPr>
                <w:sz w:val="20"/>
                <w:szCs w:val="20"/>
                <w:color w:val="auto"/>
              </w:rPr>
            </w:pPr>
            <w:r>
              <w:rPr>
                <w:rFonts w:ascii="Arial" w:cs="Arial" w:eastAsia="Arial" w:hAnsi="Arial"/>
                <w:sz w:val="20"/>
                <w:szCs w:val="20"/>
                <w:color w:val="auto"/>
              </w:rPr>
              <w:t>American</w:t>
            </w: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1000" w:type="dxa"/>
            <w:vAlign w:val="bottom"/>
          </w:tcPr>
          <w:p>
            <w:pPr>
              <w:spacing w:after="0"/>
              <w:rPr>
                <w:sz w:val="20"/>
                <w:szCs w:val="20"/>
                <w:color w:val="auto"/>
              </w:rPr>
            </w:pPr>
            <w:r>
              <w:rPr>
                <w:rFonts w:ascii="Arial" w:cs="Arial" w:eastAsia="Arial" w:hAnsi="Arial"/>
                <w:sz w:val="20"/>
                <w:szCs w:val="20"/>
                <w:color w:val="auto"/>
              </w:rPr>
              <w:t>Stone</w:t>
            </w: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6"/>
        </w:trPr>
        <w:tc>
          <w:tcPr>
            <w:tcW w:w="1000" w:type="dxa"/>
            <w:vAlign w:val="bottom"/>
          </w:tcPr>
          <w:p>
            <w:pPr>
              <w:spacing w:after="0"/>
              <w:rPr>
                <w:sz w:val="20"/>
                <w:szCs w:val="20"/>
                <w:color w:val="auto"/>
              </w:rPr>
            </w:pPr>
            <w:r>
              <w:rPr>
                <w:rFonts w:ascii="Arial" w:cs="Arial" w:eastAsia="Arial" w:hAnsi="Arial"/>
                <w:sz w:val="20"/>
                <w:szCs w:val="20"/>
                <w:color w:val="auto"/>
              </w:rPr>
              <w:t>Quarry</w:t>
            </w:r>
          </w:p>
        </w:tc>
        <w:tc>
          <w:tcPr>
            <w:tcW w:w="720" w:type="dxa"/>
            <w:vAlign w:val="bottom"/>
          </w:tcPr>
          <w:p>
            <w:pPr>
              <w:jc w:val="right"/>
              <w:spacing w:after="0"/>
              <w:rPr>
                <w:sz w:val="20"/>
                <w:szCs w:val="20"/>
                <w:color w:val="auto"/>
              </w:rPr>
            </w:pPr>
            <w:r>
              <w:rPr>
                <w:rFonts w:ascii="Arial" w:cs="Arial" w:eastAsia="Arial" w:hAnsi="Arial"/>
                <w:sz w:val="20"/>
                <w:szCs w:val="20"/>
                <w:color w:val="auto"/>
                <w:w w:val="87"/>
              </w:rPr>
              <w:t>3100189</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0</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86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20" w:type="dxa"/>
            <w:vAlign w:val="bottom"/>
          </w:tcPr>
          <w:p>
            <w:pPr>
              <w:spacing w:after="0"/>
              <w:rPr>
                <w:sz w:val="21"/>
                <w:szCs w:val="21"/>
                <w:color w:val="auto"/>
              </w:rPr>
            </w:pPr>
          </w:p>
        </w:tc>
      </w:tr>
      <w:tr>
        <w:trPr>
          <w:trHeight w:val="226"/>
        </w:trPr>
        <w:tc>
          <w:tcPr>
            <w:tcW w:w="100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rPr>
              <w:t>Anderson</w:t>
            </w:r>
          </w:p>
        </w:tc>
        <w:tc>
          <w:tcPr>
            <w:tcW w:w="7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46"/>
        </w:trPr>
        <w:tc>
          <w:tcPr>
            <w:tcW w:w="1000" w:type="dxa"/>
            <w:vAlign w:val="bottom"/>
            <w:shd w:val="clear" w:color="auto" w:fill="CFF0FC"/>
          </w:tcPr>
          <w:p>
            <w:pPr>
              <w:spacing w:after="0"/>
              <w:rPr>
                <w:sz w:val="20"/>
                <w:szCs w:val="20"/>
                <w:color w:val="auto"/>
              </w:rPr>
            </w:pPr>
            <w:r>
              <w:rPr>
                <w:rFonts w:ascii="Arial" w:cs="Arial" w:eastAsia="Arial" w:hAnsi="Arial"/>
                <w:sz w:val="20"/>
                <w:szCs w:val="20"/>
                <w:color w:val="auto"/>
              </w:rPr>
              <w:t>Creek</w:t>
            </w:r>
          </w:p>
        </w:tc>
        <w:tc>
          <w:tcPr>
            <w:tcW w:w="72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7"/>
              </w:rPr>
              <w:t>4402963</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8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20" w:type="dxa"/>
            <w:vAlign w:val="bottom"/>
          </w:tcPr>
          <w:p>
            <w:pPr>
              <w:spacing w:after="0"/>
              <w:rPr>
                <w:sz w:val="21"/>
                <w:szCs w:val="21"/>
                <w:color w:val="auto"/>
              </w:rPr>
            </w:pPr>
          </w:p>
        </w:tc>
      </w:tr>
      <w:tr>
        <w:trPr>
          <w:trHeight w:val="226"/>
        </w:trPr>
        <w:tc>
          <w:tcPr>
            <w:tcW w:w="1000" w:type="dxa"/>
            <w:vAlign w:val="bottom"/>
          </w:tcPr>
          <w:p>
            <w:pPr>
              <w:spacing w:after="0" w:line="227" w:lineRule="exact"/>
              <w:rPr>
                <w:sz w:val="20"/>
                <w:szCs w:val="20"/>
                <w:color w:val="auto"/>
              </w:rPr>
            </w:pPr>
            <w:r>
              <w:rPr>
                <w:rFonts w:ascii="Arial" w:cs="Arial" w:eastAsia="Arial" w:hAnsi="Arial"/>
                <w:sz w:val="20"/>
                <w:szCs w:val="20"/>
                <w:color w:val="auto"/>
              </w:rPr>
              <w:t>Arrowood</w:t>
            </w: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6"/>
        </w:trPr>
        <w:tc>
          <w:tcPr>
            <w:tcW w:w="1000" w:type="dxa"/>
            <w:vAlign w:val="bottom"/>
          </w:tcPr>
          <w:p>
            <w:pPr>
              <w:spacing w:after="0"/>
              <w:rPr>
                <w:sz w:val="20"/>
                <w:szCs w:val="20"/>
                <w:color w:val="auto"/>
              </w:rPr>
            </w:pPr>
            <w:r>
              <w:rPr>
                <w:rFonts w:ascii="Arial" w:cs="Arial" w:eastAsia="Arial" w:hAnsi="Arial"/>
                <w:sz w:val="20"/>
                <w:szCs w:val="20"/>
                <w:color w:val="auto"/>
              </w:rPr>
              <w:t>Quarry</w:t>
            </w:r>
          </w:p>
        </w:tc>
        <w:tc>
          <w:tcPr>
            <w:tcW w:w="720" w:type="dxa"/>
            <w:vAlign w:val="bottom"/>
          </w:tcPr>
          <w:p>
            <w:pPr>
              <w:jc w:val="right"/>
              <w:spacing w:after="0"/>
              <w:rPr>
                <w:sz w:val="20"/>
                <w:szCs w:val="20"/>
                <w:color w:val="auto"/>
              </w:rPr>
            </w:pPr>
            <w:r>
              <w:rPr>
                <w:rFonts w:ascii="Arial" w:cs="Arial" w:eastAsia="Arial" w:hAnsi="Arial"/>
                <w:sz w:val="20"/>
                <w:szCs w:val="20"/>
                <w:color w:val="auto"/>
                <w:w w:val="87"/>
              </w:rPr>
              <w:t>3100059</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3</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1,790</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86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20" w:type="dxa"/>
            <w:vAlign w:val="bottom"/>
          </w:tcPr>
          <w:p>
            <w:pPr>
              <w:spacing w:after="0"/>
              <w:rPr>
                <w:sz w:val="21"/>
                <w:szCs w:val="21"/>
                <w:color w:val="auto"/>
              </w:rPr>
            </w:pPr>
          </w:p>
        </w:tc>
      </w:tr>
      <w:tr>
        <w:trPr>
          <w:trHeight w:val="226"/>
        </w:trPr>
        <w:tc>
          <w:tcPr>
            <w:tcW w:w="100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rPr>
              <w:t>Asheboro</w:t>
            </w:r>
          </w:p>
        </w:tc>
        <w:tc>
          <w:tcPr>
            <w:tcW w:w="7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46"/>
        </w:trPr>
        <w:tc>
          <w:tcPr>
            <w:tcW w:w="1000" w:type="dxa"/>
            <w:vAlign w:val="bottom"/>
            <w:shd w:val="clear" w:color="auto" w:fill="CFF0FC"/>
          </w:tcPr>
          <w:p>
            <w:pPr>
              <w:spacing w:after="0"/>
              <w:rPr>
                <w:sz w:val="20"/>
                <w:szCs w:val="20"/>
                <w:color w:val="auto"/>
              </w:rPr>
            </w:pPr>
            <w:r>
              <w:rPr>
                <w:rFonts w:ascii="Arial" w:cs="Arial" w:eastAsia="Arial" w:hAnsi="Arial"/>
                <w:sz w:val="20"/>
                <w:szCs w:val="20"/>
                <w:color w:val="auto"/>
              </w:rPr>
              <w:t>Quarry</w:t>
            </w:r>
          </w:p>
        </w:tc>
        <w:tc>
          <w:tcPr>
            <w:tcW w:w="72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7"/>
              </w:rPr>
              <w:t>3100066</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8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20" w:type="dxa"/>
            <w:vAlign w:val="bottom"/>
          </w:tcPr>
          <w:p>
            <w:pPr>
              <w:spacing w:after="0"/>
              <w:rPr>
                <w:sz w:val="21"/>
                <w:szCs w:val="21"/>
                <w:color w:val="auto"/>
              </w:rPr>
            </w:pPr>
          </w:p>
        </w:tc>
      </w:tr>
      <w:tr>
        <w:trPr>
          <w:trHeight w:val="226"/>
        </w:trPr>
        <w:tc>
          <w:tcPr>
            <w:tcW w:w="1000" w:type="dxa"/>
            <w:vAlign w:val="bottom"/>
          </w:tcPr>
          <w:p>
            <w:pPr>
              <w:spacing w:after="0" w:line="227" w:lineRule="exact"/>
              <w:rPr>
                <w:sz w:val="20"/>
                <w:szCs w:val="20"/>
                <w:color w:val="auto"/>
              </w:rPr>
            </w:pPr>
            <w:r>
              <w:rPr>
                <w:rFonts w:ascii="Arial" w:cs="Arial" w:eastAsia="Arial" w:hAnsi="Arial"/>
                <w:sz w:val="20"/>
                <w:szCs w:val="20"/>
                <w:color w:val="auto"/>
              </w:rPr>
              <w:t>Bakers</w:t>
            </w: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6"/>
        </w:trPr>
        <w:tc>
          <w:tcPr>
            <w:tcW w:w="1000" w:type="dxa"/>
            <w:vAlign w:val="bottom"/>
          </w:tcPr>
          <w:p>
            <w:pPr>
              <w:spacing w:after="0"/>
              <w:rPr>
                <w:sz w:val="20"/>
                <w:szCs w:val="20"/>
                <w:color w:val="auto"/>
              </w:rPr>
            </w:pPr>
            <w:r>
              <w:rPr>
                <w:rFonts w:ascii="Arial" w:cs="Arial" w:eastAsia="Arial" w:hAnsi="Arial"/>
                <w:sz w:val="20"/>
                <w:szCs w:val="20"/>
                <w:color w:val="auto"/>
              </w:rPr>
              <w:t>Quarry</w:t>
            </w:r>
          </w:p>
        </w:tc>
        <w:tc>
          <w:tcPr>
            <w:tcW w:w="720" w:type="dxa"/>
            <w:vAlign w:val="bottom"/>
          </w:tcPr>
          <w:p>
            <w:pPr>
              <w:jc w:val="right"/>
              <w:spacing w:after="0"/>
              <w:rPr>
                <w:sz w:val="20"/>
                <w:szCs w:val="20"/>
                <w:color w:val="auto"/>
              </w:rPr>
            </w:pPr>
            <w:r>
              <w:rPr>
                <w:rFonts w:ascii="Arial" w:cs="Arial" w:eastAsia="Arial" w:hAnsi="Arial"/>
                <w:sz w:val="20"/>
                <w:szCs w:val="20"/>
                <w:color w:val="auto"/>
                <w:w w:val="87"/>
              </w:rPr>
              <w:t>3100071</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0</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86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20" w:type="dxa"/>
            <w:vAlign w:val="bottom"/>
          </w:tcPr>
          <w:p>
            <w:pPr>
              <w:spacing w:after="0"/>
              <w:rPr>
                <w:sz w:val="21"/>
                <w:szCs w:val="21"/>
                <w:color w:val="auto"/>
              </w:rPr>
            </w:pPr>
          </w:p>
        </w:tc>
      </w:tr>
      <w:tr>
        <w:trPr>
          <w:trHeight w:val="226"/>
        </w:trPr>
        <w:tc>
          <w:tcPr>
            <w:tcW w:w="100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rPr>
              <w:t>Belgrade</w:t>
            </w:r>
          </w:p>
        </w:tc>
        <w:tc>
          <w:tcPr>
            <w:tcW w:w="7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46"/>
        </w:trPr>
        <w:tc>
          <w:tcPr>
            <w:tcW w:w="1000" w:type="dxa"/>
            <w:vAlign w:val="bottom"/>
            <w:shd w:val="clear" w:color="auto" w:fill="CFF0FC"/>
          </w:tcPr>
          <w:p>
            <w:pPr>
              <w:spacing w:after="0"/>
              <w:rPr>
                <w:sz w:val="20"/>
                <w:szCs w:val="20"/>
                <w:color w:val="auto"/>
              </w:rPr>
            </w:pPr>
            <w:r>
              <w:rPr>
                <w:rFonts w:ascii="Arial" w:cs="Arial" w:eastAsia="Arial" w:hAnsi="Arial"/>
                <w:sz w:val="20"/>
                <w:szCs w:val="20"/>
                <w:color w:val="auto"/>
              </w:rPr>
              <w:t>Quarry</w:t>
            </w:r>
          </w:p>
        </w:tc>
        <w:tc>
          <w:tcPr>
            <w:tcW w:w="72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7"/>
              </w:rPr>
              <w:t>3100064</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8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20" w:type="dxa"/>
            <w:vAlign w:val="bottom"/>
          </w:tcPr>
          <w:p>
            <w:pPr>
              <w:spacing w:after="0"/>
              <w:rPr>
                <w:sz w:val="21"/>
                <w:szCs w:val="21"/>
                <w:color w:val="auto"/>
              </w:rPr>
            </w:pPr>
          </w:p>
        </w:tc>
      </w:tr>
      <w:tr>
        <w:trPr>
          <w:trHeight w:val="226"/>
        </w:trPr>
        <w:tc>
          <w:tcPr>
            <w:tcW w:w="1000" w:type="dxa"/>
            <w:vAlign w:val="bottom"/>
          </w:tcPr>
          <w:p>
            <w:pPr>
              <w:spacing w:after="0" w:line="227" w:lineRule="exact"/>
              <w:rPr>
                <w:sz w:val="20"/>
                <w:szCs w:val="20"/>
                <w:color w:val="auto"/>
              </w:rPr>
            </w:pPr>
            <w:r>
              <w:rPr>
                <w:rFonts w:ascii="Arial" w:cs="Arial" w:eastAsia="Arial" w:hAnsi="Arial"/>
                <w:sz w:val="20"/>
                <w:szCs w:val="20"/>
                <w:color w:val="auto"/>
              </w:rPr>
              <w:t>Benson</w:t>
            </w: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6"/>
        </w:trPr>
        <w:tc>
          <w:tcPr>
            <w:tcW w:w="1000" w:type="dxa"/>
            <w:vAlign w:val="bottom"/>
          </w:tcPr>
          <w:p>
            <w:pPr>
              <w:spacing w:after="0"/>
              <w:rPr>
                <w:sz w:val="20"/>
                <w:szCs w:val="20"/>
                <w:color w:val="auto"/>
              </w:rPr>
            </w:pPr>
            <w:r>
              <w:rPr>
                <w:rFonts w:ascii="Arial" w:cs="Arial" w:eastAsia="Arial" w:hAnsi="Arial"/>
                <w:sz w:val="20"/>
                <w:szCs w:val="20"/>
                <w:color w:val="auto"/>
              </w:rPr>
              <w:t>Quarry</w:t>
            </w:r>
          </w:p>
        </w:tc>
        <w:tc>
          <w:tcPr>
            <w:tcW w:w="720" w:type="dxa"/>
            <w:vAlign w:val="bottom"/>
          </w:tcPr>
          <w:p>
            <w:pPr>
              <w:jc w:val="right"/>
              <w:spacing w:after="0"/>
              <w:rPr>
                <w:sz w:val="20"/>
                <w:szCs w:val="20"/>
                <w:color w:val="auto"/>
              </w:rPr>
            </w:pPr>
            <w:r>
              <w:rPr>
                <w:rFonts w:ascii="Arial" w:cs="Arial" w:eastAsia="Arial" w:hAnsi="Arial"/>
                <w:sz w:val="20"/>
                <w:szCs w:val="20"/>
                <w:color w:val="auto"/>
                <w:w w:val="87"/>
              </w:rPr>
              <w:t>3101979</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0</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86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20" w:type="dxa"/>
            <w:vAlign w:val="bottom"/>
          </w:tcPr>
          <w:p>
            <w:pPr>
              <w:spacing w:after="0"/>
              <w:rPr>
                <w:sz w:val="21"/>
                <w:szCs w:val="21"/>
                <w:color w:val="auto"/>
              </w:rPr>
            </w:pPr>
          </w:p>
        </w:tc>
      </w:tr>
      <w:tr>
        <w:trPr>
          <w:trHeight w:val="226"/>
        </w:trPr>
        <w:tc>
          <w:tcPr>
            <w:tcW w:w="100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rPr>
              <w:t>Berkeley</w:t>
            </w:r>
          </w:p>
        </w:tc>
        <w:tc>
          <w:tcPr>
            <w:tcW w:w="7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46"/>
        </w:trPr>
        <w:tc>
          <w:tcPr>
            <w:tcW w:w="1000" w:type="dxa"/>
            <w:vAlign w:val="bottom"/>
            <w:shd w:val="clear" w:color="auto" w:fill="CFF0FC"/>
          </w:tcPr>
          <w:p>
            <w:pPr>
              <w:spacing w:after="0"/>
              <w:rPr>
                <w:sz w:val="20"/>
                <w:szCs w:val="20"/>
                <w:color w:val="auto"/>
              </w:rPr>
            </w:pPr>
            <w:r>
              <w:rPr>
                <w:rFonts w:ascii="Arial" w:cs="Arial" w:eastAsia="Arial" w:hAnsi="Arial"/>
                <w:sz w:val="20"/>
                <w:szCs w:val="20"/>
                <w:color w:val="auto"/>
              </w:rPr>
              <w:t>Quarry</w:t>
            </w:r>
          </w:p>
        </w:tc>
        <w:tc>
          <w:tcPr>
            <w:tcW w:w="72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7"/>
              </w:rPr>
              <w:t>3800072</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8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20" w:type="dxa"/>
            <w:vAlign w:val="bottom"/>
          </w:tcPr>
          <w:p>
            <w:pPr>
              <w:spacing w:after="0"/>
              <w:rPr>
                <w:sz w:val="21"/>
                <w:szCs w:val="21"/>
                <w:color w:val="auto"/>
              </w:rPr>
            </w:pPr>
          </w:p>
        </w:tc>
      </w:tr>
      <w:tr>
        <w:trPr>
          <w:trHeight w:val="226"/>
        </w:trPr>
        <w:tc>
          <w:tcPr>
            <w:tcW w:w="1000" w:type="dxa"/>
            <w:vAlign w:val="bottom"/>
          </w:tcPr>
          <w:p>
            <w:pPr>
              <w:spacing w:after="0" w:line="227" w:lineRule="exact"/>
              <w:rPr>
                <w:sz w:val="20"/>
                <w:szCs w:val="20"/>
                <w:color w:val="auto"/>
              </w:rPr>
            </w:pPr>
            <w:r>
              <w:rPr>
                <w:rFonts w:ascii="Arial" w:cs="Arial" w:eastAsia="Arial" w:hAnsi="Arial"/>
                <w:sz w:val="20"/>
                <w:szCs w:val="20"/>
                <w:color w:val="auto"/>
              </w:rPr>
              <w:t>Bessemer</w:t>
            </w: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6"/>
        </w:trPr>
        <w:tc>
          <w:tcPr>
            <w:tcW w:w="1720" w:type="dxa"/>
            <w:vAlign w:val="bottom"/>
            <w:gridSpan w:val="2"/>
          </w:tcPr>
          <w:p>
            <w:pPr>
              <w:spacing w:after="0"/>
              <w:rPr>
                <w:sz w:val="20"/>
                <w:szCs w:val="20"/>
                <w:color w:val="auto"/>
              </w:rPr>
            </w:pPr>
            <w:r>
              <w:rPr>
                <w:rFonts w:ascii="Arial" w:cs="Arial" w:eastAsia="Arial" w:hAnsi="Arial"/>
                <w:sz w:val="20"/>
                <w:szCs w:val="20"/>
                <w:color w:val="auto"/>
                <w:w w:val="92"/>
              </w:rPr>
              <w:t>City Quarry 3101105</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0</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86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20" w:type="dxa"/>
            <w:vAlign w:val="bottom"/>
          </w:tcPr>
          <w:p>
            <w:pPr>
              <w:spacing w:after="0"/>
              <w:rPr>
                <w:sz w:val="21"/>
                <w:szCs w:val="21"/>
                <w:color w:val="auto"/>
              </w:rPr>
            </w:pPr>
          </w:p>
        </w:tc>
      </w:tr>
      <w:tr>
        <w:trPr>
          <w:trHeight w:val="226"/>
        </w:trPr>
        <w:tc>
          <w:tcPr>
            <w:tcW w:w="100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rPr>
              <w:t>Black</w:t>
            </w:r>
          </w:p>
        </w:tc>
        <w:tc>
          <w:tcPr>
            <w:tcW w:w="7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1000" w:type="dxa"/>
            <w:vAlign w:val="bottom"/>
            <w:shd w:val="clear" w:color="auto" w:fill="CFF0FC"/>
          </w:tcPr>
          <w:p>
            <w:pPr>
              <w:spacing w:after="0"/>
              <w:rPr>
                <w:sz w:val="20"/>
                <w:szCs w:val="20"/>
                <w:color w:val="auto"/>
              </w:rPr>
            </w:pPr>
            <w:r>
              <w:rPr>
                <w:rFonts w:ascii="Arial" w:cs="Arial" w:eastAsia="Arial" w:hAnsi="Arial"/>
                <w:sz w:val="20"/>
                <w:szCs w:val="20"/>
                <w:color w:val="auto"/>
              </w:rPr>
              <w:t>Ankle</w:t>
            </w:r>
          </w:p>
        </w:tc>
        <w:tc>
          <w:tcPr>
            <w:tcW w:w="7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46"/>
        </w:trPr>
        <w:tc>
          <w:tcPr>
            <w:tcW w:w="1000" w:type="dxa"/>
            <w:vAlign w:val="bottom"/>
            <w:shd w:val="clear" w:color="auto" w:fill="CFF0FC"/>
          </w:tcPr>
          <w:p>
            <w:pPr>
              <w:spacing w:after="0"/>
              <w:rPr>
                <w:sz w:val="20"/>
                <w:szCs w:val="20"/>
                <w:color w:val="auto"/>
              </w:rPr>
            </w:pPr>
            <w:r>
              <w:rPr>
                <w:rFonts w:ascii="Arial" w:cs="Arial" w:eastAsia="Arial" w:hAnsi="Arial"/>
                <w:sz w:val="20"/>
                <w:szCs w:val="20"/>
                <w:color w:val="auto"/>
              </w:rPr>
              <w:t>Quarry</w:t>
            </w:r>
          </w:p>
        </w:tc>
        <w:tc>
          <w:tcPr>
            <w:tcW w:w="72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7"/>
              </w:rPr>
              <w:t>3102220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8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20" w:type="dxa"/>
            <w:vAlign w:val="bottom"/>
          </w:tcPr>
          <w:p>
            <w:pPr>
              <w:spacing w:after="0"/>
              <w:rPr>
                <w:sz w:val="21"/>
                <w:szCs w:val="21"/>
                <w:color w:val="auto"/>
              </w:rPr>
            </w:pPr>
          </w:p>
        </w:tc>
      </w:tr>
      <w:tr>
        <w:trPr>
          <w:trHeight w:val="226"/>
        </w:trPr>
        <w:tc>
          <w:tcPr>
            <w:tcW w:w="1000" w:type="dxa"/>
            <w:vAlign w:val="bottom"/>
          </w:tcPr>
          <w:p>
            <w:pPr>
              <w:spacing w:after="0" w:line="227" w:lineRule="exact"/>
              <w:rPr>
                <w:sz w:val="20"/>
                <w:szCs w:val="20"/>
                <w:color w:val="auto"/>
              </w:rPr>
            </w:pPr>
            <w:r>
              <w:rPr>
                <w:rFonts w:ascii="Arial" w:cs="Arial" w:eastAsia="Arial" w:hAnsi="Arial"/>
                <w:sz w:val="20"/>
                <w:szCs w:val="20"/>
                <w:color w:val="auto"/>
              </w:rPr>
              <w:t>Bonds</w:t>
            </w: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6"/>
        </w:trPr>
        <w:tc>
          <w:tcPr>
            <w:tcW w:w="1000" w:type="dxa"/>
            <w:vAlign w:val="bottom"/>
          </w:tcPr>
          <w:p>
            <w:pPr>
              <w:spacing w:after="0"/>
              <w:rPr>
                <w:sz w:val="20"/>
                <w:szCs w:val="20"/>
                <w:color w:val="auto"/>
              </w:rPr>
            </w:pPr>
            <w:r>
              <w:rPr>
                <w:rFonts w:ascii="Arial" w:cs="Arial" w:eastAsia="Arial" w:hAnsi="Arial"/>
                <w:sz w:val="20"/>
                <w:szCs w:val="20"/>
                <w:color w:val="auto"/>
              </w:rPr>
              <w:t>Gravel Pit</w:t>
            </w:r>
          </w:p>
        </w:tc>
        <w:tc>
          <w:tcPr>
            <w:tcW w:w="720" w:type="dxa"/>
            <w:vAlign w:val="bottom"/>
          </w:tcPr>
          <w:p>
            <w:pPr>
              <w:jc w:val="right"/>
              <w:spacing w:after="0"/>
              <w:rPr>
                <w:sz w:val="20"/>
                <w:szCs w:val="20"/>
                <w:color w:val="auto"/>
              </w:rPr>
            </w:pPr>
            <w:r>
              <w:rPr>
                <w:rFonts w:ascii="Arial" w:cs="Arial" w:eastAsia="Arial" w:hAnsi="Arial"/>
                <w:sz w:val="20"/>
                <w:szCs w:val="20"/>
                <w:color w:val="auto"/>
                <w:w w:val="87"/>
              </w:rPr>
              <w:t>3101963</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0</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86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20" w:type="dxa"/>
            <w:vAlign w:val="bottom"/>
          </w:tcPr>
          <w:p>
            <w:pPr>
              <w:spacing w:after="0"/>
              <w:rPr>
                <w:sz w:val="21"/>
                <w:szCs w:val="21"/>
                <w:color w:val="auto"/>
              </w:rPr>
            </w:pPr>
          </w:p>
        </w:tc>
      </w:tr>
      <w:tr>
        <w:trPr>
          <w:trHeight w:val="226"/>
        </w:trPr>
        <w:tc>
          <w:tcPr>
            <w:tcW w:w="100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rPr>
              <w:t>Boonsboro</w:t>
            </w:r>
          </w:p>
        </w:tc>
        <w:tc>
          <w:tcPr>
            <w:tcW w:w="7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46"/>
        </w:trPr>
        <w:tc>
          <w:tcPr>
            <w:tcW w:w="1000" w:type="dxa"/>
            <w:vAlign w:val="bottom"/>
            <w:shd w:val="clear" w:color="auto" w:fill="CFF0FC"/>
          </w:tcPr>
          <w:p>
            <w:pPr>
              <w:spacing w:after="0"/>
              <w:rPr>
                <w:sz w:val="20"/>
                <w:szCs w:val="20"/>
                <w:color w:val="auto"/>
              </w:rPr>
            </w:pPr>
            <w:r>
              <w:rPr>
                <w:rFonts w:ascii="Arial" w:cs="Arial" w:eastAsia="Arial" w:hAnsi="Arial"/>
                <w:sz w:val="20"/>
                <w:szCs w:val="20"/>
                <w:color w:val="auto"/>
              </w:rPr>
              <w:t>Quarry</w:t>
            </w:r>
          </w:p>
        </w:tc>
        <w:tc>
          <w:tcPr>
            <w:tcW w:w="72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7"/>
              </w:rPr>
              <w:t>1800024</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8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20" w:type="dxa"/>
            <w:vAlign w:val="bottom"/>
          </w:tcPr>
          <w:p>
            <w:pPr>
              <w:spacing w:after="0"/>
              <w:rPr>
                <w:sz w:val="21"/>
                <w:szCs w:val="21"/>
                <w:color w:val="auto"/>
              </w:rPr>
            </w:pPr>
          </w:p>
        </w:tc>
      </w:tr>
      <w:tr>
        <w:trPr>
          <w:trHeight w:val="226"/>
        </w:trPr>
        <w:tc>
          <w:tcPr>
            <w:tcW w:w="1000" w:type="dxa"/>
            <w:vAlign w:val="bottom"/>
          </w:tcPr>
          <w:p>
            <w:pPr>
              <w:spacing w:after="0" w:line="227" w:lineRule="exact"/>
              <w:rPr>
                <w:sz w:val="20"/>
                <w:szCs w:val="20"/>
                <w:color w:val="auto"/>
              </w:rPr>
            </w:pPr>
            <w:r>
              <w:rPr>
                <w:rFonts w:ascii="Arial" w:cs="Arial" w:eastAsia="Arial" w:hAnsi="Arial"/>
                <w:sz w:val="20"/>
                <w:szCs w:val="20"/>
                <w:color w:val="auto"/>
              </w:rPr>
              <w:t>Burlington</w:t>
            </w: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6"/>
        </w:trPr>
        <w:tc>
          <w:tcPr>
            <w:tcW w:w="1000" w:type="dxa"/>
            <w:vAlign w:val="bottom"/>
          </w:tcPr>
          <w:p>
            <w:pPr>
              <w:spacing w:after="0"/>
              <w:rPr>
                <w:sz w:val="20"/>
                <w:szCs w:val="20"/>
                <w:color w:val="auto"/>
              </w:rPr>
            </w:pPr>
            <w:r>
              <w:rPr>
                <w:rFonts w:ascii="Arial" w:cs="Arial" w:eastAsia="Arial" w:hAnsi="Arial"/>
                <w:sz w:val="20"/>
                <w:szCs w:val="20"/>
                <w:color w:val="auto"/>
              </w:rPr>
              <w:t>Quarry</w:t>
            </w:r>
          </w:p>
        </w:tc>
        <w:tc>
          <w:tcPr>
            <w:tcW w:w="720" w:type="dxa"/>
            <w:vAlign w:val="bottom"/>
          </w:tcPr>
          <w:p>
            <w:pPr>
              <w:jc w:val="right"/>
              <w:spacing w:after="0"/>
              <w:rPr>
                <w:sz w:val="20"/>
                <w:szCs w:val="20"/>
                <w:color w:val="auto"/>
              </w:rPr>
            </w:pPr>
            <w:r>
              <w:rPr>
                <w:rFonts w:ascii="Arial" w:cs="Arial" w:eastAsia="Arial" w:hAnsi="Arial"/>
                <w:sz w:val="20"/>
                <w:szCs w:val="20"/>
                <w:color w:val="auto"/>
                <w:w w:val="87"/>
              </w:rPr>
              <w:t>3100042</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0</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86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1</w:t>
            </w:r>
          </w:p>
        </w:tc>
        <w:tc>
          <w:tcPr>
            <w:tcW w:w="20" w:type="dxa"/>
            <w:vAlign w:val="bottom"/>
          </w:tcPr>
          <w:p>
            <w:pPr>
              <w:spacing w:after="0"/>
              <w:rPr>
                <w:sz w:val="21"/>
                <w:szCs w:val="21"/>
                <w:color w:val="auto"/>
              </w:rPr>
            </w:pPr>
          </w:p>
        </w:tc>
      </w:tr>
      <w:tr>
        <w:trPr>
          <w:trHeight w:val="226"/>
        </w:trPr>
        <w:tc>
          <w:tcPr>
            <w:tcW w:w="100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rPr>
              <w:t>Caldwell</w:t>
            </w:r>
          </w:p>
        </w:tc>
        <w:tc>
          <w:tcPr>
            <w:tcW w:w="7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46"/>
        </w:trPr>
        <w:tc>
          <w:tcPr>
            <w:tcW w:w="1000" w:type="dxa"/>
            <w:vAlign w:val="bottom"/>
            <w:shd w:val="clear" w:color="auto" w:fill="CFF0FC"/>
          </w:tcPr>
          <w:p>
            <w:pPr>
              <w:spacing w:after="0"/>
              <w:rPr>
                <w:sz w:val="20"/>
                <w:szCs w:val="20"/>
                <w:color w:val="auto"/>
              </w:rPr>
            </w:pPr>
            <w:r>
              <w:rPr>
                <w:rFonts w:ascii="Arial" w:cs="Arial" w:eastAsia="Arial" w:hAnsi="Arial"/>
                <w:sz w:val="20"/>
                <w:szCs w:val="20"/>
                <w:color w:val="auto"/>
              </w:rPr>
              <w:t>Quarry</w:t>
            </w:r>
          </w:p>
        </w:tc>
        <w:tc>
          <w:tcPr>
            <w:tcW w:w="72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7"/>
              </w:rPr>
              <w:t>3101869</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8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20" w:type="dxa"/>
            <w:vAlign w:val="bottom"/>
          </w:tcPr>
          <w:p>
            <w:pPr>
              <w:spacing w:after="0"/>
              <w:rPr>
                <w:sz w:val="21"/>
                <w:szCs w:val="21"/>
                <w:color w:val="auto"/>
              </w:rPr>
            </w:pPr>
          </w:p>
        </w:tc>
      </w:tr>
      <w:tr>
        <w:trPr>
          <w:trHeight w:val="226"/>
        </w:trPr>
        <w:tc>
          <w:tcPr>
            <w:tcW w:w="1000" w:type="dxa"/>
            <w:vAlign w:val="bottom"/>
          </w:tcPr>
          <w:p>
            <w:pPr>
              <w:spacing w:after="0" w:line="227" w:lineRule="exact"/>
              <w:rPr>
                <w:sz w:val="20"/>
                <w:szCs w:val="20"/>
                <w:color w:val="auto"/>
              </w:rPr>
            </w:pPr>
            <w:r>
              <w:rPr>
                <w:rFonts w:ascii="Arial" w:cs="Arial" w:eastAsia="Arial" w:hAnsi="Arial"/>
                <w:sz w:val="20"/>
                <w:szCs w:val="20"/>
                <w:color w:val="auto"/>
              </w:rPr>
              <w:t>Carmel</w:t>
            </w: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1000" w:type="dxa"/>
            <w:vAlign w:val="bottom"/>
          </w:tcPr>
          <w:p>
            <w:pPr>
              <w:spacing w:after="0"/>
              <w:rPr>
                <w:sz w:val="20"/>
                <w:szCs w:val="20"/>
                <w:color w:val="auto"/>
              </w:rPr>
            </w:pPr>
            <w:r>
              <w:rPr>
                <w:rFonts w:ascii="Arial" w:cs="Arial" w:eastAsia="Arial" w:hAnsi="Arial"/>
                <w:sz w:val="20"/>
                <w:szCs w:val="20"/>
                <w:color w:val="auto"/>
              </w:rPr>
              <w:t>Church</w:t>
            </w: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6"/>
        </w:trPr>
        <w:tc>
          <w:tcPr>
            <w:tcW w:w="1000" w:type="dxa"/>
            <w:vAlign w:val="bottom"/>
          </w:tcPr>
          <w:p>
            <w:pPr>
              <w:spacing w:after="0"/>
              <w:rPr>
                <w:sz w:val="20"/>
                <w:szCs w:val="20"/>
                <w:color w:val="auto"/>
              </w:rPr>
            </w:pPr>
            <w:r>
              <w:rPr>
                <w:rFonts w:ascii="Arial" w:cs="Arial" w:eastAsia="Arial" w:hAnsi="Arial"/>
                <w:sz w:val="20"/>
                <w:szCs w:val="20"/>
                <w:color w:val="auto"/>
              </w:rPr>
              <w:t>Quarry</w:t>
            </w:r>
          </w:p>
        </w:tc>
        <w:tc>
          <w:tcPr>
            <w:tcW w:w="720" w:type="dxa"/>
            <w:vAlign w:val="bottom"/>
          </w:tcPr>
          <w:p>
            <w:pPr>
              <w:jc w:val="right"/>
              <w:spacing w:after="0"/>
              <w:rPr>
                <w:sz w:val="20"/>
                <w:szCs w:val="20"/>
                <w:color w:val="auto"/>
              </w:rPr>
            </w:pPr>
            <w:r>
              <w:rPr>
                <w:rFonts w:ascii="Arial" w:cs="Arial" w:eastAsia="Arial" w:hAnsi="Arial"/>
                <w:sz w:val="20"/>
                <w:szCs w:val="20"/>
                <w:color w:val="auto"/>
                <w:w w:val="87"/>
              </w:rPr>
              <w:t>4405633</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0</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86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20" w:type="dxa"/>
            <w:vAlign w:val="bottom"/>
          </w:tcPr>
          <w:p>
            <w:pPr>
              <w:spacing w:after="0"/>
              <w:rPr>
                <w:sz w:val="21"/>
                <w:szCs w:val="21"/>
                <w:color w:val="auto"/>
              </w:rPr>
            </w:pPr>
          </w:p>
        </w:tc>
      </w:tr>
      <w:tr>
        <w:trPr>
          <w:trHeight w:val="226"/>
        </w:trPr>
        <w:tc>
          <w:tcPr>
            <w:tcW w:w="100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rPr>
              <w:t>Castle</w:t>
            </w:r>
          </w:p>
        </w:tc>
        <w:tc>
          <w:tcPr>
            <w:tcW w:w="7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1000" w:type="dxa"/>
            <w:vAlign w:val="bottom"/>
            <w:shd w:val="clear" w:color="auto" w:fill="CFF0FC"/>
          </w:tcPr>
          <w:p>
            <w:pPr>
              <w:spacing w:after="0"/>
              <w:rPr>
                <w:sz w:val="20"/>
                <w:szCs w:val="20"/>
                <w:color w:val="auto"/>
              </w:rPr>
            </w:pPr>
            <w:r>
              <w:rPr>
                <w:rFonts w:ascii="Arial" w:cs="Arial" w:eastAsia="Arial" w:hAnsi="Arial"/>
                <w:sz w:val="20"/>
                <w:szCs w:val="20"/>
                <w:color w:val="auto"/>
              </w:rPr>
              <w:t>Hayne</w:t>
            </w:r>
          </w:p>
        </w:tc>
        <w:tc>
          <w:tcPr>
            <w:tcW w:w="7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46"/>
        </w:trPr>
        <w:tc>
          <w:tcPr>
            <w:tcW w:w="1000" w:type="dxa"/>
            <w:vAlign w:val="bottom"/>
            <w:shd w:val="clear" w:color="auto" w:fill="CFF0FC"/>
          </w:tcPr>
          <w:p>
            <w:pPr>
              <w:spacing w:after="0"/>
              <w:rPr>
                <w:sz w:val="20"/>
                <w:szCs w:val="20"/>
                <w:color w:val="auto"/>
              </w:rPr>
            </w:pPr>
            <w:r>
              <w:rPr>
                <w:rFonts w:ascii="Arial" w:cs="Arial" w:eastAsia="Arial" w:hAnsi="Arial"/>
                <w:sz w:val="20"/>
                <w:szCs w:val="20"/>
                <w:color w:val="auto"/>
              </w:rPr>
              <w:t>Quarry</w:t>
            </w:r>
          </w:p>
        </w:tc>
        <w:tc>
          <w:tcPr>
            <w:tcW w:w="72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7"/>
              </w:rPr>
              <w:t>3100063</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8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20" w:type="dxa"/>
            <w:vAlign w:val="bottom"/>
          </w:tcPr>
          <w:p>
            <w:pPr>
              <w:spacing w:after="0"/>
              <w:rPr>
                <w:sz w:val="21"/>
                <w:szCs w:val="21"/>
                <w:color w:val="auto"/>
              </w:rPr>
            </w:pPr>
          </w:p>
        </w:tc>
      </w:tr>
      <w:tr>
        <w:trPr>
          <w:trHeight w:val="226"/>
        </w:trPr>
        <w:tc>
          <w:tcPr>
            <w:tcW w:w="1000" w:type="dxa"/>
            <w:vAlign w:val="bottom"/>
          </w:tcPr>
          <w:p>
            <w:pPr>
              <w:spacing w:after="0" w:line="227" w:lineRule="exact"/>
              <w:rPr>
                <w:sz w:val="20"/>
                <w:szCs w:val="20"/>
                <w:color w:val="auto"/>
              </w:rPr>
            </w:pPr>
            <w:r>
              <w:rPr>
                <w:rFonts w:ascii="Arial" w:cs="Arial" w:eastAsia="Arial" w:hAnsi="Arial"/>
                <w:sz w:val="20"/>
                <w:szCs w:val="20"/>
                <w:color w:val="auto"/>
              </w:rPr>
              <w:t>Cayce</w:t>
            </w: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6"/>
        </w:trPr>
        <w:tc>
          <w:tcPr>
            <w:tcW w:w="1000" w:type="dxa"/>
            <w:vAlign w:val="bottom"/>
          </w:tcPr>
          <w:p>
            <w:pPr>
              <w:spacing w:after="0"/>
              <w:rPr>
                <w:sz w:val="20"/>
                <w:szCs w:val="20"/>
                <w:color w:val="auto"/>
              </w:rPr>
            </w:pPr>
            <w:r>
              <w:rPr>
                <w:rFonts w:ascii="Arial" w:cs="Arial" w:eastAsia="Arial" w:hAnsi="Arial"/>
                <w:sz w:val="20"/>
                <w:szCs w:val="20"/>
                <w:color w:val="auto"/>
              </w:rPr>
              <w:t>Quarry</w:t>
            </w:r>
          </w:p>
        </w:tc>
        <w:tc>
          <w:tcPr>
            <w:tcW w:w="720" w:type="dxa"/>
            <w:vAlign w:val="bottom"/>
          </w:tcPr>
          <w:p>
            <w:pPr>
              <w:jc w:val="right"/>
              <w:spacing w:after="0"/>
              <w:rPr>
                <w:sz w:val="20"/>
                <w:szCs w:val="20"/>
                <w:color w:val="auto"/>
              </w:rPr>
            </w:pPr>
            <w:r>
              <w:rPr>
                <w:rFonts w:ascii="Arial" w:cs="Arial" w:eastAsia="Arial" w:hAnsi="Arial"/>
                <w:sz w:val="20"/>
                <w:szCs w:val="20"/>
                <w:color w:val="auto"/>
                <w:w w:val="87"/>
              </w:rPr>
              <w:t>3800016</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460</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86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20" w:type="dxa"/>
            <w:vAlign w:val="bottom"/>
          </w:tcPr>
          <w:p>
            <w:pPr>
              <w:spacing w:after="0"/>
              <w:rPr>
                <w:sz w:val="21"/>
                <w:szCs w:val="21"/>
                <w:color w:val="auto"/>
              </w:rPr>
            </w:pPr>
          </w:p>
        </w:tc>
      </w:tr>
      <w:tr>
        <w:trPr>
          <w:trHeight w:val="226"/>
        </w:trPr>
        <w:tc>
          <w:tcPr>
            <w:tcW w:w="100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rPr>
              <w:t>Central</w:t>
            </w:r>
          </w:p>
        </w:tc>
        <w:tc>
          <w:tcPr>
            <w:tcW w:w="7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1000" w:type="dxa"/>
            <w:vAlign w:val="bottom"/>
            <w:shd w:val="clear" w:color="auto" w:fill="CFF0FC"/>
          </w:tcPr>
          <w:p>
            <w:pPr>
              <w:spacing w:after="0"/>
              <w:rPr>
                <w:sz w:val="20"/>
                <w:szCs w:val="20"/>
                <w:color w:val="auto"/>
              </w:rPr>
            </w:pPr>
            <w:r>
              <w:rPr>
                <w:rFonts w:ascii="Arial" w:cs="Arial" w:eastAsia="Arial" w:hAnsi="Arial"/>
                <w:sz w:val="20"/>
                <w:szCs w:val="20"/>
                <w:color w:val="auto"/>
              </w:rPr>
              <w:t>Rock</w:t>
            </w:r>
          </w:p>
        </w:tc>
        <w:tc>
          <w:tcPr>
            <w:tcW w:w="7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46"/>
        </w:trPr>
        <w:tc>
          <w:tcPr>
            <w:tcW w:w="1000" w:type="dxa"/>
            <w:vAlign w:val="bottom"/>
            <w:shd w:val="clear" w:color="auto" w:fill="CFF0FC"/>
          </w:tcPr>
          <w:p>
            <w:pPr>
              <w:spacing w:after="0"/>
              <w:rPr>
                <w:sz w:val="20"/>
                <w:szCs w:val="20"/>
                <w:color w:val="auto"/>
              </w:rPr>
            </w:pPr>
            <w:r>
              <w:rPr>
                <w:rFonts w:ascii="Arial" w:cs="Arial" w:eastAsia="Arial" w:hAnsi="Arial"/>
                <w:sz w:val="20"/>
                <w:szCs w:val="20"/>
                <w:color w:val="auto"/>
              </w:rPr>
              <w:t>Quarry</w:t>
            </w:r>
          </w:p>
        </w:tc>
        <w:tc>
          <w:tcPr>
            <w:tcW w:w="72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7"/>
              </w:rPr>
              <w:t>3100050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8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20" w:type="dxa"/>
            <w:vAlign w:val="bottom"/>
          </w:tcPr>
          <w:p>
            <w:pPr>
              <w:spacing w:after="0"/>
              <w:rPr>
                <w:sz w:val="21"/>
                <w:szCs w:val="21"/>
                <w:color w:val="auto"/>
              </w:rPr>
            </w:pPr>
          </w:p>
        </w:tc>
      </w:tr>
      <w:tr>
        <w:trPr>
          <w:trHeight w:val="226"/>
        </w:trPr>
        <w:tc>
          <w:tcPr>
            <w:tcW w:w="1000" w:type="dxa"/>
            <w:vAlign w:val="bottom"/>
          </w:tcPr>
          <w:p>
            <w:pPr>
              <w:spacing w:after="0" w:line="227" w:lineRule="exact"/>
              <w:rPr>
                <w:sz w:val="20"/>
                <w:szCs w:val="20"/>
                <w:color w:val="auto"/>
              </w:rPr>
            </w:pPr>
            <w:r>
              <w:rPr>
                <w:rFonts w:ascii="Arial" w:cs="Arial" w:eastAsia="Arial" w:hAnsi="Arial"/>
                <w:sz w:val="20"/>
                <w:szCs w:val="20"/>
                <w:color w:val="auto"/>
              </w:rPr>
              <w:t>Charlotte</w:t>
            </w: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6"/>
        </w:trPr>
        <w:tc>
          <w:tcPr>
            <w:tcW w:w="1000" w:type="dxa"/>
            <w:vAlign w:val="bottom"/>
          </w:tcPr>
          <w:p>
            <w:pPr>
              <w:spacing w:after="0"/>
              <w:rPr>
                <w:sz w:val="20"/>
                <w:szCs w:val="20"/>
                <w:color w:val="auto"/>
              </w:rPr>
            </w:pPr>
            <w:r>
              <w:rPr>
                <w:rFonts w:ascii="Arial" w:cs="Arial" w:eastAsia="Arial" w:hAnsi="Arial"/>
                <w:sz w:val="20"/>
                <w:szCs w:val="20"/>
                <w:color w:val="auto"/>
              </w:rPr>
              <w:t>Quarry</w:t>
            </w:r>
          </w:p>
        </w:tc>
        <w:tc>
          <w:tcPr>
            <w:tcW w:w="720" w:type="dxa"/>
            <w:vAlign w:val="bottom"/>
          </w:tcPr>
          <w:p>
            <w:pPr>
              <w:jc w:val="right"/>
              <w:spacing w:after="0"/>
              <w:rPr>
                <w:sz w:val="20"/>
                <w:szCs w:val="20"/>
                <w:color w:val="auto"/>
              </w:rPr>
            </w:pPr>
            <w:r>
              <w:rPr>
                <w:rFonts w:ascii="Arial" w:cs="Arial" w:eastAsia="Arial" w:hAnsi="Arial"/>
                <w:sz w:val="20"/>
                <w:szCs w:val="20"/>
                <w:color w:val="auto"/>
                <w:w w:val="87"/>
              </w:rPr>
              <w:t>3100057</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200</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86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20" w:type="dxa"/>
            <w:vAlign w:val="bottom"/>
          </w:tcPr>
          <w:p>
            <w:pPr>
              <w:spacing w:after="0"/>
              <w:rPr>
                <w:sz w:val="21"/>
                <w:szCs w:val="21"/>
                <w:color w:val="auto"/>
              </w:rPr>
            </w:pPr>
          </w:p>
        </w:tc>
      </w:tr>
      <w:tr>
        <w:trPr>
          <w:trHeight w:val="226"/>
        </w:trPr>
        <w:tc>
          <w:tcPr>
            <w:tcW w:w="100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w w:val="91"/>
              </w:rPr>
              <w:t>Chesterfield</w:t>
            </w:r>
          </w:p>
        </w:tc>
        <w:tc>
          <w:tcPr>
            <w:tcW w:w="7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46"/>
        </w:trPr>
        <w:tc>
          <w:tcPr>
            <w:tcW w:w="1000" w:type="dxa"/>
            <w:vAlign w:val="bottom"/>
            <w:shd w:val="clear" w:color="auto" w:fill="CFF0FC"/>
          </w:tcPr>
          <w:p>
            <w:pPr>
              <w:spacing w:after="0"/>
              <w:rPr>
                <w:sz w:val="20"/>
                <w:szCs w:val="20"/>
                <w:color w:val="auto"/>
              </w:rPr>
            </w:pPr>
            <w:r>
              <w:rPr>
                <w:rFonts w:ascii="Arial" w:cs="Arial" w:eastAsia="Arial" w:hAnsi="Arial"/>
                <w:sz w:val="20"/>
                <w:szCs w:val="20"/>
                <w:color w:val="auto"/>
              </w:rPr>
              <w:t>Quarry</w:t>
            </w:r>
          </w:p>
        </w:tc>
        <w:tc>
          <w:tcPr>
            <w:tcW w:w="72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7"/>
              </w:rPr>
              <w:t>3800682</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8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20" w:type="dxa"/>
            <w:vAlign w:val="bottom"/>
          </w:tcPr>
          <w:p>
            <w:pPr>
              <w:spacing w:after="0"/>
              <w:rPr>
                <w:sz w:val="21"/>
                <w:szCs w:val="21"/>
                <w:color w:val="auto"/>
              </w:rPr>
            </w:pPr>
          </w:p>
        </w:tc>
      </w:tr>
      <w:tr>
        <w:trPr>
          <w:trHeight w:val="226"/>
        </w:trPr>
        <w:tc>
          <w:tcPr>
            <w:tcW w:w="1000" w:type="dxa"/>
            <w:vAlign w:val="bottom"/>
          </w:tcPr>
          <w:p>
            <w:pPr>
              <w:spacing w:after="0" w:line="227" w:lineRule="exact"/>
              <w:rPr>
                <w:sz w:val="20"/>
                <w:szCs w:val="20"/>
                <w:color w:val="auto"/>
              </w:rPr>
            </w:pPr>
            <w:r>
              <w:rPr>
                <w:rFonts w:ascii="Arial" w:cs="Arial" w:eastAsia="Arial" w:hAnsi="Arial"/>
                <w:sz w:val="20"/>
                <w:szCs w:val="20"/>
                <w:color w:val="auto"/>
              </w:rPr>
              <w:t>Clarks</w:t>
            </w: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6"/>
        </w:trPr>
        <w:tc>
          <w:tcPr>
            <w:tcW w:w="1000" w:type="dxa"/>
            <w:vAlign w:val="bottom"/>
          </w:tcPr>
          <w:p>
            <w:pPr>
              <w:spacing w:after="0"/>
              <w:rPr>
                <w:sz w:val="20"/>
                <w:szCs w:val="20"/>
                <w:color w:val="auto"/>
              </w:rPr>
            </w:pPr>
            <w:r>
              <w:rPr>
                <w:rFonts w:ascii="Arial" w:cs="Arial" w:eastAsia="Arial" w:hAnsi="Arial"/>
                <w:sz w:val="20"/>
                <w:szCs w:val="20"/>
                <w:color w:val="auto"/>
              </w:rPr>
              <w:t>Quarry</w:t>
            </w:r>
          </w:p>
        </w:tc>
        <w:tc>
          <w:tcPr>
            <w:tcW w:w="720" w:type="dxa"/>
            <w:vAlign w:val="bottom"/>
          </w:tcPr>
          <w:p>
            <w:pPr>
              <w:jc w:val="right"/>
              <w:spacing w:after="0"/>
              <w:rPr>
                <w:sz w:val="20"/>
                <w:szCs w:val="20"/>
                <w:color w:val="auto"/>
              </w:rPr>
            </w:pPr>
            <w:r>
              <w:rPr>
                <w:rFonts w:ascii="Arial" w:cs="Arial" w:eastAsia="Arial" w:hAnsi="Arial"/>
                <w:sz w:val="20"/>
                <w:szCs w:val="20"/>
                <w:color w:val="auto"/>
                <w:w w:val="87"/>
              </w:rPr>
              <w:t>3102009</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0</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86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20" w:type="dxa"/>
            <w:vAlign w:val="bottom"/>
          </w:tcPr>
          <w:p>
            <w:pPr>
              <w:spacing w:after="0"/>
              <w:rPr>
                <w:sz w:val="21"/>
                <w:szCs w:val="21"/>
                <w:color w:val="auto"/>
              </w:rPr>
            </w:pPr>
          </w:p>
        </w:tc>
      </w:tr>
      <w:tr>
        <w:trPr>
          <w:trHeight w:val="226"/>
        </w:trPr>
        <w:tc>
          <w:tcPr>
            <w:tcW w:w="100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w w:val="89"/>
              </w:rPr>
              <w:t>Cumberland</w:t>
            </w:r>
          </w:p>
        </w:tc>
        <w:tc>
          <w:tcPr>
            <w:tcW w:w="7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46"/>
        </w:trPr>
        <w:tc>
          <w:tcPr>
            <w:tcW w:w="1000" w:type="dxa"/>
            <w:vAlign w:val="bottom"/>
            <w:shd w:val="clear" w:color="auto" w:fill="CFF0FC"/>
          </w:tcPr>
          <w:p>
            <w:pPr>
              <w:spacing w:after="0"/>
              <w:rPr>
                <w:sz w:val="20"/>
                <w:szCs w:val="20"/>
                <w:color w:val="auto"/>
              </w:rPr>
            </w:pPr>
            <w:r>
              <w:rPr>
                <w:rFonts w:ascii="Arial" w:cs="Arial" w:eastAsia="Arial" w:hAnsi="Arial"/>
                <w:sz w:val="20"/>
                <w:szCs w:val="20"/>
                <w:color w:val="auto"/>
              </w:rPr>
              <w:t>Quarry</w:t>
            </w:r>
          </w:p>
        </w:tc>
        <w:tc>
          <w:tcPr>
            <w:tcW w:w="72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7"/>
              </w:rPr>
              <w:t>3102237</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8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20" w:type="dxa"/>
            <w:vAlign w:val="bottom"/>
          </w:tcPr>
          <w:p>
            <w:pPr>
              <w:spacing w:after="0"/>
              <w:rPr>
                <w:sz w:val="21"/>
                <w:szCs w:val="21"/>
                <w:color w:val="auto"/>
              </w:rPr>
            </w:pPr>
          </w:p>
        </w:tc>
      </w:tr>
      <w:tr>
        <w:trPr>
          <w:trHeight w:val="243"/>
        </w:trPr>
        <w:tc>
          <w:tcPr>
            <w:tcW w:w="1000" w:type="dxa"/>
            <w:vAlign w:val="bottom"/>
          </w:tcPr>
          <w:p>
            <w:pPr>
              <w:spacing w:after="0"/>
              <w:rPr>
                <w:sz w:val="20"/>
                <w:szCs w:val="20"/>
                <w:color w:val="auto"/>
              </w:rPr>
            </w:pPr>
            <w:r>
              <w:rPr>
                <w:rFonts w:ascii="Arial" w:cs="Arial" w:eastAsia="Arial" w:hAnsi="Arial"/>
                <w:sz w:val="20"/>
                <w:szCs w:val="20"/>
                <w:color w:val="auto"/>
              </w:rPr>
              <w:t>Denver</w:t>
            </w:r>
          </w:p>
        </w:tc>
        <w:tc>
          <w:tcPr>
            <w:tcW w:w="720" w:type="dxa"/>
            <w:vAlign w:val="bottom"/>
          </w:tcPr>
          <w:p>
            <w:pPr>
              <w:jc w:val="right"/>
              <w:spacing w:after="0"/>
              <w:rPr>
                <w:sz w:val="20"/>
                <w:szCs w:val="20"/>
                <w:color w:val="auto"/>
              </w:rPr>
            </w:pPr>
            <w:r>
              <w:rPr>
                <w:rFonts w:ascii="Arial" w:cs="Arial" w:eastAsia="Arial" w:hAnsi="Arial"/>
                <w:sz w:val="20"/>
                <w:szCs w:val="20"/>
                <w:color w:val="auto"/>
                <w:w w:val="87"/>
              </w:rPr>
              <w:t>3101971</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0</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86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20" w:type="dxa"/>
            <w:vAlign w:val="bottom"/>
          </w:tcPr>
          <w:p>
            <w:pPr>
              <w:spacing w:after="0"/>
              <w:rPr>
                <w:sz w:val="21"/>
                <w:szCs w:val="21"/>
                <w:color w:val="auto"/>
              </w:rPr>
            </w:pPr>
          </w:p>
        </w:tc>
      </w:tr>
      <w:tr>
        <w:trPr>
          <w:trHeight w:val="226"/>
        </w:trPr>
        <w:tc>
          <w:tcPr>
            <w:tcW w:w="100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rPr>
              <w:t>Doswell</w:t>
            </w:r>
          </w:p>
        </w:tc>
        <w:tc>
          <w:tcPr>
            <w:tcW w:w="7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46"/>
        </w:trPr>
        <w:tc>
          <w:tcPr>
            <w:tcW w:w="1000" w:type="dxa"/>
            <w:vAlign w:val="bottom"/>
            <w:shd w:val="clear" w:color="auto" w:fill="CFF0FC"/>
          </w:tcPr>
          <w:p>
            <w:pPr>
              <w:spacing w:after="0"/>
              <w:rPr>
                <w:sz w:val="20"/>
                <w:szCs w:val="20"/>
                <w:color w:val="auto"/>
              </w:rPr>
            </w:pPr>
            <w:r>
              <w:rPr>
                <w:rFonts w:ascii="Arial" w:cs="Arial" w:eastAsia="Arial" w:hAnsi="Arial"/>
                <w:sz w:val="20"/>
                <w:szCs w:val="20"/>
                <w:color w:val="auto"/>
              </w:rPr>
              <w:t>Quarry</w:t>
            </w:r>
          </w:p>
        </w:tc>
        <w:tc>
          <w:tcPr>
            <w:tcW w:w="72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7"/>
              </w:rPr>
              <w:t>4400045</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1</w:t>
            </w:r>
          </w:p>
        </w:tc>
        <w:tc>
          <w:tcPr>
            <w:tcW w:w="7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8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20" w:type="dxa"/>
            <w:vAlign w:val="bottom"/>
          </w:tcPr>
          <w:p>
            <w:pPr>
              <w:spacing w:after="0"/>
              <w:rPr>
                <w:sz w:val="21"/>
                <w:szCs w:val="21"/>
                <w:color w:val="auto"/>
              </w:rPr>
            </w:pPr>
          </w:p>
        </w:tc>
      </w:tr>
      <w:tr>
        <w:trPr>
          <w:trHeight w:val="547"/>
        </w:trPr>
        <w:tc>
          <w:tcPr>
            <w:tcW w:w="10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2" w:right="219" w:bottom="292"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252"/>
        </w:trPr>
        <w:tc>
          <w:tcPr>
            <w:tcW w:w="15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20" w:type="dxa"/>
            <w:vAlign w:val="bottom"/>
            <w:gridSpan w:val="2"/>
          </w:tcPr>
          <w:p>
            <w:pPr>
              <w:ind w:left="80"/>
              <w:spacing w:after="0"/>
              <w:rPr>
                <w:sz w:val="20"/>
                <w:szCs w:val="20"/>
                <w:color w:val="auto"/>
              </w:rPr>
            </w:pPr>
            <w:r>
              <w:rPr>
                <w:rFonts w:ascii="Arial" w:cs="Arial" w:eastAsia="Arial" w:hAnsi="Arial"/>
                <w:sz w:val="20"/>
                <w:szCs w:val="20"/>
                <w:color w:val="auto"/>
                <w:w w:val="91"/>
              </w:rPr>
              <w:t>Appendix 1</w:t>
            </w:r>
          </w:p>
        </w:tc>
      </w:tr>
      <w:tr>
        <w:trPr>
          <w:trHeight w:val="469"/>
        </w:trPr>
        <w:tc>
          <w:tcPr>
            <w:tcW w:w="1560" w:type="dxa"/>
            <w:vAlign w:val="bottom"/>
          </w:tcPr>
          <w:p>
            <w:pPr>
              <w:spacing w:after="0"/>
              <w:rPr>
                <w:sz w:val="20"/>
                <w:szCs w:val="20"/>
                <w:color w:val="auto"/>
              </w:rPr>
            </w:pPr>
            <w:r>
              <w:rPr>
                <w:rFonts w:ascii="Arial" w:cs="Arial" w:eastAsia="Arial" w:hAnsi="Arial"/>
                <w:sz w:val="20"/>
                <w:szCs w:val="20"/>
                <w:color w:val="auto"/>
              </w:rPr>
              <w:t>East Alamance</w:t>
            </w:r>
          </w:p>
        </w:tc>
        <w:tc>
          <w:tcPr>
            <w:tcW w:w="940" w:type="dxa"/>
            <w:vAlign w:val="bottom"/>
          </w:tcPr>
          <w:p>
            <w:pPr>
              <w:jc w:val="right"/>
              <w:ind w:right="81"/>
              <w:spacing w:after="0"/>
              <w:rPr>
                <w:sz w:val="20"/>
                <w:szCs w:val="20"/>
                <w:color w:val="auto"/>
              </w:rPr>
            </w:pPr>
            <w:r>
              <w:rPr>
                <w:rFonts w:ascii="Arial" w:cs="Arial" w:eastAsia="Arial" w:hAnsi="Arial"/>
                <w:sz w:val="20"/>
                <w:szCs w:val="20"/>
                <w:color w:val="auto"/>
                <w:w w:val="95"/>
              </w:rPr>
              <w:t>3102021</w:t>
            </w:r>
          </w:p>
        </w:tc>
        <w:tc>
          <w:tcPr>
            <w:tcW w:w="700" w:type="dxa"/>
            <w:vAlign w:val="bottom"/>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tcPr>
          <w:p>
            <w:pPr>
              <w:jc w:val="right"/>
              <w:ind w:right="281"/>
              <w:spacing w:after="0"/>
              <w:rPr>
                <w:sz w:val="20"/>
                <w:szCs w:val="20"/>
                <w:color w:val="auto"/>
              </w:rPr>
            </w:pPr>
            <w:r>
              <w:rPr>
                <w:rFonts w:ascii="Arial" w:cs="Arial" w:eastAsia="Arial" w:hAnsi="Arial"/>
                <w:sz w:val="20"/>
                <w:szCs w:val="20"/>
                <w:color w:val="auto"/>
              </w:rPr>
              <w:t>0</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340" w:type="dxa"/>
            <w:vAlign w:val="bottom"/>
          </w:tcPr>
          <w:p>
            <w:pPr>
              <w:jc w:val="right"/>
              <w:spacing w:after="0"/>
              <w:rPr>
                <w:sz w:val="20"/>
                <w:szCs w:val="20"/>
                <w:color w:val="auto"/>
              </w:rPr>
            </w:pPr>
            <w:r>
              <w:rPr>
                <w:rFonts w:ascii="Arial" w:cs="Arial" w:eastAsia="Arial" w:hAnsi="Arial"/>
                <w:sz w:val="20"/>
                <w:szCs w:val="20"/>
                <w:color w:val="auto"/>
              </w:rPr>
              <w:t>$</w:t>
            </w:r>
          </w:p>
        </w:tc>
        <w:tc>
          <w:tcPr>
            <w:tcW w:w="68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480" w:type="dxa"/>
            <w:vAlign w:val="bottom"/>
          </w:tcPr>
          <w:p>
            <w:pPr>
              <w:jc w:val="right"/>
              <w:ind w:right="121"/>
              <w:spacing w:after="0"/>
              <w:rPr>
                <w:sz w:val="20"/>
                <w:szCs w:val="20"/>
                <w:color w:val="auto"/>
              </w:rPr>
            </w:pPr>
            <w:r>
              <w:rPr>
                <w:rFonts w:ascii="Arial" w:cs="Arial" w:eastAsia="Arial" w:hAnsi="Arial"/>
                <w:sz w:val="20"/>
                <w:szCs w:val="20"/>
                <w:color w:val="auto"/>
              </w:rPr>
              <w:t>0</w:t>
            </w:r>
          </w:p>
        </w:tc>
        <w:tc>
          <w:tcPr>
            <w:tcW w:w="720" w:type="dxa"/>
            <w:vAlign w:val="bottom"/>
          </w:tcPr>
          <w:p>
            <w:pPr>
              <w:ind w:left="24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6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480" w:type="dxa"/>
            <w:vAlign w:val="bottom"/>
          </w:tcPr>
          <w:p>
            <w:pPr>
              <w:jc w:val="right"/>
              <w:spacing w:after="0"/>
              <w:rPr>
                <w:sz w:val="20"/>
                <w:szCs w:val="20"/>
                <w:color w:val="auto"/>
              </w:rPr>
            </w:pPr>
            <w:r>
              <w:rPr>
                <w:rFonts w:ascii="Arial" w:cs="Arial" w:eastAsia="Arial" w:hAnsi="Arial"/>
                <w:sz w:val="20"/>
                <w:szCs w:val="20"/>
                <w:color w:val="auto"/>
              </w:rPr>
              <w:t>0</w:t>
            </w:r>
          </w:p>
        </w:tc>
        <w:tc>
          <w:tcPr>
            <w:tcW w:w="10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4"/>
                <w:szCs w:val="24"/>
                <w:color w:val="auto"/>
              </w:rPr>
            </w:pPr>
          </w:p>
        </w:tc>
      </w:tr>
      <w:tr>
        <w:trPr>
          <w:trHeight w:val="243"/>
        </w:trPr>
        <w:tc>
          <w:tcPr>
            <w:tcW w:w="1560" w:type="dxa"/>
            <w:vAlign w:val="bottom"/>
            <w:shd w:val="clear" w:color="auto" w:fill="CFF0FC"/>
          </w:tcPr>
          <w:p>
            <w:pPr>
              <w:spacing w:after="0"/>
              <w:rPr>
                <w:sz w:val="20"/>
                <w:szCs w:val="20"/>
                <w:color w:val="auto"/>
              </w:rPr>
            </w:pPr>
            <w:r>
              <w:rPr>
                <w:rFonts w:ascii="Arial" w:cs="Arial" w:eastAsia="Arial" w:hAnsi="Arial"/>
                <w:sz w:val="20"/>
                <w:szCs w:val="20"/>
                <w:color w:val="auto"/>
              </w:rPr>
              <w:t>Fountain Quarry</w:t>
            </w:r>
          </w:p>
        </w:tc>
        <w:tc>
          <w:tcPr>
            <w:tcW w:w="9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w w:val="95"/>
              </w:rPr>
              <w:t>3100065</w:t>
            </w:r>
          </w:p>
        </w:tc>
        <w:tc>
          <w:tcPr>
            <w:tcW w:w="700" w:type="dxa"/>
            <w:vAlign w:val="bottom"/>
            <w:shd w:val="clear" w:color="auto" w:fill="CFF0FC"/>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shd w:val="clear" w:color="auto" w:fill="CFF0FC"/>
          </w:tcPr>
          <w:p>
            <w:pPr>
              <w:jc w:val="right"/>
              <w:ind w:right="28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8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6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10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1560" w:type="dxa"/>
            <w:vAlign w:val="bottom"/>
          </w:tcPr>
          <w:p>
            <w:pPr>
              <w:spacing w:after="0"/>
              <w:rPr>
                <w:sz w:val="20"/>
                <w:szCs w:val="20"/>
                <w:color w:val="auto"/>
              </w:rPr>
            </w:pPr>
            <w:r>
              <w:rPr>
                <w:rFonts w:ascii="Arial" w:cs="Arial" w:eastAsia="Arial" w:hAnsi="Arial"/>
                <w:sz w:val="20"/>
                <w:szCs w:val="20"/>
                <w:color w:val="auto"/>
              </w:rPr>
              <w:t>Franklin Quarry</w:t>
            </w:r>
          </w:p>
        </w:tc>
        <w:tc>
          <w:tcPr>
            <w:tcW w:w="940" w:type="dxa"/>
            <w:vAlign w:val="bottom"/>
          </w:tcPr>
          <w:p>
            <w:pPr>
              <w:jc w:val="right"/>
              <w:ind w:right="81"/>
              <w:spacing w:after="0"/>
              <w:rPr>
                <w:sz w:val="20"/>
                <w:szCs w:val="20"/>
                <w:color w:val="auto"/>
              </w:rPr>
            </w:pPr>
            <w:r>
              <w:rPr>
                <w:rFonts w:ascii="Arial" w:cs="Arial" w:eastAsia="Arial" w:hAnsi="Arial"/>
                <w:sz w:val="20"/>
                <w:szCs w:val="20"/>
                <w:color w:val="auto"/>
                <w:w w:val="95"/>
              </w:rPr>
              <w:t>3102130</w:t>
            </w:r>
          </w:p>
        </w:tc>
        <w:tc>
          <w:tcPr>
            <w:tcW w:w="700" w:type="dxa"/>
            <w:vAlign w:val="bottom"/>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tcPr>
          <w:p>
            <w:pPr>
              <w:jc w:val="right"/>
              <w:ind w:right="281"/>
              <w:spacing w:after="0"/>
              <w:rPr>
                <w:sz w:val="20"/>
                <w:szCs w:val="20"/>
                <w:color w:val="auto"/>
              </w:rPr>
            </w:pPr>
            <w:r>
              <w:rPr>
                <w:rFonts w:ascii="Arial" w:cs="Arial" w:eastAsia="Arial" w:hAnsi="Arial"/>
                <w:sz w:val="20"/>
                <w:szCs w:val="20"/>
                <w:color w:val="auto"/>
              </w:rPr>
              <w:t>0</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340" w:type="dxa"/>
            <w:vAlign w:val="bottom"/>
          </w:tcPr>
          <w:p>
            <w:pPr>
              <w:jc w:val="right"/>
              <w:spacing w:after="0"/>
              <w:rPr>
                <w:sz w:val="20"/>
                <w:szCs w:val="20"/>
                <w:color w:val="auto"/>
              </w:rPr>
            </w:pPr>
            <w:r>
              <w:rPr>
                <w:rFonts w:ascii="Arial" w:cs="Arial" w:eastAsia="Arial" w:hAnsi="Arial"/>
                <w:sz w:val="20"/>
                <w:szCs w:val="20"/>
                <w:color w:val="auto"/>
              </w:rPr>
              <w:t>$</w:t>
            </w:r>
          </w:p>
        </w:tc>
        <w:tc>
          <w:tcPr>
            <w:tcW w:w="68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480" w:type="dxa"/>
            <w:vAlign w:val="bottom"/>
          </w:tcPr>
          <w:p>
            <w:pPr>
              <w:jc w:val="right"/>
              <w:ind w:right="121"/>
              <w:spacing w:after="0"/>
              <w:rPr>
                <w:sz w:val="20"/>
                <w:szCs w:val="20"/>
                <w:color w:val="auto"/>
              </w:rPr>
            </w:pPr>
            <w:r>
              <w:rPr>
                <w:rFonts w:ascii="Arial" w:cs="Arial" w:eastAsia="Arial" w:hAnsi="Arial"/>
                <w:sz w:val="20"/>
                <w:szCs w:val="20"/>
                <w:color w:val="auto"/>
              </w:rPr>
              <w:t>0</w:t>
            </w:r>
          </w:p>
        </w:tc>
        <w:tc>
          <w:tcPr>
            <w:tcW w:w="720" w:type="dxa"/>
            <w:vAlign w:val="bottom"/>
          </w:tcPr>
          <w:p>
            <w:pPr>
              <w:ind w:left="24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6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480" w:type="dxa"/>
            <w:vAlign w:val="bottom"/>
          </w:tcPr>
          <w:p>
            <w:pPr>
              <w:jc w:val="right"/>
              <w:spacing w:after="0"/>
              <w:rPr>
                <w:sz w:val="20"/>
                <w:szCs w:val="20"/>
                <w:color w:val="auto"/>
              </w:rPr>
            </w:pPr>
            <w:r>
              <w:rPr>
                <w:rFonts w:ascii="Arial" w:cs="Arial" w:eastAsia="Arial" w:hAnsi="Arial"/>
                <w:sz w:val="20"/>
                <w:szCs w:val="20"/>
                <w:color w:val="auto"/>
              </w:rPr>
              <w:t>0</w:t>
            </w:r>
          </w:p>
        </w:tc>
        <w:tc>
          <w:tcPr>
            <w:tcW w:w="10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1560" w:type="dxa"/>
            <w:vAlign w:val="bottom"/>
            <w:shd w:val="clear" w:color="auto" w:fill="CFF0FC"/>
          </w:tcPr>
          <w:p>
            <w:pPr>
              <w:spacing w:after="0"/>
              <w:rPr>
                <w:sz w:val="20"/>
                <w:szCs w:val="20"/>
                <w:color w:val="auto"/>
              </w:rPr>
            </w:pPr>
            <w:r>
              <w:rPr>
                <w:rFonts w:ascii="Arial" w:cs="Arial" w:eastAsia="Arial" w:hAnsi="Arial"/>
                <w:sz w:val="20"/>
                <w:szCs w:val="20"/>
                <w:color w:val="auto"/>
              </w:rPr>
              <w:t>Fuquay Quarry</w:t>
            </w:r>
          </w:p>
        </w:tc>
        <w:tc>
          <w:tcPr>
            <w:tcW w:w="9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w w:val="95"/>
              </w:rPr>
              <w:t>3102055</w:t>
            </w:r>
          </w:p>
        </w:tc>
        <w:tc>
          <w:tcPr>
            <w:tcW w:w="700" w:type="dxa"/>
            <w:vAlign w:val="bottom"/>
            <w:shd w:val="clear" w:color="auto" w:fill="CFF0FC"/>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shd w:val="clear" w:color="auto" w:fill="CFF0FC"/>
          </w:tcPr>
          <w:p>
            <w:pPr>
              <w:jc w:val="right"/>
              <w:ind w:right="28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8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6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10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1560" w:type="dxa"/>
            <w:vAlign w:val="bottom"/>
          </w:tcPr>
          <w:p>
            <w:pPr>
              <w:spacing w:after="0"/>
              <w:rPr>
                <w:sz w:val="20"/>
                <w:szCs w:val="20"/>
                <w:color w:val="auto"/>
              </w:rPr>
            </w:pPr>
            <w:r>
              <w:rPr>
                <w:rFonts w:ascii="Arial" w:cs="Arial" w:eastAsia="Arial" w:hAnsi="Arial"/>
                <w:sz w:val="20"/>
                <w:szCs w:val="20"/>
                <w:color w:val="auto"/>
              </w:rPr>
              <w:t>Garner Quarry</w:t>
            </w:r>
          </w:p>
        </w:tc>
        <w:tc>
          <w:tcPr>
            <w:tcW w:w="940" w:type="dxa"/>
            <w:vAlign w:val="bottom"/>
          </w:tcPr>
          <w:p>
            <w:pPr>
              <w:jc w:val="right"/>
              <w:ind w:right="81"/>
              <w:spacing w:after="0"/>
              <w:rPr>
                <w:sz w:val="20"/>
                <w:szCs w:val="20"/>
                <w:color w:val="auto"/>
              </w:rPr>
            </w:pPr>
            <w:r>
              <w:rPr>
                <w:rFonts w:ascii="Arial" w:cs="Arial" w:eastAsia="Arial" w:hAnsi="Arial"/>
                <w:sz w:val="20"/>
                <w:szCs w:val="20"/>
                <w:color w:val="auto"/>
                <w:w w:val="95"/>
              </w:rPr>
              <w:t>3100072</w:t>
            </w:r>
          </w:p>
        </w:tc>
        <w:tc>
          <w:tcPr>
            <w:tcW w:w="700" w:type="dxa"/>
            <w:vAlign w:val="bottom"/>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tcPr>
          <w:p>
            <w:pPr>
              <w:jc w:val="right"/>
              <w:ind w:right="281"/>
              <w:spacing w:after="0"/>
              <w:rPr>
                <w:sz w:val="20"/>
                <w:szCs w:val="20"/>
                <w:color w:val="auto"/>
              </w:rPr>
            </w:pPr>
            <w:r>
              <w:rPr>
                <w:rFonts w:ascii="Arial" w:cs="Arial" w:eastAsia="Arial" w:hAnsi="Arial"/>
                <w:sz w:val="20"/>
                <w:szCs w:val="20"/>
                <w:color w:val="auto"/>
              </w:rPr>
              <w:t>0</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340" w:type="dxa"/>
            <w:vAlign w:val="bottom"/>
          </w:tcPr>
          <w:p>
            <w:pPr>
              <w:jc w:val="right"/>
              <w:spacing w:after="0"/>
              <w:rPr>
                <w:sz w:val="20"/>
                <w:szCs w:val="20"/>
                <w:color w:val="auto"/>
              </w:rPr>
            </w:pPr>
            <w:r>
              <w:rPr>
                <w:rFonts w:ascii="Arial" w:cs="Arial" w:eastAsia="Arial" w:hAnsi="Arial"/>
                <w:sz w:val="20"/>
                <w:szCs w:val="20"/>
                <w:color w:val="auto"/>
              </w:rPr>
              <w:t>$</w:t>
            </w:r>
          </w:p>
        </w:tc>
        <w:tc>
          <w:tcPr>
            <w:tcW w:w="68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480" w:type="dxa"/>
            <w:vAlign w:val="bottom"/>
          </w:tcPr>
          <w:p>
            <w:pPr>
              <w:jc w:val="right"/>
              <w:ind w:right="121"/>
              <w:spacing w:after="0"/>
              <w:rPr>
                <w:sz w:val="20"/>
                <w:szCs w:val="20"/>
                <w:color w:val="auto"/>
              </w:rPr>
            </w:pPr>
            <w:r>
              <w:rPr>
                <w:rFonts w:ascii="Arial" w:cs="Arial" w:eastAsia="Arial" w:hAnsi="Arial"/>
                <w:sz w:val="20"/>
                <w:szCs w:val="20"/>
                <w:color w:val="auto"/>
              </w:rPr>
              <w:t>0</w:t>
            </w:r>
          </w:p>
        </w:tc>
        <w:tc>
          <w:tcPr>
            <w:tcW w:w="720" w:type="dxa"/>
            <w:vAlign w:val="bottom"/>
          </w:tcPr>
          <w:p>
            <w:pPr>
              <w:ind w:left="24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6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480" w:type="dxa"/>
            <w:vAlign w:val="bottom"/>
          </w:tcPr>
          <w:p>
            <w:pPr>
              <w:jc w:val="right"/>
              <w:spacing w:after="0"/>
              <w:rPr>
                <w:sz w:val="20"/>
                <w:szCs w:val="20"/>
                <w:color w:val="auto"/>
              </w:rPr>
            </w:pPr>
            <w:r>
              <w:rPr>
                <w:rFonts w:ascii="Arial" w:cs="Arial" w:eastAsia="Arial" w:hAnsi="Arial"/>
                <w:sz w:val="20"/>
                <w:szCs w:val="20"/>
                <w:color w:val="auto"/>
              </w:rPr>
              <w:t>0</w:t>
            </w:r>
          </w:p>
        </w:tc>
        <w:tc>
          <w:tcPr>
            <w:tcW w:w="10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26"/>
        </w:trPr>
        <w:tc>
          <w:tcPr>
            <w:tcW w:w="156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rPr>
              <w:t>Georgetown ll</w:t>
            </w:r>
          </w:p>
        </w:tc>
        <w:tc>
          <w:tcPr>
            <w:tcW w:w="9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46"/>
        </w:trPr>
        <w:tc>
          <w:tcPr>
            <w:tcW w:w="1560" w:type="dxa"/>
            <w:vAlign w:val="bottom"/>
            <w:shd w:val="clear" w:color="auto" w:fill="CFF0FC"/>
          </w:tcPr>
          <w:p>
            <w:pPr>
              <w:spacing w:after="0"/>
              <w:rPr>
                <w:sz w:val="20"/>
                <w:szCs w:val="20"/>
                <w:color w:val="auto"/>
              </w:rPr>
            </w:pPr>
            <w:r>
              <w:rPr>
                <w:rFonts w:ascii="Arial" w:cs="Arial" w:eastAsia="Arial" w:hAnsi="Arial"/>
                <w:sz w:val="20"/>
                <w:szCs w:val="20"/>
                <w:color w:val="auto"/>
              </w:rPr>
              <w:t>Quarry</w:t>
            </w:r>
          </w:p>
        </w:tc>
        <w:tc>
          <w:tcPr>
            <w:tcW w:w="9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w w:val="95"/>
              </w:rPr>
              <w:t>3800525</w:t>
            </w:r>
          </w:p>
        </w:tc>
        <w:tc>
          <w:tcPr>
            <w:tcW w:w="700" w:type="dxa"/>
            <w:vAlign w:val="bottom"/>
            <w:shd w:val="clear" w:color="auto" w:fill="CFF0FC"/>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shd w:val="clear" w:color="auto" w:fill="CFF0FC"/>
          </w:tcPr>
          <w:p>
            <w:pPr>
              <w:jc w:val="right"/>
              <w:ind w:right="28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8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6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10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1560" w:type="dxa"/>
            <w:vAlign w:val="bottom"/>
          </w:tcPr>
          <w:p>
            <w:pPr>
              <w:spacing w:after="0"/>
              <w:rPr>
                <w:sz w:val="20"/>
                <w:szCs w:val="20"/>
                <w:color w:val="auto"/>
              </w:rPr>
            </w:pPr>
            <w:r>
              <w:rPr>
                <w:rFonts w:ascii="Arial" w:cs="Arial" w:eastAsia="Arial" w:hAnsi="Arial"/>
                <w:sz w:val="20"/>
                <w:szCs w:val="20"/>
                <w:color w:val="auto"/>
              </w:rPr>
              <w:t>Hickory Quarry</w:t>
            </w:r>
          </w:p>
        </w:tc>
        <w:tc>
          <w:tcPr>
            <w:tcW w:w="940" w:type="dxa"/>
            <w:vAlign w:val="bottom"/>
          </w:tcPr>
          <w:p>
            <w:pPr>
              <w:jc w:val="right"/>
              <w:ind w:right="81"/>
              <w:spacing w:after="0"/>
              <w:rPr>
                <w:sz w:val="20"/>
                <w:szCs w:val="20"/>
                <w:color w:val="auto"/>
              </w:rPr>
            </w:pPr>
            <w:r>
              <w:rPr>
                <w:rFonts w:ascii="Arial" w:cs="Arial" w:eastAsia="Arial" w:hAnsi="Arial"/>
                <w:sz w:val="20"/>
                <w:szCs w:val="20"/>
                <w:color w:val="auto"/>
                <w:w w:val="95"/>
              </w:rPr>
              <w:t>3100043</w:t>
            </w:r>
          </w:p>
        </w:tc>
        <w:tc>
          <w:tcPr>
            <w:tcW w:w="700" w:type="dxa"/>
            <w:vAlign w:val="bottom"/>
          </w:tcPr>
          <w:p>
            <w:pPr>
              <w:jc w:val="right"/>
              <w:ind w:right="301"/>
              <w:spacing w:after="0"/>
              <w:rPr>
                <w:sz w:val="20"/>
                <w:szCs w:val="20"/>
                <w:color w:val="auto"/>
              </w:rPr>
            </w:pPr>
            <w:r>
              <w:rPr>
                <w:rFonts w:ascii="Arial" w:cs="Arial" w:eastAsia="Arial" w:hAnsi="Arial"/>
                <w:sz w:val="20"/>
                <w:szCs w:val="20"/>
                <w:color w:val="auto"/>
              </w:rPr>
              <w:t>2</w:t>
            </w:r>
          </w:p>
        </w:tc>
        <w:tc>
          <w:tcPr>
            <w:tcW w:w="880" w:type="dxa"/>
            <w:vAlign w:val="bottom"/>
          </w:tcPr>
          <w:p>
            <w:pPr>
              <w:jc w:val="right"/>
              <w:ind w:right="281"/>
              <w:spacing w:after="0"/>
              <w:rPr>
                <w:sz w:val="20"/>
                <w:szCs w:val="20"/>
                <w:color w:val="auto"/>
              </w:rPr>
            </w:pPr>
            <w:r>
              <w:rPr>
                <w:rFonts w:ascii="Arial" w:cs="Arial" w:eastAsia="Arial" w:hAnsi="Arial"/>
                <w:sz w:val="20"/>
                <w:szCs w:val="20"/>
                <w:color w:val="auto"/>
              </w:rPr>
              <w:t>0</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340" w:type="dxa"/>
            <w:vAlign w:val="bottom"/>
          </w:tcPr>
          <w:p>
            <w:pPr>
              <w:jc w:val="right"/>
              <w:spacing w:after="0"/>
              <w:rPr>
                <w:sz w:val="20"/>
                <w:szCs w:val="20"/>
                <w:color w:val="auto"/>
              </w:rPr>
            </w:pPr>
            <w:r>
              <w:rPr>
                <w:rFonts w:ascii="Arial" w:cs="Arial" w:eastAsia="Arial" w:hAnsi="Arial"/>
                <w:sz w:val="20"/>
                <w:szCs w:val="20"/>
                <w:color w:val="auto"/>
              </w:rPr>
              <w:t>$</w:t>
            </w:r>
          </w:p>
        </w:tc>
        <w:tc>
          <w:tcPr>
            <w:tcW w:w="680" w:type="dxa"/>
            <w:vAlign w:val="bottom"/>
          </w:tcPr>
          <w:p>
            <w:pPr>
              <w:jc w:val="right"/>
              <w:ind w:right="41"/>
              <w:spacing w:after="0"/>
              <w:rPr>
                <w:sz w:val="20"/>
                <w:szCs w:val="20"/>
                <w:color w:val="auto"/>
              </w:rPr>
            </w:pPr>
            <w:r>
              <w:rPr>
                <w:rFonts w:ascii="Arial" w:cs="Arial" w:eastAsia="Arial" w:hAnsi="Arial"/>
                <w:sz w:val="20"/>
                <w:szCs w:val="20"/>
                <w:color w:val="auto"/>
              </w:rPr>
              <w:t>2,740</w:t>
            </w:r>
          </w:p>
        </w:tc>
        <w:tc>
          <w:tcPr>
            <w:tcW w:w="480" w:type="dxa"/>
            <w:vAlign w:val="bottom"/>
          </w:tcPr>
          <w:p>
            <w:pPr>
              <w:jc w:val="right"/>
              <w:ind w:right="121"/>
              <w:spacing w:after="0"/>
              <w:rPr>
                <w:sz w:val="20"/>
                <w:szCs w:val="20"/>
                <w:color w:val="auto"/>
              </w:rPr>
            </w:pPr>
            <w:r>
              <w:rPr>
                <w:rFonts w:ascii="Arial" w:cs="Arial" w:eastAsia="Arial" w:hAnsi="Arial"/>
                <w:sz w:val="20"/>
                <w:szCs w:val="20"/>
                <w:color w:val="auto"/>
              </w:rPr>
              <w:t>0</w:t>
            </w:r>
          </w:p>
        </w:tc>
        <w:tc>
          <w:tcPr>
            <w:tcW w:w="720" w:type="dxa"/>
            <w:vAlign w:val="bottom"/>
          </w:tcPr>
          <w:p>
            <w:pPr>
              <w:ind w:left="24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6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480" w:type="dxa"/>
            <w:vAlign w:val="bottom"/>
          </w:tcPr>
          <w:p>
            <w:pPr>
              <w:jc w:val="right"/>
              <w:spacing w:after="0"/>
              <w:rPr>
                <w:sz w:val="20"/>
                <w:szCs w:val="20"/>
                <w:color w:val="auto"/>
              </w:rPr>
            </w:pPr>
            <w:r>
              <w:rPr>
                <w:rFonts w:ascii="Arial" w:cs="Arial" w:eastAsia="Arial" w:hAnsi="Arial"/>
                <w:sz w:val="20"/>
                <w:szCs w:val="20"/>
                <w:color w:val="auto"/>
              </w:rPr>
              <w:t>0</w:t>
            </w:r>
          </w:p>
        </w:tc>
        <w:tc>
          <w:tcPr>
            <w:tcW w:w="10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1560" w:type="dxa"/>
            <w:vAlign w:val="bottom"/>
            <w:shd w:val="clear" w:color="auto" w:fill="CFF0FC"/>
          </w:tcPr>
          <w:p>
            <w:pPr>
              <w:spacing w:after="0"/>
              <w:rPr>
                <w:sz w:val="20"/>
                <w:szCs w:val="20"/>
                <w:color w:val="auto"/>
              </w:rPr>
            </w:pPr>
            <w:r>
              <w:rPr>
                <w:rFonts w:ascii="Arial" w:cs="Arial" w:eastAsia="Arial" w:hAnsi="Arial"/>
                <w:sz w:val="20"/>
                <w:szCs w:val="20"/>
                <w:color w:val="auto"/>
              </w:rPr>
              <w:t>Hicone Quarry</w:t>
            </w:r>
          </w:p>
        </w:tc>
        <w:tc>
          <w:tcPr>
            <w:tcW w:w="9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w w:val="95"/>
              </w:rPr>
              <w:t>3102088</w:t>
            </w:r>
          </w:p>
        </w:tc>
        <w:tc>
          <w:tcPr>
            <w:tcW w:w="700" w:type="dxa"/>
            <w:vAlign w:val="bottom"/>
            <w:shd w:val="clear" w:color="auto" w:fill="CFF0FC"/>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shd w:val="clear" w:color="auto" w:fill="CFF0FC"/>
          </w:tcPr>
          <w:p>
            <w:pPr>
              <w:jc w:val="right"/>
              <w:ind w:right="28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8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6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10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1560" w:type="dxa"/>
            <w:vAlign w:val="bottom"/>
          </w:tcPr>
          <w:p>
            <w:pPr>
              <w:spacing w:after="0"/>
              <w:rPr>
                <w:sz w:val="20"/>
                <w:szCs w:val="20"/>
                <w:color w:val="auto"/>
              </w:rPr>
            </w:pPr>
            <w:r>
              <w:rPr>
                <w:rFonts w:ascii="Arial" w:cs="Arial" w:eastAsia="Arial" w:hAnsi="Arial"/>
                <w:sz w:val="20"/>
                <w:szCs w:val="20"/>
                <w:color w:val="auto"/>
                <w:w w:val="91"/>
              </w:rPr>
              <w:t>Jamestown Quarry</w:t>
            </w:r>
          </w:p>
        </w:tc>
        <w:tc>
          <w:tcPr>
            <w:tcW w:w="940" w:type="dxa"/>
            <w:vAlign w:val="bottom"/>
          </w:tcPr>
          <w:p>
            <w:pPr>
              <w:jc w:val="right"/>
              <w:ind w:right="81"/>
              <w:spacing w:after="0"/>
              <w:rPr>
                <w:sz w:val="20"/>
                <w:szCs w:val="20"/>
                <w:color w:val="auto"/>
              </w:rPr>
            </w:pPr>
            <w:r>
              <w:rPr>
                <w:rFonts w:ascii="Arial" w:cs="Arial" w:eastAsia="Arial" w:hAnsi="Arial"/>
                <w:sz w:val="20"/>
                <w:szCs w:val="20"/>
                <w:color w:val="auto"/>
                <w:w w:val="95"/>
              </w:rPr>
              <w:t>3100051</w:t>
            </w:r>
          </w:p>
        </w:tc>
        <w:tc>
          <w:tcPr>
            <w:tcW w:w="700" w:type="dxa"/>
            <w:vAlign w:val="bottom"/>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tcPr>
          <w:p>
            <w:pPr>
              <w:jc w:val="right"/>
              <w:ind w:right="281"/>
              <w:spacing w:after="0"/>
              <w:rPr>
                <w:sz w:val="20"/>
                <w:szCs w:val="20"/>
                <w:color w:val="auto"/>
              </w:rPr>
            </w:pPr>
            <w:r>
              <w:rPr>
                <w:rFonts w:ascii="Arial" w:cs="Arial" w:eastAsia="Arial" w:hAnsi="Arial"/>
                <w:sz w:val="20"/>
                <w:szCs w:val="20"/>
                <w:color w:val="auto"/>
              </w:rPr>
              <w:t>0</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340" w:type="dxa"/>
            <w:vAlign w:val="bottom"/>
          </w:tcPr>
          <w:p>
            <w:pPr>
              <w:jc w:val="right"/>
              <w:spacing w:after="0"/>
              <w:rPr>
                <w:sz w:val="20"/>
                <w:szCs w:val="20"/>
                <w:color w:val="auto"/>
              </w:rPr>
            </w:pPr>
            <w:r>
              <w:rPr>
                <w:rFonts w:ascii="Arial" w:cs="Arial" w:eastAsia="Arial" w:hAnsi="Arial"/>
                <w:sz w:val="20"/>
                <w:szCs w:val="20"/>
                <w:color w:val="auto"/>
              </w:rPr>
              <w:t>$</w:t>
            </w:r>
          </w:p>
        </w:tc>
        <w:tc>
          <w:tcPr>
            <w:tcW w:w="68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480" w:type="dxa"/>
            <w:vAlign w:val="bottom"/>
          </w:tcPr>
          <w:p>
            <w:pPr>
              <w:jc w:val="right"/>
              <w:ind w:right="121"/>
              <w:spacing w:after="0"/>
              <w:rPr>
                <w:sz w:val="20"/>
                <w:szCs w:val="20"/>
                <w:color w:val="auto"/>
              </w:rPr>
            </w:pPr>
            <w:r>
              <w:rPr>
                <w:rFonts w:ascii="Arial" w:cs="Arial" w:eastAsia="Arial" w:hAnsi="Arial"/>
                <w:sz w:val="20"/>
                <w:szCs w:val="20"/>
                <w:color w:val="auto"/>
              </w:rPr>
              <w:t>0</w:t>
            </w:r>
          </w:p>
        </w:tc>
        <w:tc>
          <w:tcPr>
            <w:tcW w:w="720" w:type="dxa"/>
            <w:vAlign w:val="bottom"/>
          </w:tcPr>
          <w:p>
            <w:pPr>
              <w:ind w:left="24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6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480" w:type="dxa"/>
            <w:vAlign w:val="bottom"/>
          </w:tcPr>
          <w:p>
            <w:pPr>
              <w:jc w:val="right"/>
              <w:spacing w:after="0"/>
              <w:rPr>
                <w:sz w:val="20"/>
                <w:szCs w:val="20"/>
                <w:color w:val="auto"/>
              </w:rPr>
            </w:pPr>
            <w:r>
              <w:rPr>
                <w:rFonts w:ascii="Arial" w:cs="Arial" w:eastAsia="Arial" w:hAnsi="Arial"/>
                <w:sz w:val="20"/>
                <w:szCs w:val="20"/>
                <w:color w:val="auto"/>
              </w:rPr>
              <w:t>0</w:t>
            </w:r>
          </w:p>
        </w:tc>
        <w:tc>
          <w:tcPr>
            <w:tcW w:w="10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500" w:type="dxa"/>
            <w:vAlign w:val="bottom"/>
            <w:gridSpan w:val="2"/>
            <w:shd w:val="clear" w:color="auto" w:fill="CFF0FC"/>
          </w:tcPr>
          <w:p>
            <w:pPr>
              <w:spacing w:after="0"/>
              <w:rPr>
                <w:sz w:val="20"/>
                <w:szCs w:val="20"/>
                <w:color w:val="auto"/>
              </w:rPr>
            </w:pPr>
            <w:r>
              <w:rPr>
                <w:rFonts w:ascii="Arial" w:cs="Arial" w:eastAsia="Arial" w:hAnsi="Arial"/>
                <w:sz w:val="20"/>
                <w:szCs w:val="20"/>
                <w:color w:val="auto"/>
                <w:w w:val="99"/>
              </w:rPr>
              <w:t>Kannapolis Quarry 3100070</w:t>
            </w:r>
          </w:p>
        </w:tc>
        <w:tc>
          <w:tcPr>
            <w:tcW w:w="700" w:type="dxa"/>
            <w:vAlign w:val="bottom"/>
            <w:shd w:val="clear" w:color="auto" w:fill="CFF0FC"/>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shd w:val="clear" w:color="auto" w:fill="CFF0FC"/>
          </w:tcPr>
          <w:p>
            <w:pPr>
              <w:jc w:val="right"/>
              <w:ind w:right="28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8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6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10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26"/>
        </w:trPr>
        <w:tc>
          <w:tcPr>
            <w:tcW w:w="1560" w:type="dxa"/>
            <w:vAlign w:val="bottom"/>
          </w:tcPr>
          <w:p>
            <w:pPr>
              <w:spacing w:after="0" w:line="227" w:lineRule="exact"/>
              <w:rPr>
                <w:sz w:val="20"/>
                <w:szCs w:val="20"/>
                <w:color w:val="auto"/>
              </w:rPr>
            </w:pPr>
            <w:r>
              <w:rPr>
                <w:rFonts w:ascii="Arial" w:cs="Arial" w:eastAsia="Arial" w:hAnsi="Arial"/>
                <w:sz w:val="20"/>
                <w:szCs w:val="20"/>
                <w:color w:val="auto"/>
              </w:rPr>
              <w:t>Kings Mountain</w:t>
            </w: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6"/>
        </w:trPr>
        <w:tc>
          <w:tcPr>
            <w:tcW w:w="1560" w:type="dxa"/>
            <w:vAlign w:val="bottom"/>
          </w:tcPr>
          <w:p>
            <w:pPr>
              <w:spacing w:after="0"/>
              <w:rPr>
                <w:sz w:val="20"/>
                <w:szCs w:val="20"/>
                <w:color w:val="auto"/>
              </w:rPr>
            </w:pPr>
            <w:r>
              <w:rPr>
                <w:rFonts w:ascii="Arial" w:cs="Arial" w:eastAsia="Arial" w:hAnsi="Arial"/>
                <w:sz w:val="20"/>
                <w:szCs w:val="20"/>
                <w:color w:val="auto"/>
              </w:rPr>
              <w:t>Quarry</w:t>
            </w:r>
          </w:p>
        </w:tc>
        <w:tc>
          <w:tcPr>
            <w:tcW w:w="940" w:type="dxa"/>
            <w:vAlign w:val="bottom"/>
          </w:tcPr>
          <w:p>
            <w:pPr>
              <w:jc w:val="right"/>
              <w:ind w:right="81"/>
              <w:spacing w:after="0"/>
              <w:rPr>
                <w:sz w:val="20"/>
                <w:szCs w:val="20"/>
                <w:color w:val="auto"/>
              </w:rPr>
            </w:pPr>
            <w:r>
              <w:rPr>
                <w:rFonts w:ascii="Arial" w:cs="Arial" w:eastAsia="Arial" w:hAnsi="Arial"/>
                <w:sz w:val="20"/>
                <w:szCs w:val="20"/>
                <w:color w:val="auto"/>
                <w:w w:val="95"/>
              </w:rPr>
              <w:t>3100047</w:t>
            </w:r>
          </w:p>
        </w:tc>
        <w:tc>
          <w:tcPr>
            <w:tcW w:w="700" w:type="dxa"/>
            <w:vAlign w:val="bottom"/>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tcPr>
          <w:p>
            <w:pPr>
              <w:jc w:val="right"/>
              <w:ind w:right="281"/>
              <w:spacing w:after="0"/>
              <w:rPr>
                <w:sz w:val="20"/>
                <w:szCs w:val="20"/>
                <w:color w:val="auto"/>
              </w:rPr>
            </w:pPr>
            <w:r>
              <w:rPr>
                <w:rFonts w:ascii="Arial" w:cs="Arial" w:eastAsia="Arial" w:hAnsi="Arial"/>
                <w:sz w:val="20"/>
                <w:szCs w:val="20"/>
                <w:color w:val="auto"/>
              </w:rPr>
              <w:t>0</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340" w:type="dxa"/>
            <w:vAlign w:val="bottom"/>
          </w:tcPr>
          <w:p>
            <w:pPr>
              <w:jc w:val="right"/>
              <w:spacing w:after="0"/>
              <w:rPr>
                <w:sz w:val="20"/>
                <w:szCs w:val="20"/>
                <w:color w:val="auto"/>
              </w:rPr>
            </w:pPr>
            <w:r>
              <w:rPr>
                <w:rFonts w:ascii="Arial" w:cs="Arial" w:eastAsia="Arial" w:hAnsi="Arial"/>
                <w:sz w:val="20"/>
                <w:szCs w:val="20"/>
                <w:color w:val="auto"/>
              </w:rPr>
              <w:t>$</w:t>
            </w:r>
          </w:p>
        </w:tc>
        <w:tc>
          <w:tcPr>
            <w:tcW w:w="68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480" w:type="dxa"/>
            <w:vAlign w:val="bottom"/>
          </w:tcPr>
          <w:p>
            <w:pPr>
              <w:jc w:val="right"/>
              <w:ind w:right="121"/>
              <w:spacing w:after="0"/>
              <w:rPr>
                <w:sz w:val="20"/>
                <w:szCs w:val="20"/>
                <w:color w:val="auto"/>
              </w:rPr>
            </w:pPr>
            <w:r>
              <w:rPr>
                <w:rFonts w:ascii="Arial" w:cs="Arial" w:eastAsia="Arial" w:hAnsi="Arial"/>
                <w:sz w:val="20"/>
                <w:szCs w:val="20"/>
                <w:color w:val="auto"/>
              </w:rPr>
              <w:t>0</w:t>
            </w:r>
          </w:p>
        </w:tc>
        <w:tc>
          <w:tcPr>
            <w:tcW w:w="720" w:type="dxa"/>
            <w:vAlign w:val="bottom"/>
          </w:tcPr>
          <w:p>
            <w:pPr>
              <w:ind w:left="24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6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480" w:type="dxa"/>
            <w:vAlign w:val="bottom"/>
          </w:tcPr>
          <w:p>
            <w:pPr>
              <w:jc w:val="right"/>
              <w:spacing w:after="0"/>
              <w:rPr>
                <w:sz w:val="20"/>
                <w:szCs w:val="20"/>
                <w:color w:val="auto"/>
              </w:rPr>
            </w:pPr>
            <w:r>
              <w:rPr>
                <w:rFonts w:ascii="Arial" w:cs="Arial" w:eastAsia="Arial" w:hAnsi="Arial"/>
                <w:sz w:val="20"/>
                <w:szCs w:val="20"/>
                <w:color w:val="auto"/>
              </w:rPr>
              <w:t>0</w:t>
            </w:r>
          </w:p>
        </w:tc>
        <w:tc>
          <w:tcPr>
            <w:tcW w:w="10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26"/>
        </w:trPr>
        <w:tc>
          <w:tcPr>
            <w:tcW w:w="156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rPr>
              <w:t>Lemon Springs</w:t>
            </w:r>
          </w:p>
        </w:tc>
        <w:tc>
          <w:tcPr>
            <w:tcW w:w="9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46"/>
        </w:trPr>
        <w:tc>
          <w:tcPr>
            <w:tcW w:w="1560" w:type="dxa"/>
            <w:vAlign w:val="bottom"/>
            <w:shd w:val="clear" w:color="auto" w:fill="CFF0FC"/>
          </w:tcPr>
          <w:p>
            <w:pPr>
              <w:spacing w:after="0"/>
              <w:rPr>
                <w:sz w:val="20"/>
                <w:szCs w:val="20"/>
                <w:color w:val="auto"/>
              </w:rPr>
            </w:pPr>
            <w:r>
              <w:rPr>
                <w:rFonts w:ascii="Arial" w:cs="Arial" w:eastAsia="Arial" w:hAnsi="Arial"/>
                <w:sz w:val="20"/>
                <w:szCs w:val="20"/>
                <w:color w:val="auto"/>
              </w:rPr>
              <w:t>Quarry</w:t>
            </w:r>
          </w:p>
        </w:tc>
        <w:tc>
          <w:tcPr>
            <w:tcW w:w="9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w w:val="95"/>
              </w:rPr>
              <w:t>3101104</w:t>
            </w:r>
          </w:p>
        </w:tc>
        <w:tc>
          <w:tcPr>
            <w:tcW w:w="700" w:type="dxa"/>
            <w:vAlign w:val="bottom"/>
            <w:shd w:val="clear" w:color="auto" w:fill="CFF0FC"/>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shd w:val="clear" w:color="auto" w:fill="CFF0FC"/>
          </w:tcPr>
          <w:p>
            <w:pPr>
              <w:jc w:val="right"/>
              <w:ind w:right="28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8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6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10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26"/>
        </w:trPr>
        <w:tc>
          <w:tcPr>
            <w:tcW w:w="1560" w:type="dxa"/>
            <w:vAlign w:val="bottom"/>
          </w:tcPr>
          <w:p>
            <w:pPr>
              <w:spacing w:after="0" w:line="227" w:lineRule="exact"/>
              <w:rPr>
                <w:sz w:val="20"/>
                <w:szCs w:val="20"/>
                <w:color w:val="auto"/>
              </w:rPr>
            </w:pPr>
            <w:r>
              <w:rPr>
                <w:rFonts w:ascii="Arial" w:cs="Arial" w:eastAsia="Arial" w:hAnsi="Arial"/>
                <w:sz w:val="20"/>
                <w:szCs w:val="20"/>
                <w:color w:val="auto"/>
              </w:rPr>
              <w:t>Loamy Sand and</w:t>
            </w: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6"/>
        </w:trPr>
        <w:tc>
          <w:tcPr>
            <w:tcW w:w="1560" w:type="dxa"/>
            <w:vAlign w:val="bottom"/>
          </w:tcPr>
          <w:p>
            <w:pPr>
              <w:spacing w:after="0"/>
              <w:rPr>
                <w:sz w:val="20"/>
                <w:szCs w:val="20"/>
                <w:color w:val="auto"/>
              </w:rPr>
            </w:pPr>
            <w:r>
              <w:rPr>
                <w:rFonts w:ascii="Arial" w:cs="Arial" w:eastAsia="Arial" w:hAnsi="Arial"/>
                <w:sz w:val="20"/>
                <w:szCs w:val="20"/>
                <w:color w:val="auto"/>
              </w:rPr>
              <w:t>Gravel</w:t>
            </w:r>
          </w:p>
        </w:tc>
        <w:tc>
          <w:tcPr>
            <w:tcW w:w="940" w:type="dxa"/>
            <w:vAlign w:val="bottom"/>
          </w:tcPr>
          <w:p>
            <w:pPr>
              <w:jc w:val="right"/>
              <w:ind w:right="81"/>
              <w:spacing w:after="0"/>
              <w:rPr>
                <w:sz w:val="20"/>
                <w:szCs w:val="20"/>
                <w:color w:val="auto"/>
              </w:rPr>
            </w:pPr>
            <w:r>
              <w:rPr>
                <w:rFonts w:ascii="Arial" w:cs="Arial" w:eastAsia="Arial" w:hAnsi="Arial"/>
                <w:sz w:val="20"/>
                <w:szCs w:val="20"/>
                <w:color w:val="auto"/>
                <w:w w:val="95"/>
              </w:rPr>
              <w:t>3800721</w:t>
            </w:r>
          </w:p>
        </w:tc>
        <w:tc>
          <w:tcPr>
            <w:tcW w:w="700" w:type="dxa"/>
            <w:vAlign w:val="bottom"/>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tcPr>
          <w:p>
            <w:pPr>
              <w:jc w:val="right"/>
              <w:ind w:right="281"/>
              <w:spacing w:after="0"/>
              <w:rPr>
                <w:sz w:val="20"/>
                <w:szCs w:val="20"/>
                <w:color w:val="auto"/>
              </w:rPr>
            </w:pPr>
            <w:r>
              <w:rPr>
                <w:rFonts w:ascii="Arial" w:cs="Arial" w:eastAsia="Arial" w:hAnsi="Arial"/>
                <w:sz w:val="20"/>
                <w:szCs w:val="20"/>
                <w:color w:val="auto"/>
              </w:rPr>
              <w:t>0</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340" w:type="dxa"/>
            <w:vAlign w:val="bottom"/>
          </w:tcPr>
          <w:p>
            <w:pPr>
              <w:jc w:val="right"/>
              <w:spacing w:after="0"/>
              <w:rPr>
                <w:sz w:val="20"/>
                <w:szCs w:val="20"/>
                <w:color w:val="auto"/>
              </w:rPr>
            </w:pPr>
            <w:r>
              <w:rPr>
                <w:rFonts w:ascii="Arial" w:cs="Arial" w:eastAsia="Arial" w:hAnsi="Arial"/>
                <w:sz w:val="20"/>
                <w:szCs w:val="20"/>
                <w:color w:val="auto"/>
              </w:rPr>
              <w:t>$</w:t>
            </w:r>
          </w:p>
        </w:tc>
        <w:tc>
          <w:tcPr>
            <w:tcW w:w="68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480" w:type="dxa"/>
            <w:vAlign w:val="bottom"/>
          </w:tcPr>
          <w:p>
            <w:pPr>
              <w:jc w:val="right"/>
              <w:ind w:right="121"/>
              <w:spacing w:after="0"/>
              <w:rPr>
                <w:sz w:val="20"/>
                <w:szCs w:val="20"/>
                <w:color w:val="auto"/>
              </w:rPr>
            </w:pPr>
            <w:r>
              <w:rPr>
                <w:rFonts w:ascii="Arial" w:cs="Arial" w:eastAsia="Arial" w:hAnsi="Arial"/>
                <w:sz w:val="20"/>
                <w:szCs w:val="20"/>
                <w:color w:val="auto"/>
              </w:rPr>
              <w:t>0</w:t>
            </w:r>
          </w:p>
        </w:tc>
        <w:tc>
          <w:tcPr>
            <w:tcW w:w="720" w:type="dxa"/>
            <w:vAlign w:val="bottom"/>
          </w:tcPr>
          <w:p>
            <w:pPr>
              <w:ind w:left="24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6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480" w:type="dxa"/>
            <w:vAlign w:val="bottom"/>
          </w:tcPr>
          <w:p>
            <w:pPr>
              <w:jc w:val="right"/>
              <w:spacing w:after="0"/>
              <w:rPr>
                <w:sz w:val="20"/>
                <w:szCs w:val="20"/>
                <w:color w:val="auto"/>
              </w:rPr>
            </w:pPr>
            <w:r>
              <w:rPr>
                <w:rFonts w:ascii="Arial" w:cs="Arial" w:eastAsia="Arial" w:hAnsi="Arial"/>
                <w:sz w:val="20"/>
                <w:szCs w:val="20"/>
                <w:color w:val="auto"/>
              </w:rPr>
              <w:t>0</w:t>
            </w:r>
          </w:p>
        </w:tc>
        <w:tc>
          <w:tcPr>
            <w:tcW w:w="10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1560" w:type="dxa"/>
            <w:vAlign w:val="bottom"/>
            <w:shd w:val="clear" w:color="auto" w:fill="CFF0FC"/>
          </w:tcPr>
          <w:p>
            <w:pPr>
              <w:spacing w:after="0"/>
              <w:rPr>
                <w:sz w:val="20"/>
                <w:szCs w:val="20"/>
                <w:color w:val="auto"/>
              </w:rPr>
            </w:pPr>
            <w:r>
              <w:rPr>
                <w:rFonts w:ascii="Arial" w:cs="Arial" w:eastAsia="Arial" w:hAnsi="Arial"/>
                <w:sz w:val="20"/>
                <w:szCs w:val="20"/>
                <w:color w:val="auto"/>
              </w:rPr>
              <w:t>Maiden Quarry</w:t>
            </w:r>
          </w:p>
        </w:tc>
        <w:tc>
          <w:tcPr>
            <w:tcW w:w="9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w w:val="95"/>
              </w:rPr>
              <w:t>3102125</w:t>
            </w:r>
          </w:p>
        </w:tc>
        <w:tc>
          <w:tcPr>
            <w:tcW w:w="700" w:type="dxa"/>
            <w:vAlign w:val="bottom"/>
            <w:shd w:val="clear" w:color="auto" w:fill="CFF0FC"/>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shd w:val="clear" w:color="auto" w:fill="CFF0FC"/>
          </w:tcPr>
          <w:p>
            <w:pPr>
              <w:jc w:val="right"/>
              <w:ind w:right="28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8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108</w:t>
            </w:r>
          </w:p>
        </w:tc>
        <w:tc>
          <w:tcPr>
            <w:tcW w:w="4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6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10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26"/>
        </w:trPr>
        <w:tc>
          <w:tcPr>
            <w:tcW w:w="1560" w:type="dxa"/>
            <w:vAlign w:val="bottom"/>
          </w:tcPr>
          <w:p>
            <w:pPr>
              <w:spacing w:after="0" w:line="227" w:lineRule="exact"/>
              <w:rPr>
                <w:sz w:val="20"/>
                <w:szCs w:val="20"/>
                <w:color w:val="auto"/>
              </w:rPr>
            </w:pPr>
            <w:r>
              <w:rPr>
                <w:rFonts w:ascii="Arial" w:cs="Arial" w:eastAsia="Arial" w:hAnsi="Arial"/>
                <w:sz w:val="20"/>
                <w:szCs w:val="20"/>
                <w:color w:val="auto"/>
              </w:rPr>
              <w:t>Mallard Creek</w:t>
            </w: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6"/>
        </w:trPr>
        <w:tc>
          <w:tcPr>
            <w:tcW w:w="1560" w:type="dxa"/>
            <w:vAlign w:val="bottom"/>
          </w:tcPr>
          <w:p>
            <w:pPr>
              <w:spacing w:after="0"/>
              <w:rPr>
                <w:sz w:val="20"/>
                <w:szCs w:val="20"/>
                <w:color w:val="auto"/>
              </w:rPr>
            </w:pPr>
            <w:r>
              <w:rPr>
                <w:rFonts w:ascii="Arial" w:cs="Arial" w:eastAsia="Arial" w:hAnsi="Arial"/>
                <w:sz w:val="20"/>
                <w:szCs w:val="20"/>
                <w:color w:val="auto"/>
              </w:rPr>
              <w:t>Quarry</w:t>
            </w:r>
          </w:p>
        </w:tc>
        <w:tc>
          <w:tcPr>
            <w:tcW w:w="940" w:type="dxa"/>
            <w:vAlign w:val="bottom"/>
          </w:tcPr>
          <w:p>
            <w:pPr>
              <w:jc w:val="right"/>
              <w:ind w:right="81"/>
              <w:spacing w:after="0"/>
              <w:rPr>
                <w:sz w:val="20"/>
                <w:szCs w:val="20"/>
                <w:color w:val="auto"/>
              </w:rPr>
            </w:pPr>
            <w:r>
              <w:rPr>
                <w:rFonts w:ascii="Arial" w:cs="Arial" w:eastAsia="Arial" w:hAnsi="Arial"/>
                <w:sz w:val="20"/>
                <w:szCs w:val="20"/>
                <w:color w:val="auto"/>
                <w:w w:val="95"/>
              </w:rPr>
              <w:t>3102006</w:t>
            </w:r>
          </w:p>
        </w:tc>
        <w:tc>
          <w:tcPr>
            <w:tcW w:w="700" w:type="dxa"/>
            <w:vAlign w:val="bottom"/>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tcPr>
          <w:p>
            <w:pPr>
              <w:jc w:val="right"/>
              <w:ind w:right="281"/>
              <w:spacing w:after="0"/>
              <w:rPr>
                <w:sz w:val="20"/>
                <w:szCs w:val="20"/>
                <w:color w:val="auto"/>
              </w:rPr>
            </w:pPr>
            <w:r>
              <w:rPr>
                <w:rFonts w:ascii="Arial" w:cs="Arial" w:eastAsia="Arial" w:hAnsi="Arial"/>
                <w:sz w:val="20"/>
                <w:szCs w:val="20"/>
                <w:color w:val="auto"/>
              </w:rPr>
              <w:t>0</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340" w:type="dxa"/>
            <w:vAlign w:val="bottom"/>
          </w:tcPr>
          <w:p>
            <w:pPr>
              <w:jc w:val="right"/>
              <w:spacing w:after="0"/>
              <w:rPr>
                <w:sz w:val="20"/>
                <w:szCs w:val="20"/>
                <w:color w:val="auto"/>
              </w:rPr>
            </w:pPr>
            <w:r>
              <w:rPr>
                <w:rFonts w:ascii="Arial" w:cs="Arial" w:eastAsia="Arial" w:hAnsi="Arial"/>
                <w:sz w:val="20"/>
                <w:szCs w:val="20"/>
                <w:color w:val="auto"/>
              </w:rPr>
              <w:t>$</w:t>
            </w:r>
          </w:p>
        </w:tc>
        <w:tc>
          <w:tcPr>
            <w:tcW w:w="68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480" w:type="dxa"/>
            <w:vAlign w:val="bottom"/>
          </w:tcPr>
          <w:p>
            <w:pPr>
              <w:jc w:val="right"/>
              <w:ind w:right="121"/>
              <w:spacing w:after="0"/>
              <w:rPr>
                <w:sz w:val="20"/>
                <w:szCs w:val="20"/>
                <w:color w:val="auto"/>
              </w:rPr>
            </w:pPr>
            <w:r>
              <w:rPr>
                <w:rFonts w:ascii="Arial" w:cs="Arial" w:eastAsia="Arial" w:hAnsi="Arial"/>
                <w:sz w:val="20"/>
                <w:szCs w:val="20"/>
                <w:color w:val="auto"/>
              </w:rPr>
              <w:t>0</w:t>
            </w:r>
          </w:p>
        </w:tc>
        <w:tc>
          <w:tcPr>
            <w:tcW w:w="720" w:type="dxa"/>
            <w:vAlign w:val="bottom"/>
          </w:tcPr>
          <w:p>
            <w:pPr>
              <w:ind w:left="24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6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480" w:type="dxa"/>
            <w:vAlign w:val="bottom"/>
          </w:tcPr>
          <w:p>
            <w:pPr>
              <w:jc w:val="right"/>
              <w:spacing w:after="0"/>
              <w:rPr>
                <w:sz w:val="20"/>
                <w:szCs w:val="20"/>
                <w:color w:val="auto"/>
              </w:rPr>
            </w:pPr>
            <w:r>
              <w:rPr>
                <w:rFonts w:ascii="Arial" w:cs="Arial" w:eastAsia="Arial" w:hAnsi="Arial"/>
                <w:sz w:val="20"/>
                <w:szCs w:val="20"/>
                <w:color w:val="auto"/>
              </w:rPr>
              <w:t>0</w:t>
            </w:r>
          </w:p>
        </w:tc>
        <w:tc>
          <w:tcPr>
            <w:tcW w:w="10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1560" w:type="dxa"/>
            <w:vAlign w:val="bottom"/>
            <w:shd w:val="clear" w:color="auto" w:fill="CFF0FC"/>
          </w:tcPr>
          <w:p>
            <w:pPr>
              <w:spacing w:after="0"/>
              <w:rPr>
                <w:sz w:val="20"/>
                <w:szCs w:val="20"/>
                <w:color w:val="auto"/>
              </w:rPr>
            </w:pPr>
            <w:r>
              <w:rPr>
                <w:rFonts w:ascii="Arial" w:cs="Arial" w:eastAsia="Arial" w:hAnsi="Arial"/>
                <w:sz w:val="20"/>
                <w:szCs w:val="20"/>
                <w:color w:val="auto"/>
              </w:rPr>
              <w:t>Matthews Quarry</w:t>
            </w:r>
          </w:p>
        </w:tc>
        <w:tc>
          <w:tcPr>
            <w:tcW w:w="9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w w:val="95"/>
              </w:rPr>
              <w:t>3102084</w:t>
            </w:r>
          </w:p>
        </w:tc>
        <w:tc>
          <w:tcPr>
            <w:tcW w:w="700" w:type="dxa"/>
            <w:vAlign w:val="bottom"/>
            <w:shd w:val="clear" w:color="auto" w:fill="CFF0FC"/>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shd w:val="clear" w:color="auto" w:fill="CFF0FC"/>
          </w:tcPr>
          <w:p>
            <w:pPr>
              <w:jc w:val="right"/>
              <w:ind w:right="28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8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200</w:t>
            </w:r>
          </w:p>
        </w:tc>
        <w:tc>
          <w:tcPr>
            <w:tcW w:w="4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6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10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1560" w:type="dxa"/>
            <w:vAlign w:val="bottom"/>
          </w:tcPr>
          <w:p>
            <w:pPr>
              <w:spacing w:after="0"/>
              <w:rPr>
                <w:sz w:val="20"/>
                <w:szCs w:val="20"/>
                <w:color w:val="auto"/>
              </w:rPr>
            </w:pPr>
            <w:r>
              <w:rPr>
                <w:rFonts w:ascii="Arial" w:cs="Arial" w:eastAsia="Arial" w:hAnsi="Arial"/>
                <w:sz w:val="20"/>
                <w:szCs w:val="20"/>
                <w:color w:val="auto"/>
                <w:w w:val="97"/>
              </w:rPr>
              <w:t>Midlothian Quarry</w:t>
            </w:r>
          </w:p>
        </w:tc>
        <w:tc>
          <w:tcPr>
            <w:tcW w:w="940" w:type="dxa"/>
            <w:vAlign w:val="bottom"/>
          </w:tcPr>
          <w:p>
            <w:pPr>
              <w:jc w:val="right"/>
              <w:ind w:right="81"/>
              <w:spacing w:after="0"/>
              <w:rPr>
                <w:sz w:val="20"/>
                <w:szCs w:val="20"/>
                <w:color w:val="auto"/>
              </w:rPr>
            </w:pPr>
            <w:r>
              <w:rPr>
                <w:rFonts w:ascii="Arial" w:cs="Arial" w:eastAsia="Arial" w:hAnsi="Arial"/>
                <w:sz w:val="20"/>
                <w:szCs w:val="20"/>
                <w:color w:val="auto"/>
                <w:w w:val="95"/>
              </w:rPr>
              <w:t>4403767</w:t>
            </w:r>
          </w:p>
        </w:tc>
        <w:tc>
          <w:tcPr>
            <w:tcW w:w="700" w:type="dxa"/>
            <w:vAlign w:val="bottom"/>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tcPr>
          <w:p>
            <w:pPr>
              <w:jc w:val="right"/>
              <w:ind w:right="281"/>
              <w:spacing w:after="0"/>
              <w:rPr>
                <w:sz w:val="20"/>
                <w:szCs w:val="20"/>
                <w:color w:val="auto"/>
              </w:rPr>
            </w:pPr>
            <w:r>
              <w:rPr>
                <w:rFonts w:ascii="Arial" w:cs="Arial" w:eastAsia="Arial" w:hAnsi="Arial"/>
                <w:sz w:val="20"/>
                <w:szCs w:val="20"/>
                <w:color w:val="auto"/>
              </w:rPr>
              <w:t>0</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340" w:type="dxa"/>
            <w:vAlign w:val="bottom"/>
          </w:tcPr>
          <w:p>
            <w:pPr>
              <w:jc w:val="right"/>
              <w:spacing w:after="0"/>
              <w:rPr>
                <w:sz w:val="20"/>
                <w:szCs w:val="20"/>
                <w:color w:val="auto"/>
              </w:rPr>
            </w:pPr>
            <w:r>
              <w:rPr>
                <w:rFonts w:ascii="Arial" w:cs="Arial" w:eastAsia="Arial" w:hAnsi="Arial"/>
                <w:sz w:val="20"/>
                <w:szCs w:val="20"/>
                <w:color w:val="auto"/>
              </w:rPr>
              <w:t>$</w:t>
            </w:r>
          </w:p>
        </w:tc>
        <w:tc>
          <w:tcPr>
            <w:tcW w:w="680" w:type="dxa"/>
            <w:vAlign w:val="bottom"/>
          </w:tcPr>
          <w:p>
            <w:pPr>
              <w:jc w:val="right"/>
              <w:ind w:right="41"/>
              <w:spacing w:after="0"/>
              <w:rPr>
                <w:sz w:val="20"/>
                <w:szCs w:val="20"/>
                <w:color w:val="auto"/>
              </w:rPr>
            </w:pPr>
            <w:r>
              <w:rPr>
                <w:rFonts w:ascii="Arial" w:cs="Arial" w:eastAsia="Arial" w:hAnsi="Arial"/>
                <w:sz w:val="20"/>
                <w:szCs w:val="20"/>
                <w:color w:val="auto"/>
              </w:rPr>
              <w:t>200</w:t>
            </w:r>
          </w:p>
        </w:tc>
        <w:tc>
          <w:tcPr>
            <w:tcW w:w="480" w:type="dxa"/>
            <w:vAlign w:val="bottom"/>
          </w:tcPr>
          <w:p>
            <w:pPr>
              <w:jc w:val="right"/>
              <w:ind w:right="121"/>
              <w:spacing w:after="0"/>
              <w:rPr>
                <w:sz w:val="20"/>
                <w:szCs w:val="20"/>
                <w:color w:val="auto"/>
              </w:rPr>
            </w:pPr>
            <w:r>
              <w:rPr>
                <w:rFonts w:ascii="Arial" w:cs="Arial" w:eastAsia="Arial" w:hAnsi="Arial"/>
                <w:sz w:val="20"/>
                <w:szCs w:val="20"/>
                <w:color w:val="auto"/>
              </w:rPr>
              <w:t>0</w:t>
            </w:r>
          </w:p>
        </w:tc>
        <w:tc>
          <w:tcPr>
            <w:tcW w:w="720" w:type="dxa"/>
            <w:vAlign w:val="bottom"/>
          </w:tcPr>
          <w:p>
            <w:pPr>
              <w:ind w:left="24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6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480" w:type="dxa"/>
            <w:vAlign w:val="bottom"/>
          </w:tcPr>
          <w:p>
            <w:pPr>
              <w:jc w:val="right"/>
              <w:spacing w:after="0"/>
              <w:rPr>
                <w:sz w:val="20"/>
                <w:szCs w:val="20"/>
                <w:color w:val="auto"/>
              </w:rPr>
            </w:pPr>
            <w:r>
              <w:rPr>
                <w:rFonts w:ascii="Arial" w:cs="Arial" w:eastAsia="Arial" w:hAnsi="Arial"/>
                <w:sz w:val="20"/>
                <w:szCs w:val="20"/>
                <w:color w:val="auto"/>
              </w:rPr>
              <w:t>0</w:t>
            </w:r>
          </w:p>
        </w:tc>
        <w:tc>
          <w:tcPr>
            <w:tcW w:w="10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26"/>
        </w:trPr>
        <w:tc>
          <w:tcPr>
            <w:tcW w:w="156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rPr>
              <w:t>North Columbia</w:t>
            </w:r>
          </w:p>
        </w:tc>
        <w:tc>
          <w:tcPr>
            <w:tcW w:w="9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46"/>
        </w:trPr>
        <w:tc>
          <w:tcPr>
            <w:tcW w:w="1560" w:type="dxa"/>
            <w:vAlign w:val="bottom"/>
            <w:shd w:val="clear" w:color="auto" w:fill="CFF0FC"/>
          </w:tcPr>
          <w:p>
            <w:pPr>
              <w:spacing w:after="0"/>
              <w:rPr>
                <w:sz w:val="20"/>
                <w:szCs w:val="20"/>
                <w:color w:val="auto"/>
              </w:rPr>
            </w:pPr>
            <w:r>
              <w:rPr>
                <w:rFonts w:ascii="Arial" w:cs="Arial" w:eastAsia="Arial" w:hAnsi="Arial"/>
                <w:sz w:val="20"/>
                <w:szCs w:val="20"/>
                <w:color w:val="auto"/>
              </w:rPr>
              <w:t>Quarry</w:t>
            </w:r>
          </w:p>
        </w:tc>
        <w:tc>
          <w:tcPr>
            <w:tcW w:w="9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w w:val="95"/>
              </w:rPr>
              <w:t>3800146</w:t>
            </w:r>
          </w:p>
        </w:tc>
        <w:tc>
          <w:tcPr>
            <w:tcW w:w="700" w:type="dxa"/>
            <w:vAlign w:val="bottom"/>
            <w:shd w:val="clear" w:color="auto" w:fill="CFF0FC"/>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shd w:val="clear" w:color="auto" w:fill="CFF0FC"/>
          </w:tcPr>
          <w:p>
            <w:pPr>
              <w:jc w:val="right"/>
              <w:ind w:right="28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8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6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10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1560" w:type="dxa"/>
            <w:vAlign w:val="bottom"/>
          </w:tcPr>
          <w:p>
            <w:pPr>
              <w:spacing w:after="0"/>
              <w:rPr>
                <w:sz w:val="20"/>
                <w:szCs w:val="20"/>
                <w:color w:val="auto"/>
              </w:rPr>
            </w:pPr>
            <w:r>
              <w:rPr>
                <w:rFonts w:ascii="Arial" w:cs="Arial" w:eastAsia="Arial" w:hAnsi="Arial"/>
                <w:sz w:val="20"/>
                <w:szCs w:val="20"/>
                <w:color w:val="auto"/>
              </w:rPr>
              <w:t>Onslow Quarry</w:t>
            </w:r>
          </w:p>
        </w:tc>
        <w:tc>
          <w:tcPr>
            <w:tcW w:w="940" w:type="dxa"/>
            <w:vAlign w:val="bottom"/>
          </w:tcPr>
          <w:p>
            <w:pPr>
              <w:jc w:val="right"/>
              <w:ind w:right="81"/>
              <w:spacing w:after="0"/>
              <w:rPr>
                <w:sz w:val="20"/>
                <w:szCs w:val="20"/>
                <w:color w:val="auto"/>
              </w:rPr>
            </w:pPr>
            <w:r>
              <w:rPr>
                <w:rFonts w:ascii="Arial" w:cs="Arial" w:eastAsia="Arial" w:hAnsi="Arial"/>
                <w:sz w:val="20"/>
                <w:szCs w:val="20"/>
                <w:color w:val="auto"/>
                <w:w w:val="95"/>
              </w:rPr>
              <w:t>3102120</w:t>
            </w:r>
          </w:p>
        </w:tc>
        <w:tc>
          <w:tcPr>
            <w:tcW w:w="700" w:type="dxa"/>
            <w:vAlign w:val="bottom"/>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tcPr>
          <w:p>
            <w:pPr>
              <w:jc w:val="right"/>
              <w:ind w:right="281"/>
              <w:spacing w:after="0"/>
              <w:rPr>
                <w:sz w:val="20"/>
                <w:szCs w:val="20"/>
                <w:color w:val="auto"/>
              </w:rPr>
            </w:pPr>
            <w:r>
              <w:rPr>
                <w:rFonts w:ascii="Arial" w:cs="Arial" w:eastAsia="Arial" w:hAnsi="Arial"/>
                <w:sz w:val="20"/>
                <w:szCs w:val="20"/>
                <w:color w:val="auto"/>
              </w:rPr>
              <w:t>0</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340" w:type="dxa"/>
            <w:vAlign w:val="bottom"/>
          </w:tcPr>
          <w:p>
            <w:pPr>
              <w:jc w:val="right"/>
              <w:spacing w:after="0"/>
              <w:rPr>
                <w:sz w:val="20"/>
                <w:szCs w:val="20"/>
                <w:color w:val="auto"/>
              </w:rPr>
            </w:pPr>
            <w:r>
              <w:rPr>
                <w:rFonts w:ascii="Arial" w:cs="Arial" w:eastAsia="Arial" w:hAnsi="Arial"/>
                <w:sz w:val="20"/>
                <w:szCs w:val="20"/>
                <w:color w:val="auto"/>
              </w:rPr>
              <w:t>$</w:t>
            </w:r>
          </w:p>
        </w:tc>
        <w:tc>
          <w:tcPr>
            <w:tcW w:w="68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480" w:type="dxa"/>
            <w:vAlign w:val="bottom"/>
          </w:tcPr>
          <w:p>
            <w:pPr>
              <w:jc w:val="right"/>
              <w:ind w:right="121"/>
              <w:spacing w:after="0"/>
              <w:rPr>
                <w:sz w:val="20"/>
                <w:szCs w:val="20"/>
                <w:color w:val="auto"/>
              </w:rPr>
            </w:pPr>
            <w:r>
              <w:rPr>
                <w:rFonts w:ascii="Arial" w:cs="Arial" w:eastAsia="Arial" w:hAnsi="Arial"/>
                <w:sz w:val="20"/>
                <w:szCs w:val="20"/>
                <w:color w:val="auto"/>
              </w:rPr>
              <w:t>0</w:t>
            </w:r>
          </w:p>
        </w:tc>
        <w:tc>
          <w:tcPr>
            <w:tcW w:w="720" w:type="dxa"/>
            <w:vAlign w:val="bottom"/>
          </w:tcPr>
          <w:p>
            <w:pPr>
              <w:ind w:left="24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6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480" w:type="dxa"/>
            <w:vAlign w:val="bottom"/>
          </w:tcPr>
          <w:p>
            <w:pPr>
              <w:jc w:val="right"/>
              <w:spacing w:after="0"/>
              <w:rPr>
                <w:sz w:val="20"/>
                <w:szCs w:val="20"/>
                <w:color w:val="auto"/>
              </w:rPr>
            </w:pPr>
            <w:r>
              <w:rPr>
                <w:rFonts w:ascii="Arial" w:cs="Arial" w:eastAsia="Arial" w:hAnsi="Arial"/>
                <w:sz w:val="20"/>
                <w:szCs w:val="20"/>
                <w:color w:val="auto"/>
              </w:rPr>
              <w:t>0</w:t>
            </w:r>
          </w:p>
        </w:tc>
        <w:tc>
          <w:tcPr>
            <w:tcW w:w="10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1560" w:type="dxa"/>
            <w:vAlign w:val="bottom"/>
            <w:shd w:val="clear" w:color="auto" w:fill="CFF0FC"/>
          </w:tcPr>
          <w:p>
            <w:pPr>
              <w:spacing w:after="0"/>
              <w:rPr>
                <w:sz w:val="20"/>
                <w:szCs w:val="20"/>
                <w:color w:val="auto"/>
              </w:rPr>
            </w:pPr>
            <w:r>
              <w:rPr>
                <w:rFonts w:ascii="Arial" w:cs="Arial" w:eastAsia="Arial" w:hAnsi="Arial"/>
                <w:sz w:val="20"/>
                <w:szCs w:val="20"/>
                <w:color w:val="auto"/>
              </w:rPr>
              <w:t>Pinesburg</w:t>
            </w:r>
          </w:p>
        </w:tc>
        <w:tc>
          <w:tcPr>
            <w:tcW w:w="9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w w:val="95"/>
              </w:rPr>
              <w:t>1800021</w:t>
            </w:r>
          </w:p>
        </w:tc>
        <w:tc>
          <w:tcPr>
            <w:tcW w:w="700" w:type="dxa"/>
            <w:vAlign w:val="bottom"/>
            <w:shd w:val="clear" w:color="auto" w:fill="CFF0FC"/>
          </w:tcPr>
          <w:p>
            <w:pPr>
              <w:jc w:val="right"/>
              <w:ind w:right="301"/>
              <w:spacing w:after="0"/>
              <w:rPr>
                <w:sz w:val="20"/>
                <w:szCs w:val="20"/>
                <w:color w:val="auto"/>
              </w:rPr>
            </w:pPr>
            <w:r>
              <w:rPr>
                <w:rFonts w:ascii="Arial" w:cs="Arial" w:eastAsia="Arial" w:hAnsi="Arial"/>
                <w:sz w:val="20"/>
                <w:szCs w:val="20"/>
                <w:color w:val="auto"/>
              </w:rPr>
              <w:t>1</w:t>
            </w:r>
          </w:p>
        </w:tc>
        <w:tc>
          <w:tcPr>
            <w:tcW w:w="880" w:type="dxa"/>
            <w:vAlign w:val="bottom"/>
            <w:shd w:val="clear" w:color="auto" w:fill="CFF0FC"/>
          </w:tcPr>
          <w:p>
            <w:pPr>
              <w:jc w:val="right"/>
              <w:ind w:right="28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8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100</w:t>
            </w:r>
          </w:p>
        </w:tc>
        <w:tc>
          <w:tcPr>
            <w:tcW w:w="4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6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10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1560" w:type="dxa"/>
            <w:vAlign w:val="bottom"/>
          </w:tcPr>
          <w:p>
            <w:pPr>
              <w:spacing w:after="0"/>
              <w:rPr>
                <w:sz w:val="20"/>
                <w:szCs w:val="20"/>
                <w:color w:val="auto"/>
              </w:rPr>
            </w:pPr>
            <w:r>
              <w:rPr>
                <w:rFonts w:ascii="Arial" w:cs="Arial" w:eastAsia="Arial" w:hAnsi="Arial"/>
                <w:sz w:val="20"/>
                <w:szCs w:val="20"/>
                <w:color w:val="auto"/>
              </w:rPr>
              <w:t>Pomona Quarry</w:t>
            </w:r>
          </w:p>
        </w:tc>
        <w:tc>
          <w:tcPr>
            <w:tcW w:w="940" w:type="dxa"/>
            <w:vAlign w:val="bottom"/>
          </w:tcPr>
          <w:p>
            <w:pPr>
              <w:jc w:val="right"/>
              <w:ind w:right="81"/>
              <w:spacing w:after="0"/>
              <w:rPr>
                <w:sz w:val="20"/>
                <w:szCs w:val="20"/>
                <w:color w:val="auto"/>
              </w:rPr>
            </w:pPr>
            <w:r>
              <w:rPr>
                <w:rFonts w:ascii="Arial" w:cs="Arial" w:eastAsia="Arial" w:hAnsi="Arial"/>
                <w:sz w:val="20"/>
                <w:szCs w:val="20"/>
                <w:color w:val="auto"/>
                <w:w w:val="95"/>
              </w:rPr>
              <w:t>3100052</w:t>
            </w:r>
          </w:p>
        </w:tc>
        <w:tc>
          <w:tcPr>
            <w:tcW w:w="700" w:type="dxa"/>
            <w:vAlign w:val="bottom"/>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tcPr>
          <w:p>
            <w:pPr>
              <w:jc w:val="right"/>
              <w:ind w:right="281"/>
              <w:spacing w:after="0"/>
              <w:rPr>
                <w:sz w:val="20"/>
                <w:szCs w:val="20"/>
                <w:color w:val="auto"/>
              </w:rPr>
            </w:pPr>
            <w:r>
              <w:rPr>
                <w:rFonts w:ascii="Arial" w:cs="Arial" w:eastAsia="Arial" w:hAnsi="Arial"/>
                <w:sz w:val="20"/>
                <w:szCs w:val="20"/>
                <w:color w:val="auto"/>
              </w:rPr>
              <w:t>0</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340" w:type="dxa"/>
            <w:vAlign w:val="bottom"/>
          </w:tcPr>
          <w:p>
            <w:pPr>
              <w:jc w:val="right"/>
              <w:spacing w:after="0"/>
              <w:rPr>
                <w:sz w:val="20"/>
                <w:szCs w:val="20"/>
                <w:color w:val="auto"/>
              </w:rPr>
            </w:pPr>
            <w:r>
              <w:rPr>
                <w:rFonts w:ascii="Arial" w:cs="Arial" w:eastAsia="Arial" w:hAnsi="Arial"/>
                <w:sz w:val="20"/>
                <w:szCs w:val="20"/>
                <w:color w:val="auto"/>
              </w:rPr>
              <w:t>$</w:t>
            </w:r>
          </w:p>
        </w:tc>
        <w:tc>
          <w:tcPr>
            <w:tcW w:w="68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480" w:type="dxa"/>
            <w:vAlign w:val="bottom"/>
          </w:tcPr>
          <w:p>
            <w:pPr>
              <w:jc w:val="right"/>
              <w:ind w:right="121"/>
              <w:spacing w:after="0"/>
              <w:rPr>
                <w:sz w:val="20"/>
                <w:szCs w:val="20"/>
                <w:color w:val="auto"/>
              </w:rPr>
            </w:pPr>
            <w:r>
              <w:rPr>
                <w:rFonts w:ascii="Arial" w:cs="Arial" w:eastAsia="Arial" w:hAnsi="Arial"/>
                <w:sz w:val="20"/>
                <w:szCs w:val="20"/>
                <w:color w:val="auto"/>
              </w:rPr>
              <w:t>0</w:t>
            </w:r>
          </w:p>
        </w:tc>
        <w:tc>
          <w:tcPr>
            <w:tcW w:w="720" w:type="dxa"/>
            <w:vAlign w:val="bottom"/>
          </w:tcPr>
          <w:p>
            <w:pPr>
              <w:ind w:left="24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6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480" w:type="dxa"/>
            <w:vAlign w:val="bottom"/>
          </w:tcPr>
          <w:p>
            <w:pPr>
              <w:jc w:val="right"/>
              <w:spacing w:after="0"/>
              <w:rPr>
                <w:sz w:val="20"/>
                <w:szCs w:val="20"/>
                <w:color w:val="auto"/>
              </w:rPr>
            </w:pPr>
            <w:r>
              <w:rPr>
                <w:rFonts w:ascii="Arial" w:cs="Arial" w:eastAsia="Arial" w:hAnsi="Arial"/>
                <w:sz w:val="20"/>
                <w:szCs w:val="20"/>
                <w:color w:val="auto"/>
              </w:rPr>
              <w:t>0</w:t>
            </w:r>
          </w:p>
        </w:tc>
        <w:tc>
          <w:tcPr>
            <w:tcW w:w="10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26"/>
        </w:trPr>
        <w:tc>
          <w:tcPr>
            <w:tcW w:w="156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rPr>
              <w:t>Raleigh Durham</w:t>
            </w:r>
          </w:p>
        </w:tc>
        <w:tc>
          <w:tcPr>
            <w:tcW w:w="9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46"/>
        </w:trPr>
        <w:tc>
          <w:tcPr>
            <w:tcW w:w="1560" w:type="dxa"/>
            <w:vAlign w:val="bottom"/>
            <w:shd w:val="clear" w:color="auto" w:fill="CFF0FC"/>
          </w:tcPr>
          <w:p>
            <w:pPr>
              <w:spacing w:after="0"/>
              <w:rPr>
                <w:sz w:val="20"/>
                <w:szCs w:val="20"/>
                <w:color w:val="auto"/>
              </w:rPr>
            </w:pPr>
            <w:r>
              <w:rPr>
                <w:rFonts w:ascii="Arial" w:cs="Arial" w:eastAsia="Arial" w:hAnsi="Arial"/>
                <w:sz w:val="20"/>
                <w:szCs w:val="20"/>
                <w:color w:val="auto"/>
              </w:rPr>
              <w:t>Quarry</w:t>
            </w:r>
          </w:p>
        </w:tc>
        <w:tc>
          <w:tcPr>
            <w:tcW w:w="9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w w:val="95"/>
              </w:rPr>
              <w:t>3101941</w:t>
            </w:r>
          </w:p>
        </w:tc>
        <w:tc>
          <w:tcPr>
            <w:tcW w:w="700" w:type="dxa"/>
            <w:vAlign w:val="bottom"/>
            <w:shd w:val="clear" w:color="auto" w:fill="CFF0FC"/>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shd w:val="clear" w:color="auto" w:fill="CFF0FC"/>
          </w:tcPr>
          <w:p>
            <w:pPr>
              <w:jc w:val="right"/>
              <w:ind w:right="28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8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6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10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1560" w:type="dxa"/>
            <w:vAlign w:val="bottom"/>
          </w:tcPr>
          <w:p>
            <w:pPr>
              <w:spacing w:after="0"/>
              <w:rPr>
                <w:sz w:val="20"/>
                <w:szCs w:val="20"/>
                <w:color w:val="auto"/>
              </w:rPr>
            </w:pPr>
            <w:r>
              <w:rPr>
                <w:rFonts w:ascii="Arial" w:cs="Arial" w:eastAsia="Arial" w:hAnsi="Arial"/>
                <w:sz w:val="20"/>
                <w:szCs w:val="20"/>
                <w:color w:val="auto"/>
              </w:rPr>
              <w:t>Red Hill Quarry</w:t>
            </w:r>
          </w:p>
        </w:tc>
        <w:tc>
          <w:tcPr>
            <w:tcW w:w="940" w:type="dxa"/>
            <w:vAlign w:val="bottom"/>
          </w:tcPr>
          <w:p>
            <w:pPr>
              <w:jc w:val="right"/>
              <w:ind w:right="81"/>
              <w:spacing w:after="0"/>
              <w:rPr>
                <w:sz w:val="20"/>
                <w:szCs w:val="20"/>
                <w:color w:val="auto"/>
              </w:rPr>
            </w:pPr>
            <w:r>
              <w:rPr>
                <w:rFonts w:ascii="Arial" w:cs="Arial" w:eastAsia="Arial" w:hAnsi="Arial"/>
                <w:sz w:val="20"/>
                <w:szCs w:val="20"/>
                <w:color w:val="auto"/>
                <w:w w:val="95"/>
              </w:rPr>
              <w:t>4400072</w:t>
            </w:r>
          </w:p>
        </w:tc>
        <w:tc>
          <w:tcPr>
            <w:tcW w:w="700" w:type="dxa"/>
            <w:vAlign w:val="bottom"/>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tcPr>
          <w:p>
            <w:pPr>
              <w:jc w:val="right"/>
              <w:ind w:right="281"/>
              <w:spacing w:after="0"/>
              <w:rPr>
                <w:sz w:val="20"/>
                <w:szCs w:val="20"/>
                <w:color w:val="auto"/>
              </w:rPr>
            </w:pPr>
            <w:r>
              <w:rPr>
                <w:rFonts w:ascii="Arial" w:cs="Arial" w:eastAsia="Arial" w:hAnsi="Arial"/>
                <w:sz w:val="20"/>
                <w:szCs w:val="20"/>
                <w:color w:val="auto"/>
              </w:rPr>
              <w:t>0</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340" w:type="dxa"/>
            <w:vAlign w:val="bottom"/>
          </w:tcPr>
          <w:p>
            <w:pPr>
              <w:jc w:val="right"/>
              <w:spacing w:after="0"/>
              <w:rPr>
                <w:sz w:val="20"/>
                <w:szCs w:val="20"/>
                <w:color w:val="auto"/>
              </w:rPr>
            </w:pPr>
            <w:r>
              <w:rPr>
                <w:rFonts w:ascii="Arial" w:cs="Arial" w:eastAsia="Arial" w:hAnsi="Arial"/>
                <w:sz w:val="20"/>
                <w:szCs w:val="20"/>
                <w:color w:val="auto"/>
              </w:rPr>
              <w:t>$</w:t>
            </w:r>
          </w:p>
        </w:tc>
        <w:tc>
          <w:tcPr>
            <w:tcW w:w="68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480" w:type="dxa"/>
            <w:vAlign w:val="bottom"/>
          </w:tcPr>
          <w:p>
            <w:pPr>
              <w:jc w:val="right"/>
              <w:ind w:right="121"/>
              <w:spacing w:after="0"/>
              <w:rPr>
                <w:sz w:val="20"/>
                <w:szCs w:val="20"/>
                <w:color w:val="auto"/>
              </w:rPr>
            </w:pPr>
            <w:r>
              <w:rPr>
                <w:rFonts w:ascii="Arial" w:cs="Arial" w:eastAsia="Arial" w:hAnsi="Arial"/>
                <w:sz w:val="20"/>
                <w:szCs w:val="20"/>
                <w:color w:val="auto"/>
              </w:rPr>
              <w:t>0</w:t>
            </w:r>
          </w:p>
        </w:tc>
        <w:tc>
          <w:tcPr>
            <w:tcW w:w="720" w:type="dxa"/>
            <w:vAlign w:val="bottom"/>
          </w:tcPr>
          <w:p>
            <w:pPr>
              <w:ind w:left="24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6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480" w:type="dxa"/>
            <w:vAlign w:val="bottom"/>
          </w:tcPr>
          <w:p>
            <w:pPr>
              <w:jc w:val="right"/>
              <w:spacing w:after="0"/>
              <w:rPr>
                <w:sz w:val="20"/>
                <w:szCs w:val="20"/>
                <w:color w:val="auto"/>
              </w:rPr>
            </w:pPr>
            <w:r>
              <w:rPr>
                <w:rFonts w:ascii="Arial" w:cs="Arial" w:eastAsia="Arial" w:hAnsi="Arial"/>
                <w:sz w:val="20"/>
                <w:szCs w:val="20"/>
                <w:color w:val="auto"/>
              </w:rPr>
              <w:t>0</w:t>
            </w:r>
          </w:p>
        </w:tc>
        <w:tc>
          <w:tcPr>
            <w:tcW w:w="10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1560" w:type="dxa"/>
            <w:vAlign w:val="bottom"/>
            <w:shd w:val="clear" w:color="auto" w:fill="CFF0FC"/>
          </w:tcPr>
          <w:p>
            <w:pPr>
              <w:spacing w:after="0"/>
              <w:rPr>
                <w:sz w:val="20"/>
                <w:szCs w:val="20"/>
                <w:color w:val="auto"/>
              </w:rPr>
            </w:pPr>
            <w:r>
              <w:rPr>
                <w:rFonts w:ascii="Arial" w:cs="Arial" w:eastAsia="Arial" w:hAnsi="Arial"/>
                <w:sz w:val="20"/>
                <w:szCs w:val="20"/>
                <w:color w:val="auto"/>
              </w:rPr>
              <w:t>Reidsville Quarry</w:t>
            </w:r>
          </w:p>
        </w:tc>
        <w:tc>
          <w:tcPr>
            <w:tcW w:w="9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w w:val="95"/>
              </w:rPr>
              <w:t>3100068</w:t>
            </w:r>
          </w:p>
        </w:tc>
        <w:tc>
          <w:tcPr>
            <w:tcW w:w="700" w:type="dxa"/>
            <w:vAlign w:val="bottom"/>
            <w:shd w:val="clear" w:color="auto" w:fill="CFF0FC"/>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shd w:val="clear" w:color="auto" w:fill="CFF0FC"/>
          </w:tcPr>
          <w:p>
            <w:pPr>
              <w:jc w:val="right"/>
              <w:ind w:right="28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8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6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10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1560" w:type="dxa"/>
            <w:vAlign w:val="bottom"/>
          </w:tcPr>
          <w:p>
            <w:pPr>
              <w:spacing w:after="0"/>
              <w:rPr>
                <w:sz w:val="20"/>
                <w:szCs w:val="20"/>
                <w:color w:val="auto"/>
              </w:rPr>
            </w:pPr>
            <w:r>
              <w:rPr>
                <w:rFonts w:ascii="Arial" w:cs="Arial" w:eastAsia="Arial" w:hAnsi="Arial"/>
                <w:sz w:val="20"/>
                <w:szCs w:val="20"/>
                <w:color w:val="auto"/>
              </w:rPr>
              <w:t>Rock Hill Quarry</w:t>
            </w:r>
          </w:p>
        </w:tc>
        <w:tc>
          <w:tcPr>
            <w:tcW w:w="940" w:type="dxa"/>
            <w:vAlign w:val="bottom"/>
          </w:tcPr>
          <w:p>
            <w:pPr>
              <w:jc w:val="right"/>
              <w:ind w:right="81"/>
              <w:spacing w:after="0"/>
              <w:rPr>
                <w:sz w:val="20"/>
                <w:szCs w:val="20"/>
                <w:color w:val="auto"/>
              </w:rPr>
            </w:pPr>
            <w:r>
              <w:rPr>
                <w:rFonts w:ascii="Arial" w:cs="Arial" w:eastAsia="Arial" w:hAnsi="Arial"/>
                <w:sz w:val="20"/>
                <w:szCs w:val="20"/>
                <w:color w:val="auto"/>
                <w:w w:val="95"/>
              </w:rPr>
              <w:t>3800026</w:t>
            </w:r>
          </w:p>
        </w:tc>
        <w:tc>
          <w:tcPr>
            <w:tcW w:w="700" w:type="dxa"/>
            <w:vAlign w:val="bottom"/>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tcPr>
          <w:p>
            <w:pPr>
              <w:jc w:val="right"/>
              <w:ind w:right="281"/>
              <w:spacing w:after="0"/>
              <w:rPr>
                <w:sz w:val="20"/>
                <w:szCs w:val="20"/>
                <w:color w:val="auto"/>
              </w:rPr>
            </w:pPr>
            <w:r>
              <w:rPr>
                <w:rFonts w:ascii="Arial" w:cs="Arial" w:eastAsia="Arial" w:hAnsi="Arial"/>
                <w:sz w:val="20"/>
                <w:szCs w:val="20"/>
                <w:color w:val="auto"/>
              </w:rPr>
              <w:t>0</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340" w:type="dxa"/>
            <w:vAlign w:val="bottom"/>
          </w:tcPr>
          <w:p>
            <w:pPr>
              <w:jc w:val="right"/>
              <w:spacing w:after="0"/>
              <w:rPr>
                <w:sz w:val="20"/>
                <w:szCs w:val="20"/>
                <w:color w:val="auto"/>
              </w:rPr>
            </w:pPr>
            <w:r>
              <w:rPr>
                <w:rFonts w:ascii="Arial" w:cs="Arial" w:eastAsia="Arial" w:hAnsi="Arial"/>
                <w:sz w:val="20"/>
                <w:szCs w:val="20"/>
                <w:color w:val="auto"/>
              </w:rPr>
              <w:t>$</w:t>
            </w:r>
          </w:p>
        </w:tc>
        <w:tc>
          <w:tcPr>
            <w:tcW w:w="68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480" w:type="dxa"/>
            <w:vAlign w:val="bottom"/>
          </w:tcPr>
          <w:p>
            <w:pPr>
              <w:jc w:val="right"/>
              <w:ind w:right="121"/>
              <w:spacing w:after="0"/>
              <w:rPr>
                <w:sz w:val="20"/>
                <w:szCs w:val="20"/>
                <w:color w:val="auto"/>
              </w:rPr>
            </w:pPr>
            <w:r>
              <w:rPr>
                <w:rFonts w:ascii="Arial" w:cs="Arial" w:eastAsia="Arial" w:hAnsi="Arial"/>
                <w:sz w:val="20"/>
                <w:szCs w:val="20"/>
                <w:color w:val="auto"/>
              </w:rPr>
              <w:t>0</w:t>
            </w:r>
          </w:p>
        </w:tc>
        <w:tc>
          <w:tcPr>
            <w:tcW w:w="720" w:type="dxa"/>
            <w:vAlign w:val="bottom"/>
          </w:tcPr>
          <w:p>
            <w:pPr>
              <w:ind w:left="24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60" w:type="dxa"/>
            <w:vAlign w:val="bottom"/>
          </w:tcPr>
          <w:p>
            <w:pPr>
              <w:jc w:val="right"/>
              <w:ind w:right="221"/>
              <w:spacing w:after="0"/>
              <w:rPr>
                <w:sz w:val="20"/>
                <w:szCs w:val="20"/>
                <w:color w:val="auto"/>
              </w:rPr>
            </w:pPr>
            <w:r>
              <w:rPr>
                <w:rFonts w:ascii="Arial" w:cs="Arial" w:eastAsia="Arial" w:hAnsi="Arial"/>
                <w:sz w:val="20"/>
                <w:szCs w:val="20"/>
                <w:color w:val="auto"/>
              </w:rPr>
              <w:t>5</w:t>
            </w:r>
          </w:p>
        </w:tc>
        <w:tc>
          <w:tcPr>
            <w:tcW w:w="480" w:type="dxa"/>
            <w:vAlign w:val="bottom"/>
          </w:tcPr>
          <w:p>
            <w:pPr>
              <w:jc w:val="right"/>
              <w:spacing w:after="0"/>
              <w:rPr>
                <w:sz w:val="20"/>
                <w:szCs w:val="20"/>
                <w:color w:val="auto"/>
              </w:rPr>
            </w:pPr>
            <w:r>
              <w:rPr>
                <w:rFonts w:ascii="Arial" w:cs="Arial" w:eastAsia="Arial" w:hAnsi="Arial"/>
                <w:sz w:val="20"/>
                <w:szCs w:val="20"/>
                <w:color w:val="auto"/>
              </w:rPr>
              <w:t>2</w:t>
            </w:r>
          </w:p>
        </w:tc>
        <w:tc>
          <w:tcPr>
            <w:tcW w:w="10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26"/>
        </w:trPr>
        <w:tc>
          <w:tcPr>
            <w:tcW w:w="156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rPr>
              <w:t>Rocky Point</w:t>
            </w:r>
          </w:p>
        </w:tc>
        <w:tc>
          <w:tcPr>
            <w:tcW w:w="9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46"/>
        </w:trPr>
        <w:tc>
          <w:tcPr>
            <w:tcW w:w="1560" w:type="dxa"/>
            <w:vAlign w:val="bottom"/>
            <w:shd w:val="clear" w:color="auto" w:fill="CFF0FC"/>
          </w:tcPr>
          <w:p>
            <w:pPr>
              <w:spacing w:after="0"/>
              <w:rPr>
                <w:sz w:val="20"/>
                <w:szCs w:val="20"/>
                <w:color w:val="auto"/>
              </w:rPr>
            </w:pPr>
            <w:r>
              <w:rPr>
                <w:rFonts w:ascii="Arial" w:cs="Arial" w:eastAsia="Arial" w:hAnsi="Arial"/>
                <w:sz w:val="20"/>
                <w:szCs w:val="20"/>
                <w:color w:val="auto"/>
              </w:rPr>
              <w:t>Quarry</w:t>
            </w:r>
          </w:p>
        </w:tc>
        <w:tc>
          <w:tcPr>
            <w:tcW w:w="9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w w:val="95"/>
              </w:rPr>
              <w:t>3101956</w:t>
            </w:r>
          </w:p>
        </w:tc>
        <w:tc>
          <w:tcPr>
            <w:tcW w:w="700" w:type="dxa"/>
            <w:vAlign w:val="bottom"/>
            <w:shd w:val="clear" w:color="auto" w:fill="CFF0FC"/>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shd w:val="clear" w:color="auto" w:fill="CFF0FC"/>
          </w:tcPr>
          <w:p>
            <w:pPr>
              <w:jc w:val="right"/>
              <w:ind w:right="28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8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6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10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26"/>
        </w:trPr>
        <w:tc>
          <w:tcPr>
            <w:tcW w:w="1560" w:type="dxa"/>
            <w:vAlign w:val="bottom"/>
          </w:tcPr>
          <w:p>
            <w:pPr>
              <w:spacing w:after="0" w:line="227" w:lineRule="exact"/>
              <w:rPr>
                <w:sz w:val="20"/>
                <w:szCs w:val="20"/>
                <w:color w:val="auto"/>
              </w:rPr>
            </w:pPr>
            <w:r>
              <w:rPr>
                <w:rFonts w:ascii="Arial" w:cs="Arial" w:eastAsia="Arial" w:hAnsi="Arial"/>
                <w:sz w:val="20"/>
                <w:szCs w:val="20"/>
                <w:color w:val="auto"/>
              </w:rPr>
              <w:t>Rocky River</w:t>
            </w: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6"/>
        </w:trPr>
        <w:tc>
          <w:tcPr>
            <w:tcW w:w="1560" w:type="dxa"/>
            <w:vAlign w:val="bottom"/>
          </w:tcPr>
          <w:p>
            <w:pPr>
              <w:spacing w:after="0"/>
              <w:rPr>
                <w:sz w:val="20"/>
                <w:szCs w:val="20"/>
                <w:color w:val="auto"/>
              </w:rPr>
            </w:pPr>
            <w:r>
              <w:rPr>
                <w:rFonts w:ascii="Arial" w:cs="Arial" w:eastAsia="Arial" w:hAnsi="Arial"/>
                <w:sz w:val="20"/>
                <w:szCs w:val="20"/>
                <w:color w:val="auto"/>
              </w:rPr>
              <w:t>Quarry</w:t>
            </w:r>
          </w:p>
        </w:tc>
        <w:tc>
          <w:tcPr>
            <w:tcW w:w="940" w:type="dxa"/>
            <w:vAlign w:val="bottom"/>
          </w:tcPr>
          <w:p>
            <w:pPr>
              <w:jc w:val="right"/>
              <w:ind w:right="81"/>
              <w:spacing w:after="0"/>
              <w:rPr>
                <w:sz w:val="20"/>
                <w:szCs w:val="20"/>
                <w:color w:val="auto"/>
              </w:rPr>
            </w:pPr>
            <w:r>
              <w:rPr>
                <w:rFonts w:ascii="Arial" w:cs="Arial" w:eastAsia="Arial" w:hAnsi="Arial"/>
                <w:sz w:val="20"/>
                <w:szCs w:val="20"/>
                <w:color w:val="auto"/>
                <w:w w:val="95"/>
              </w:rPr>
              <w:t>3102033</w:t>
            </w:r>
          </w:p>
        </w:tc>
        <w:tc>
          <w:tcPr>
            <w:tcW w:w="700" w:type="dxa"/>
            <w:vAlign w:val="bottom"/>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tcPr>
          <w:p>
            <w:pPr>
              <w:jc w:val="right"/>
              <w:ind w:right="281"/>
              <w:spacing w:after="0"/>
              <w:rPr>
                <w:sz w:val="20"/>
                <w:szCs w:val="20"/>
                <w:color w:val="auto"/>
              </w:rPr>
            </w:pPr>
            <w:r>
              <w:rPr>
                <w:rFonts w:ascii="Arial" w:cs="Arial" w:eastAsia="Arial" w:hAnsi="Arial"/>
                <w:sz w:val="20"/>
                <w:szCs w:val="20"/>
                <w:color w:val="auto"/>
              </w:rPr>
              <w:t>0</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340" w:type="dxa"/>
            <w:vAlign w:val="bottom"/>
          </w:tcPr>
          <w:p>
            <w:pPr>
              <w:jc w:val="right"/>
              <w:spacing w:after="0"/>
              <w:rPr>
                <w:sz w:val="20"/>
                <w:szCs w:val="20"/>
                <w:color w:val="auto"/>
              </w:rPr>
            </w:pPr>
            <w:r>
              <w:rPr>
                <w:rFonts w:ascii="Arial" w:cs="Arial" w:eastAsia="Arial" w:hAnsi="Arial"/>
                <w:sz w:val="20"/>
                <w:szCs w:val="20"/>
                <w:color w:val="auto"/>
              </w:rPr>
              <w:t>$</w:t>
            </w:r>
          </w:p>
        </w:tc>
        <w:tc>
          <w:tcPr>
            <w:tcW w:w="68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480" w:type="dxa"/>
            <w:vAlign w:val="bottom"/>
          </w:tcPr>
          <w:p>
            <w:pPr>
              <w:jc w:val="right"/>
              <w:ind w:right="121"/>
              <w:spacing w:after="0"/>
              <w:rPr>
                <w:sz w:val="20"/>
                <w:szCs w:val="20"/>
                <w:color w:val="auto"/>
              </w:rPr>
            </w:pPr>
            <w:r>
              <w:rPr>
                <w:rFonts w:ascii="Arial" w:cs="Arial" w:eastAsia="Arial" w:hAnsi="Arial"/>
                <w:sz w:val="20"/>
                <w:szCs w:val="20"/>
                <w:color w:val="auto"/>
              </w:rPr>
              <w:t>0</w:t>
            </w:r>
          </w:p>
        </w:tc>
        <w:tc>
          <w:tcPr>
            <w:tcW w:w="720" w:type="dxa"/>
            <w:vAlign w:val="bottom"/>
          </w:tcPr>
          <w:p>
            <w:pPr>
              <w:ind w:left="24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6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480" w:type="dxa"/>
            <w:vAlign w:val="bottom"/>
          </w:tcPr>
          <w:p>
            <w:pPr>
              <w:jc w:val="right"/>
              <w:spacing w:after="0"/>
              <w:rPr>
                <w:sz w:val="20"/>
                <w:szCs w:val="20"/>
                <w:color w:val="auto"/>
              </w:rPr>
            </w:pPr>
            <w:r>
              <w:rPr>
                <w:rFonts w:ascii="Arial" w:cs="Arial" w:eastAsia="Arial" w:hAnsi="Arial"/>
                <w:sz w:val="20"/>
                <w:szCs w:val="20"/>
                <w:color w:val="auto"/>
              </w:rPr>
              <w:t>0</w:t>
            </w:r>
          </w:p>
        </w:tc>
        <w:tc>
          <w:tcPr>
            <w:tcW w:w="10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26"/>
        </w:trPr>
        <w:tc>
          <w:tcPr>
            <w:tcW w:w="156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rPr>
              <w:t>Salem Stone</w:t>
            </w:r>
          </w:p>
        </w:tc>
        <w:tc>
          <w:tcPr>
            <w:tcW w:w="9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46"/>
        </w:trPr>
        <w:tc>
          <w:tcPr>
            <w:tcW w:w="1560" w:type="dxa"/>
            <w:vAlign w:val="bottom"/>
            <w:shd w:val="clear" w:color="auto" w:fill="CFF0FC"/>
          </w:tcPr>
          <w:p>
            <w:pPr>
              <w:spacing w:after="0"/>
              <w:rPr>
                <w:sz w:val="20"/>
                <w:szCs w:val="20"/>
                <w:color w:val="auto"/>
              </w:rPr>
            </w:pPr>
            <w:r>
              <w:rPr>
                <w:rFonts w:ascii="Arial" w:cs="Arial" w:eastAsia="Arial" w:hAnsi="Arial"/>
                <w:sz w:val="20"/>
                <w:szCs w:val="20"/>
                <w:color w:val="auto"/>
              </w:rPr>
              <w:t>Company</w:t>
            </w:r>
          </w:p>
        </w:tc>
        <w:tc>
          <w:tcPr>
            <w:tcW w:w="9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w w:val="95"/>
              </w:rPr>
              <w:t>3102038</w:t>
            </w:r>
          </w:p>
        </w:tc>
        <w:tc>
          <w:tcPr>
            <w:tcW w:w="700" w:type="dxa"/>
            <w:vAlign w:val="bottom"/>
            <w:shd w:val="clear" w:color="auto" w:fill="CFF0FC"/>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shd w:val="clear" w:color="auto" w:fill="CFF0FC"/>
          </w:tcPr>
          <w:p>
            <w:pPr>
              <w:jc w:val="right"/>
              <w:ind w:right="28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8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6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10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1560" w:type="dxa"/>
            <w:vAlign w:val="bottom"/>
          </w:tcPr>
          <w:p>
            <w:pPr>
              <w:spacing w:after="0"/>
              <w:rPr>
                <w:sz w:val="20"/>
                <w:szCs w:val="20"/>
                <w:color w:val="auto"/>
              </w:rPr>
            </w:pPr>
            <w:r>
              <w:rPr>
                <w:rFonts w:ascii="Arial" w:cs="Arial" w:eastAsia="Arial" w:hAnsi="Arial"/>
                <w:sz w:val="20"/>
                <w:szCs w:val="20"/>
                <w:color w:val="auto"/>
              </w:rPr>
              <w:t>Siler City Quarry</w:t>
            </w:r>
          </w:p>
        </w:tc>
        <w:tc>
          <w:tcPr>
            <w:tcW w:w="940" w:type="dxa"/>
            <w:vAlign w:val="bottom"/>
          </w:tcPr>
          <w:p>
            <w:pPr>
              <w:jc w:val="right"/>
              <w:ind w:right="81"/>
              <w:spacing w:after="0"/>
              <w:rPr>
                <w:sz w:val="20"/>
                <w:szCs w:val="20"/>
                <w:color w:val="auto"/>
              </w:rPr>
            </w:pPr>
            <w:r>
              <w:rPr>
                <w:rFonts w:ascii="Arial" w:cs="Arial" w:eastAsia="Arial" w:hAnsi="Arial"/>
                <w:sz w:val="20"/>
                <w:szCs w:val="20"/>
                <w:color w:val="auto"/>
                <w:w w:val="95"/>
              </w:rPr>
              <w:t>3100044</w:t>
            </w:r>
          </w:p>
        </w:tc>
        <w:tc>
          <w:tcPr>
            <w:tcW w:w="700" w:type="dxa"/>
            <w:vAlign w:val="bottom"/>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tcPr>
          <w:p>
            <w:pPr>
              <w:jc w:val="right"/>
              <w:ind w:right="281"/>
              <w:spacing w:after="0"/>
              <w:rPr>
                <w:sz w:val="20"/>
                <w:szCs w:val="20"/>
                <w:color w:val="auto"/>
              </w:rPr>
            </w:pPr>
            <w:r>
              <w:rPr>
                <w:rFonts w:ascii="Arial" w:cs="Arial" w:eastAsia="Arial" w:hAnsi="Arial"/>
                <w:sz w:val="20"/>
                <w:szCs w:val="20"/>
                <w:color w:val="auto"/>
              </w:rPr>
              <w:t>0</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340" w:type="dxa"/>
            <w:vAlign w:val="bottom"/>
          </w:tcPr>
          <w:p>
            <w:pPr>
              <w:jc w:val="right"/>
              <w:spacing w:after="0"/>
              <w:rPr>
                <w:sz w:val="20"/>
                <w:szCs w:val="20"/>
                <w:color w:val="auto"/>
              </w:rPr>
            </w:pPr>
            <w:r>
              <w:rPr>
                <w:rFonts w:ascii="Arial" w:cs="Arial" w:eastAsia="Arial" w:hAnsi="Arial"/>
                <w:sz w:val="20"/>
                <w:szCs w:val="20"/>
                <w:color w:val="auto"/>
              </w:rPr>
              <w:t>$</w:t>
            </w:r>
          </w:p>
        </w:tc>
        <w:tc>
          <w:tcPr>
            <w:tcW w:w="68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480" w:type="dxa"/>
            <w:vAlign w:val="bottom"/>
          </w:tcPr>
          <w:p>
            <w:pPr>
              <w:jc w:val="right"/>
              <w:ind w:right="121"/>
              <w:spacing w:after="0"/>
              <w:rPr>
                <w:sz w:val="20"/>
                <w:szCs w:val="20"/>
                <w:color w:val="auto"/>
              </w:rPr>
            </w:pPr>
            <w:r>
              <w:rPr>
                <w:rFonts w:ascii="Arial" w:cs="Arial" w:eastAsia="Arial" w:hAnsi="Arial"/>
                <w:sz w:val="20"/>
                <w:szCs w:val="20"/>
                <w:color w:val="auto"/>
              </w:rPr>
              <w:t>0</w:t>
            </w:r>
          </w:p>
        </w:tc>
        <w:tc>
          <w:tcPr>
            <w:tcW w:w="720" w:type="dxa"/>
            <w:vAlign w:val="bottom"/>
          </w:tcPr>
          <w:p>
            <w:pPr>
              <w:ind w:left="24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6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480" w:type="dxa"/>
            <w:vAlign w:val="bottom"/>
          </w:tcPr>
          <w:p>
            <w:pPr>
              <w:jc w:val="right"/>
              <w:spacing w:after="0"/>
              <w:rPr>
                <w:sz w:val="20"/>
                <w:szCs w:val="20"/>
                <w:color w:val="auto"/>
              </w:rPr>
            </w:pPr>
            <w:r>
              <w:rPr>
                <w:rFonts w:ascii="Arial" w:cs="Arial" w:eastAsia="Arial" w:hAnsi="Arial"/>
                <w:sz w:val="20"/>
                <w:szCs w:val="20"/>
                <w:color w:val="auto"/>
              </w:rPr>
              <w:t>0</w:t>
            </w:r>
          </w:p>
        </w:tc>
        <w:tc>
          <w:tcPr>
            <w:tcW w:w="10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1560" w:type="dxa"/>
            <w:vAlign w:val="bottom"/>
            <w:shd w:val="clear" w:color="auto" w:fill="CFF0FC"/>
          </w:tcPr>
          <w:p>
            <w:pPr>
              <w:spacing w:after="0"/>
              <w:rPr>
                <w:sz w:val="20"/>
                <w:szCs w:val="20"/>
                <w:color w:val="auto"/>
              </w:rPr>
            </w:pPr>
            <w:r>
              <w:rPr>
                <w:rFonts w:ascii="Arial" w:cs="Arial" w:eastAsia="Arial" w:hAnsi="Arial"/>
                <w:sz w:val="20"/>
                <w:szCs w:val="20"/>
                <w:color w:val="auto"/>
                <w:w w:val="97"/>
              </w:rPr>
              <w:t>Statesville Quarry</w:t>
            </w:r>
          </w:p>
        </w:tc>
        <w:tc>
          <w:tcPr>
            <w:tcW w:w="9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w w:val="95"/>
              </w:rPr>
              <w:t>3100055</w:t>
            </w:r>
          </w:p>
        </w:tc>
        <w:tc>
          <w:tcPr>
            <w:tcW w:w="700" w:type="dxa"/>
            <w:vAlign w:val="bottom"/>
            <w:shd w:val="clear" w:color="auto" w:fill="CFF0FC"/>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shd w:val="clear" w:color="auto" w:fill="CFF0FC"/>
          </w:tcPr>
          <w:p>
            <w:pPr>
              <w:jc w:val="right"/>
              <w:ind w:right="28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8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6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10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547"/>
        </w:trPr>
        <w:tc>
          <w:tcPr>
            <w:tcW w:w="15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2" w:right="219"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252"/>
        </w:trPr>
        <w:tc>
          <w:tcPr>
            <w:tcW w:w="15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20" w:type="dxa"/>
            <w:vAlign w:val="bottom"/>
            <w:gridSpan w:val="2"/>
          </w:tcPr>
          <w:p>
            <w:pPr>
              <w:ind w:left="80"/>
              <w:spacing w:after="0"/>
              <w:rPr>
                <w:sz w:val="20"/>
                <w:szCs w:val="20"/>
                <w:color w:val="auto"/>
              </w:rPr>
            </w:pPr>
            <w:r>
              <w:rPr>
                <w:rFonts w:ascii="Arial" w:cs="Arial" w:eastAsia="Arial" w:hAnsi="Arial"/>
                <w:sz w:val="20"/>
                <w:szCs w:val="20"/>
                <w:color w:val="auto"/>
                <w:w w:val="91"/>
              </w:rPr>
              <w:t>Appendix 1</w:t>
            </w:r>
          </w:p>
        </w:tc>
      </w:tr>
      <w:tr>
        <w:trPr>
          <w:trHeight w:val="452"/>
        </w:trPr>
        <w:tc>
          <w:tcPr>
            <w:tcW w:w="1560" w:type="dxa"/>
            <w:vAlign w:val="bottom"/>
          </w:tcPr>
          <w:p>
            <w:pPr>
              <w:spacing w:after="0"/>
              <w:rPr>
                <w:sz w:val="20"/>
                <w:szCs w:val="20"/>
                <w:color w:val="auto"/>
              </w:rPr>
            </w:pPr>
            <w:r>
              <w:rPr>
                <w:rFonts w:ascii="Arial" w:cs="Arial" w:eastAsia="Arial" w:hAnsi="Arial"/>
                <w:sz w:val="20"/>
                <w:szCs w:val="20"/>
                <w:color w:val="auto"/>
              </w:rPr>
              <w:t>Thomasville</w:t>
            </w: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46"/>
        </w:trPr>
        <w:tc>
          <w:tcPr>
            <w:tcW w:w="1560" w:type="dxa"/>
            <w:vAlign w:val="bottom"/>
          </w:tcPr>
          <w:p>
            <w:pPr>
              <w:spacing w:after="0"/>
              <w:rPr>
                <w:sz w:val="20"/>
                <w:szCs w:val="20"/>
                <w:color w:val="auto"/>
              </w:rPr>
            </w:pPr>
            <w:r>
              <w:rPr>
                <w:rFonts w:ascii="Arial" w:cs="Arial" w:eastAsia="Arial" w:hAnsi="Arial"/>
                <w:sz w:val="20"/>
                <w:szCs w:val="20"/>
                <w:color w:val="auto"/>
              </w:rPr>
              <w:t>Quarry</w:t>
            </w:r>
          </w:p>
        </w:tc>
        <w:tc>
          <w:tcPr>
            <w:tcW w:w="940" w:type="dxa"/>
            <w:vAlign w:val="bottom"/>
          </w:tcPr>
          <w:p>
            <w:pPr>
              <w:jc w:val="right"/>
              <w:ind w:right="81"/>
              <w:spacing w:after="0"/>
              <w:rPr>
                <w:sz w:val="20"/>
                <w:szCs w:val="20"/>
                <w:color w:val="auto"/>
              </w:rPr>
            </w:pPr>
            <w:r>
              <w:rPr>
                <w:rFonts w:ascii="Arial" w:cs="Arial" w:eastAsia="Arial" w:hAnsi="Arial"/>
                <w:sz w:val="20"/>
                <w:szCs w:val="20"/>
                <w:color w:val="auto"/>
                <w:w w:val="95"/>
              </w:rPr>
              <w:t>3101475</w:t>
            </w:r>
          </w:p>
        </w:tc>
        <w:tc>
          <w:tcPr>
            <w:tcW w:w="700" w:type="dxa"/>
            <w:vAlign w:val="bottom"/>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tcPr>
          <w:p>
            <w:pPr>
              <w:jc w:val="right"/>
              <w:ind w:right="281"/>
              <w:spacing w:after="0"/>
              <w:rPr>
                <w:sz w:val="20"/>
                <w:szCs w:val="20"/>
                <w:color w:val="auto"/>
              </w:rPr>
            </w:pPr>
            <w:r>
              <w:rPr>
                <w:rFonts w:ascii="Arial" w:cs="Arial" w:eastAsia="Arial" w:hAnsi="Arial"/>
                <w:sz w:val="20"/>
                <w:szCs w:val="20"/>
                <w:color w:val="auto"/>
              </w:rPr>
              <w:t>0</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340" w:type="dxa"/>
            <w:vAlign w:val="bottom"/>
          </w:tcPr>
          <w:p>
            <w:pPr>
              <w:jc w:val="right"/>
              <w:spacing w:after="0"/>
              <w:rPr>
                <w:sz w:val="20"/>
                <w:szCs w:val="20"/>
                <w:color w:val="auto"/>
              </w:rPr>
            </w:pPr>
            <w:r>
              <w:rPr>
                <w:rFonts w:ascii="Arial" w:cs="Arial" w:eastAsia="Arial" w:hAnsi="Arial"/>
                <w:sz w:val="20"/>
                <w:szCs w:val="20"/>
                <w:color w:val="auto"/>
              </w:rPr>
              <w:t>$</w:t>
            </w:r>
          </w:p>
        </w:tc>
        <w:tc>
          <w:tcPr>
            <w:tcW w:w="68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480" w:type="dxa"/>
            <w:vAlign w:val="bottom"/>
          </w:tcPr>
          <w:p>
            <w:pPr>
              <w:jc w:val="right"/>
              <w:ind w:right="121"/>
              <w:spacing w:after="0"/>
              <w:rPr>
                <w:sz w:val="20"/>
                <w:szCs w:val="20"/>
                <w:color w:val="auto"/>
              </w:rPr>
            </w:pPr>
            <w:r>
              <w:rPr>
                <w:rFonts w:ascii="Arial" w:cs="Arial" w:eastAsia="Arial" w:hAnsi="Arial"/>
                <w:sz w:val="20"/>
                <w:szCs w:val="20"/>
                <w:color w:val="auto"/>
              </w:rPr>
              <w:t>0</w:t>
            </w:r>
          </w:p>
        </w:tc>
        <w:tc>
          <w:tcPr>
            <w:tcW w:w="720" w:type="dxa"/>
            <w:vAlign w:val="bottom"/>
          </w:tcPr>
          <w:p>
            <w:pPr>
              <w:ind w:left="24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6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480" w:type="dxa"/>
            <w:vAlign w:val="bottom"/>
          </w:tcPr>
          <w:p>
            <w:pPr>
              <w:jc w:val="right"/>
              <w:spacing w:after="0"/>
              <w:rPr>
                <w:sz w:val="20"/>
                <w:szCs w:val="20"/>
                <w:color w:val="auto"/>
              </w:rPr>
            </w:pPr>
            <w:r>
              <w:rPr>
                <w:rFonts w:ascii="Arial" w:cs="Arial" w:eastAsia="Arial" w:hAnsi="Arial"/>
                <w:sz w:val="20"/>
                <w:szCs w:val="20"/>
                <w:color w:val="auto"/>
              </w:rPr>
              <w:t>0</w:t>
            </w:r>
          </w:p>
        </w:tc>
        <w:tc>
          <w:tcPr>
            <w:tcW w:w="10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1560" w:type="dxa"/>
            <w:vAlign w:val="bottom"/>
            <w:shd w:val="clear" w:color="auto" w:fill="CFF0FC"/>
          </w:tcPr>
          <w:p>
            <w:pPr>
              <w:spacing w:after="0"/>
              <w:rPr>
                <w:sz w:val="20"/>
                <w:szCs w:val="20"/>
                <w:color w:val="auto"/>
              </w:rPr>
            </w:pPr>
            <w:r>
              <w:rPr>
                <w:rFonts w:ascii="Arial" w:cs="Arial" w:eastAsia="Arial" w:hAnsi="Arial"/>
                <w:sz w:val="20"/>
                <w:szCs w:val="20"/>
                <w:color w:val="auto"/>
              </w:rPr>
              <w:t>Wilson Quarry</w:t>
            </w:r>
          </w:p>
        </w:tc>
        <w:tc>
          <w:tcPr>
            <w:tcW w:w="9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w w:val="95"/>
              </w:rPr>
              <w:t>3102230</w:t>
            </w:r>
          </w:p>
        </w:tc>
        <w:tc>
          <w:tcPr>
            <w:tcW w:w="700" w:type="dxa"/>
            <w:vAlign w:val="bottom"/>
            <w:shd w:val="clear" w:color="auto" w:fill="CFF0FC"/>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shd w:val="clear" w:color="auto" w:fill="CFF0FC"/>
          </w:tcPr>
          <w:p>
            <w:pPr>
              <w:jc w:val="right"/>
              <w:ind w:right="28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8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6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10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1560" w:type="dxa"/>
            <w:vAlign w:val="bottom"/>
          </w:tcPr>
          <w:p>
            <w:pPr>
              <w:spacing w:after="0"/>
              <w:rPr>
                <w:sz w:val="20"/>
                <w:szCs w:val="20"/>
                <w:color w:val="auto"/>
              </w:rPr>
            </w:pPr>
            <w:r>
              <w:rPr>
                <w:rFonts w:ascii="Arial" w:cs="Arial" w:eastAsia="Arial" w:hAnsi="Arial"/>
                <w:sz w:val="20"/>
                <w:szCs w:val="20"/>
                <w:color w:val="auto"/>
              </w:rPr>
              <w:t>Woodleaf Quarry</w:t>
            </w:r>
          </w:p>
        </w:tc>
        <w:tc>
          <w:tcPr>
            <w:tcW w:w="940" w:type="dxa"/>
            <w:vAlign w:val="bottom"/>
          </w:tcPr>
          <w:p>
            <w:pPr>
              <w:jc w:val="right"/>
              <w:ind w:right="81"/>
              <w:spacing w:after="0"/>
              <w:rPr>
                <w:sz w:val="20"/>
                <w:szCs w:val="20"/>
                <w:color w:val="auto"/>
              </w:rPr>
            </w:pPr>
            <w:r>
              <w:rPr>
                <w:rFonts w:ascii="Arial" w:cs="Arial" w:eastAsia="Arial" w:hAnsi="Arial"/>
                <w:sz w:val="20"/>
                <w:szCs w:val="20"/>
                <w:color w:val="auto"/>
                <w:w w:val="95"/>
              </w:rPr>
              <w:t>3100069</w:t>
            </w:r>
          </w:p>
        </w:tc>
        <w:tc>
          <w:tcPr>
            <w:tcW w:w="700" w:type="dxa"/>
            <w:vAlign w:val="bottom"/>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tcPr>
          <w:p>
            <w:pPr>
              <w:jc w:val="right"/>
              <w:ind w:right="281"/>
              <w:spacing w:after="0"/>
              <w:rPr>
                <w:sz w:val="20"/>
                <w:szCs w:val="20"/>
                <w:color w:val="auto"/>
              </w:rPr>
            </w:pPr>
            <w:r>
              <w:rPr>
                <w:rFonts w:ascii="Arial" w:cs="Arial" w:eastAsia="Arial" w:hAnsi="Arial"/>
                <w:sz w:val="20"/>
                <w:szCs w:val="20"/>
                <w:color w:val="auto"/>
              </w:rPr>
              <w:t>0</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340" w:type="dxa"/>
            <w:vAlign w:val="bottom"/>
          </w:tcPr>
          <w:p>
            <w:pPr>
              <w:jc w:val="right"/>
              <w:spacing w:after="0"/>
              <w:rPr>
                <w:sz w:val="20"/>
                <w:szCs w:val="20"/>
                <w:color w:val="auto"/>
              </w:rPr>
            </w:pPr>
            <w:r>
              <w:rPr>
                <w:rFonts w:ascii="Arial" w:cs="Arial" w:eastAsia="Arial" w:hAnsi="Arial"/>
                <w:sz w:val="20"/>
                <w:szCs w:val="20"/>
                <w:color w:val="auto"/>
              </w:rPr>
              <w:t>$</w:t>
            </w:r>
          </w:p>
        </w:tc>
        <w:tc>
          <w:tcPr>
            <w:tcW w:w="68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480" w:type="dxa"/>
            <w:vAlign w:val="bottom"/>
          </w:tcPr>
          <w:p>
            <w:pPr>
              <w:jc w:val="right"/>
              <w:ind w:right="121"/>
              <w:spacing w:after="0"/>
              <w:rPr>
                <w:sz w:val="20"/>
                <w:szCs w:val="20"/>
                <w:color w:val="auto"/>
              </w:rPr>
            </w:pPr>
            <w:r>
              <w:rPr>
                <w:rFonts w:ascii="Arial" w:cs="Arial" w:eastAsia="Arial" w:hAnsi="Arial"/>
                <w:sz w:val="20"/>
                <w:szCs w:val="20"/>
                <w:color w:val="auto"/>
              </w:rPr>
              <w:t>0</w:t>
            </w:r>
          </w:p>
        </w:tc>
        <w:tc>
          <w:tcPr>
            <w:tcW w:w="720" w:type="dxa"/>
            <w:vAlign w:val="bottom"/>
          </w:tcPr>
          <w:p>
            <w:pPr>
              <w:ind w:left="24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6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480" w:type="dxa"/>
            <w:vAlign w:val="bottom"/>
          </w:tcPr>
          <w:p>
            <w:pPr>
              <w:jc w:val="right"/>
              <w:spacing w:after="0"/>
              <w:rPr>
                <w:sz w:val="20"/>
                <w:szCs w:val="20"/>
                <w:color w:val="auto"/>
              </w:rPr>
            </w:pPr>
            <w:r>
              <w:rPr>
                <w:rFonts w:ascii="Arial" w:cs="Arial" w:eastAsia="Arial" w:hAnsi="Arial"/>
                <w:sz w:val="20"/>
                <w:szCs w:val="20"/>
                <w:color w:val="auto"/>
              </w:rPr>
              <w:t>0</w:t>
            </w:r>
          </w:p>
        </w:tc>
        <w:tc>
          <w:tcPr>
            <w:tcW w:w="10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26"/>
        </w:trPr>
        <w:tc>
          <w:tcPr>
            <w:tcW w:w="156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rPr>
              <w:t>(45) North</w:t>
            </w:r>
          </w:p>
        </w:tc>
        <w:tc>
          <w:tcPr>
            <w:tcW w:w="9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1560" w:type="dxa"/>
            <w:vAlign w:val="bottom"/>
            <w:shd w:val="clear" w:color="auto" w:fill="CFF0FC"/>
          </w:tcPr>
          <w:p>
            <w:pPr>
              <w:spacing w:after="0"/>
              <w:rPr>
                <w:sz w:val="20"/>
                <w:szCs w:val="20"/>
                <w:color w:val="auto"/>
              </w:rPr>
            </w:pPr>
            <w:r>
              <w:rPr>
                <w:rFonts w:ascii="Arial" w:cs="Arial" w:eastAsia="Arial" w:hAnsi="Arial"/>
                <w:sz w:val="20"/>
                <w:szCs w:val="20"/>
                <w:color w:val="auto"/>
              </w:rPr>
              <w:t>Indianapolis</w:t>
            </w:r>
          </w:p>
        </w:tc>
        <w:tc>
          <w:tcPr>
            <w:tcW w:w="9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46"/>
        </w:trPr>
        <w:tc>
          <w:tcPr>
            <w:tcW w:w="1560" w:type="dxa"/>
            <w:vAlign w:val="bottom"/>
            <w:shd w:val="clear" w:color="auto" w:fill="CFF0FC"/>
          </w:tcPr>
          <w:p>
            <w:pPr>
              <w:spacing w:after="0"/>
              <w:rPr>
                <w:sz w:val="20"/>
                <w:szCs w:val="20"/>
                <w:color w:val="auto"/>
              </w:rPr>
            </w:pPr>
            <w:r>
              <w:rPr>
                <w:rFonts w:ascii="Arial" w:cs="Arial" w:eastAsia="Arial" w:hAnsi="Arial"/>
                <w:sz w:val="20"/>
                <w:szCs w:val="20"/>
                <w:color w:val="auto"/>
              </w:rPr>
              <w:t>SURFACE</w:t>
            </w:r>
          </w:p>
        </w:tc>
        <w:tc>
          <w:tcPr>
            <w:tcW w:w="9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w w:val="95"/>
              </w:rPr>
              <w:t>1200002</w:t>
            </w:r>
          </w:p>
        </w:tc>
        <w:tc>
          <w:tcPr>
            <w:tcW w:w="700" w:type="dxa"/>
            <w:vAlign w:val="bottom"/>
            <w:shd w:val="clear" w:color="auto" w:fill="CFF0FC"/>
          </w:tcPr>
          <w:p>
            <w:pPr>
              <w:jc w:val="right"/>
              <w:ind w:right="301"/>
              <w:spacing w:after="0"/>
              <w:rPr>
                <w:sz w:val="20"/>
                <w:szCs w:val="20"/>
                <w:color w:val="auto"/>
              </w:rPr>
            </w:pPr>
            <w:r>
              <w:rPr>
                <w:rFonts w:ascii="Arial" w:cs="Arial" w:eastAsia="Arial" w:hAnsi="Arial"/>
                <w:sz w:val="20"/>
                <w:szCs w:val="20"/>
                <w:color w:val="auto"/>
              </w:rPr>
              <w:t>3</w:t>
            </w:r>
          </w:p>
        </w:tc>
        <w:tc>
          <w:tcPr>
            <w:tcW w:w="880" w:type="dxa"/>
            <w:vAlign w:val="bottom"/>
            <w:shd w:val="clear" w:color="auto" w:fill="CFF0FC"/>
          </w:tcPr>
          <w:p>
            <w:pPr>
              <w:jc w:val="right"/>
              <w:ind w:right="28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8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6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10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1560" w:type="dxa"/>
            <w:vAlign w:val="bottom"/>
          </w:tcPr>
          <w:p>
            <w:pPr>
              <w:spacing w:after="0"/>
              <w:rPr>
                <w:sz w:val="20"/>
                <w:szCs w:val="20"/>
                <w:color w:val="auto"/>
              </w:rPr>
            </w:pPr>
            <w:r>
              <w:rPr>
                <w:rFonts w:ascii="Arial" w:cs="Arial" w:eastAsia="Arial" w:hAnsi="Arial"/>
                <w:sz w:val="20"/>
                <w:szCs w:val="20"/>
                <w:color w:val="auto"/>
              </w:rPr>
              <w:t>Apple Grove</w:t>
            </w:r>
          </w:p>
        </w:tc>
        <w:tc>
          <w:tcPr>
            <w:tcW w:w="940" w:type="dxa"/>
            <w:vAlign w:val="bottom"/>
          </w:tcPr>
          <w:p>
            <w:pPr>
              <w:jc w:val="right"/>
              <w:ind w:right="81"/>
              <w:spacing w:after="0"/>
              <w:rPr>
                <w:sz w:val="20"/>
                <w:szCs w:val="20"/>
                <w:color w:val="auto"/>
              </w:rPr>
            </w:pPr>
            <w:r>
              <w:rPr>
                <w:rFonts w:ascii="Arial" w:cs="Arial" w:eastAsia="Arial" w:hAnsi="Arial"/>
                <w:sz w:val="20"/>
                <w:szCs w:val="20"/>
                <w:color w:val="auto"/>
                <w:w w:val="95"/>
              </w:rPr>
              <w:t>3301676</w:t>
            </w:r>
          </w:p>
        </w:tc>
        <w:tc>
          <w:tcPr>
            <w:tcW w:w="700" w:type="dxa"/>
            <w:vAlign w:val="bottom"/>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tcPr>
          <w:p>
            <w:pPr>
              <w:jc w:val="right"/>
              <w:ind w:right="281"/>
              <w:spacing w:after="0"/>
              <w:rPr>
                <w:sz w:val="20"/>
                <w:szCs w:val="20"/>
                <w:color w:val="auto"/>
              </w:rPr>
            </w:pPr>
            <w:r>
              <w:rPr>
                <w:rFonts w:ascii="Arial" w:cs="Arial" w:eastAsia="Arial" w:hAnsi="Arial"/>
                <w:sz w:val="20"/>
                <w:szCs w:val="20"/>
                <w:color w:val="auto"/>
              </w:rPr>
              <w:t>0</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340" w:type="dxa"/>
            <w:vAlign w:val="bottom"/>
          </w:tcPr>
          <w:p>
            <w:pPr>
              <w:jc w:val="right"/>
              <w:spacing w:after="0"/>
              <w:rPr>
                <w:sz w:val="20"/>
                <w:szCs w:val="20"/>
                <w:color w:val="auto"/>
              </w:rPr>
            </w:pPr>
            <w:r>
              <w:rPr>
                <w:rFonts w:ascii="Arial" w:cs="Arial" w:eastAsia="Arial" w:hAnsi="Arial"/>
                <w:sz w:val="20"/>
                <w:szCs w:val="20"/>
                <w:color w:val="auto"/>
              </w:rPr>
              <w:t>$</w:t>
            </w:r>
          </w:p>
        </w:tc>
        <w:tc>
          <w:tcPr>
            <w:tcW w:w="68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480" w:type="dxa"/>
            <w:vAlign w:val="bottom"/>
          </w:tcPr>
          <w:p>
            <w:pPr>
              <w:jc w:val="right"/>
              <w:ind w:right="121"/>
              <w:spacing w:after="0"/>
              <w:rPr>
                <w:sz w:val="20"/>
                <w:szCs w:val="20"/>
                <w:color w:val="auto"/>
              </w:rPr>
            </w:pPr>
            <w:r>
              <w:rPr>
                <w:rFonts w:ascii="Arial" w:cs="Arial" w:eastAsia="Arial" w:hAnsi="Arial"/>
                <w:sz w:val="20"/>
                <w:szCs w:val="20"/>
                <w:color w:val="auto"/>
              </w:rPr>
              <w:t>0</w:t>
            </w:r>
          </w:p>
        </w:tc>
        <w:tc>
          <w:tcPr>
            <w:tcW w:w="720" w:type="dxa"/>
            <w:vAlign w:val="bottom"/>
          </w:tcPr>
          <w:p>
            <w:pPr>
              <w:ind w:left="24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6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480" w:type="dxa"/>
            <w:vAlign w:val="bottom"/>
          </w:tcPr>
          <w:p>
            <w:pPr>
              <w:jc w:val="right"/>
              <w:spacing w:after="0"/>
              <w:rPr>
                <w:sz w:val="20"/>
                <w:szCs w:val="20"/>
                <w:color w:val="auto"/>
              </w:rPr>
            </w:pPr>
            <w:r>
              <w:rPr>
                <w:rFonts w:ascii="Arial" w:cs="Arial" w:eastAsia="Arial" w:hAnsi="Arial"/>
                <w:sz w:val="20"/>
                <w:szCs w:val="20"/>
                <w:color w:val="auto"/>
              </w:rPr>
              <w:t>1</w:t>
            </w:r>
          </w:p>
        </w:tc>
        <w:tc>
          <w:tcPr>
            <w:tcW w:w="1000" w:type="dxa"/>
            <w:vAlign w:val="bottom"/>
          </w:tcPr>
          <w:p>
            <w:pPr>
              <w:jc w:val="right"/>
              <w:ind w:right="221"/>
              <w:spacing w:after="0"/>
              <w:rPr>
                <w:sz w:val="20"/>
                <w:szCs w:val="20"/>
                <w:color w:val="auto"/>
              </w:rPr>
            </w:pPr>
            <w:r>
              <w:rPr>
                <w:rFonts w:ascii="Arial" w:cs="Arial" w:eastAsia="Arial" w:hAnsi="Arial"/>
                <w:sz w:val="20"/>
                <w:szCs w:val="20"/>
                <w:color w:val="auto"/>
              </w:rPr>
              <w:t>1</w:t>
            </w:r>
          </w:p>
        </w:tc>
        <w:tc>
          <w:tcPr>
            <w:tcW w:w="20" w:type="dxa"/>
            <w:vAlign w:val="bottom"/>
          </w:tcPr>
          <w:p>
            <w:pPr>
              <w:spacing w:after="0"/>
              <w:rPr>
                <w:sz w:val="21"/>
                <w:szCs w:val="21"/>
                <w:color w:val="auto"/>
              </w:rPr>
            </w:pPr>
          </w:p>
        </w:tc>
      </w:tr>
      <w:tr>
        <w:trPr>
          <w:trHeight w:val="243"/>
        </w:trPr>
        <w:tc>
          <w:tcPr>
            <w:tcW w:w="1560" w:type="dxa"/>
            <w:vAlign w:val="bottom"/>
            <w:shd w:val="clear" w:color="auto" w:fill="CFF0FC"/>
          </w:tcPr>
          <w:p>
            <w:pPr>
              <w:spacing w:after="0"/>
              <w:rPr>
                <w:sz w:val="20"/>
                <w:szCs w:val="20"/>
                <w:color w:val="auto"/>
              </w:rPr>
            </w:pPr>
            <w:r>
              <w:rPr>
                <w:rFonts w:ascii="Arial" w:cs="Arial" w:eastAsia="Arial" w:hAnsi="Arial"/>
                <w:sz w:val="20"/>
                <w:szCs w:val="20"/>
                <w:color w:val="auto"/>
              </w:rPr>
              <w:t>Belmont Sand</w:t>
            </w:r>
          </w:p>
        </w:tc>
        <w:tc>
          <w:tcPr>
            <w:tcW w:w="9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w w:val="95"/>
              </w:rPr>
              <w:t>1201911</w:t>
            </w:r>
          </w:p>
        </w:tc>
        <w:tc>
          <w:tcPr>
            <w:tcW w:w="700" w:type="dxa"/>
            <w:vAlign w:val="bottom"/>
            <w:shd w:val="clear" w:color="auto" w:fill="CFF0FC"/>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shd w:val="clear" w:color="auto" w:fill="CFF0FC"/>
          </w:tcPr>
          <w:p>
            <w:pPr>
              <w:jc w:val="right"/>
              <w:ind w:right="28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8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6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10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1560" w:type="dxa"/>
            <w:vAlign w:val="bottom"/>
          </w:tcPr>
          <w:p>
            <w:pPr>
              <w:spacing w:after="0"/>
              <w:rPr>
                <w:sz w:val="20"/>
                <w:szCs w:val="20"/>
                <w:color w:val="auto"/>
              </w:rPr>
            </w:pPr>
            <w:r>
              <w:rPr>
                <w:rFonts w:ascii="Arial" w:cs="Arial" w:eastAsia="Arial" w:hAnsi="Arial"/>
                <w:sz w:val="20"/>
                <w:szCs w:val="20"/>
                <w:color w:val="auto"/>
              </w:rPr>
              <w:t>Blue Rock</w:t>
            </w:r>
          </w:p>
        </w:tc>
        <w:tc>
          <w:tcPr>
            <w:tcW w:w="940" w:type="dxa"/>
            <w:vAlign w:val="bottom"/>
          </w:tcPr>
          <w:p>
            <w:pPr>
              <w:jc w:val="right"/>
              <w:ind w:right="81"/>
              <w:spacing w:after="0"/>
              <w:rPr>
                <w:sz w:val="20"/>
                <w:szCs w:val="20"/>
                <w:color w:val="auto"/>
              </w:rPr>
            </w:pPr>
            <w:r>
              <w:rPr>
                <w:rFonts w:ascii="Arial" w:cs="Arial" w:eastAsia="Arial" w:hAnsi="Arial"/>
                <w:sz w:val="20"/>
                <w:szCs w:val="20"/>
                <w:color w:val="auto"/>
                <w:w w:val="95"/>
              </w:rPr>
              <w:t>3300016</w:t>
            </w:r>
          </w:p>
        </w:tc>
        <w:tc>
          <w:tcPr>
            <w:tcW w:w="700" w:type="dxa"/>
            <w:vAlign w:val="bottom"/>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tcPr>
          <w:p>
            <w:pPr>
              <w:jc w:val="right"/>
              <w:ind w:right="281"/>
              <w:spacing w:after="0"/>
              <w:rPr>
                <w:sz w:val="20"/>
                <w:szCs w:val="20"/>
                <w:color w:val="auto"/>
              </w:rPr>
            </w:pPr>
            <w:r>
              <w:rPr>
                <w:rFonts w:ascii="Arial" w:cs="Arial" w:eastAsia="Arial" w:hAnsi="Arial"/>
                <w:sz w:val="20"/>
                <w:szCs w:val="20"/>
                <w:color w:val="auto"/>
              </w:rPr>
              <w:t>0</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340" w:type="dxa"/>
            <w:vAlign w:val="bottom"/>
          </w:tcPr>
          <w:p>
            <w:pPr>
              <w:jc w:val="right"/>
              <w:spacing w:after="0"/>
              <w:rPr>
                <w:sz w:val="20"/>
                <w:szCs w:val="20"/>
                <w:color w:val="auto"/>
              </w:rPr>
            </w:pPr>
            <w:r>
              <w:rPr>
                <w:rFonts w:ascii="Arial" w:cs="Arial" w:eastAsia="Arial" w:hAnsi="Arial"/>
                <w:sz w:val="20"/>
                <w:szCs w:val="20"/>
                <w:color w:val="auto"/>
              </w:rPr>
              <w:t>$</w:t>
            </w:r>
          </w:p>
        </w:tc>
        <w:tc>
          <w:tcPr>
            <w:tcW w:w="68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480" w:type="dxa"/>
            <w:vAlign w:val="bottom"/>
          </w:tcPr>
          <w:p>
            <w:pPr>
              <w:jc w:val="right"/>
              <w:ind w:right="121"/>
              <w:spacing w:after="0"/>
              <w:rPr>
                <w:sz w:val="20"/>
                <w:szCs w:val="20"/>
                <w:color w:val="auto"/>
              </w:rPr>
            </w:pPr>
            <w:r>
              <w:rPr>
                <w:rFonts w:ascii="Arial" w:cs="Arial" w:eastAsia="Arial" w:hAnsi="Arial"/>
                <w:sz w:val="20"/>
                <w:szCs w:val="20"/>
                <w:color w:val="auto"/>
              </w:rPr>
              <w:t>0</w:t>
            </w:r>
          </w:p>
        </w:tc>
        <w:tc>
          <w:tcPr>
            <w:tcW w:w="720" w:type="dxa"/>
            <w:vAlign w:val="bottom"/>
          </w:tcPr>
          <w:p>
            <w:pPr>
              <w:ind w:left="24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6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480" w:type="dxa"/>
            <w:vAlign w:val="bottom"/>
          </w:tcPr>
          <w:p>
            <w:pPr>
              <w:jc w:val="right"/>
              <w:spacing w:after="0"/>
              <w:rPr>
                <w:sz w:val="20"/>
                <w:szCs w:val="20"/>
                <w:color w:val="auto"/>
              </w:rPr>
            </w:pPr>
            <w:r>
              <w:rPr>
                <w:rFonts w:ascii="Arial" w:cs="Arial" w:eastAsia="Arial" w:hAnsi="Arial"/>
                <w:sz w:val="20"/>
                <w:szCs w:val="20"/>
                <w:color w:val="auto"/>
              </w:rPr>
              <w:t>0</w:t>
            </w:r>
          </w:p>
        </w:tc>
        <w:tc>
          <w:tcPr>
            <w:tcW w:w="10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1560" w:type="dxa"/>
            <w:vAlign w:val="bottom"/>
            <w:shd w:val="clear" w:color="auto" w:fill="CFF0FC"/>
          </w:tcPr>
          <w:p>
            <w:pPr>
              <w:spacing w:after="0"/>
              <w:rPr>
                <w:sz w:val="20"/>
                <w:szCs w:val="20"/>
                <w:color w:val="auto"/>
              </w:rPr>
            </w:pPr>
            <w:r>
              <w:rPr>
                <w:rFonts w:ascii="Arial" w:cs="Arial" w:eastAsia="Arial" w:hAnsi="Arial"/>
                <w:sz w:val="20"/>
                <w:szCs w:val="20"/>
                <w:color w:val="auto"/>
              </w:rPr>
              <w:t>Burning Springs</w:t>
            </w:r>
          </w:p>
        </w:tc>
        <w:tc>
          <w:tcPr>
            <w:tcW w:w="9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w w:val="95"/>
              </w:rPr>
              <w:t>4608862</w:t>
            </w:r>
          </w:p>
        </w:tc>
        <w:tc>
          <w:tcPr>
            <w:tcW w:w="700" w:type="dxa"/>
            <w:vAlign w:val="bottom"/>
            <w:shd w:val="clear" w:color="auto" w:fill="CFF0FC"/>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shd w:val="clear" w:color="auto" w:fill="CFF0FC"/>
          </w:tcPr>
          <w:p>
            <w:pPr>
              <w:jc w:val="right"/>
              <w:ind w:right="28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8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6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10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1560" w:type="dxa"/>
            <w:vAlign w:val="bottom"/>
          </w:tcPr>
          <w:p>
            <w:pPr>
              <w:spacing w:after="0"/>
              <w:rPr>
                <w:sz w:val="20"/>
                <w:szCs w:val="20"/>
                <w:color w:val="auto"/>
              </w:rPr>
            </w:pPr>
            <w:r>
              <w:rPr>
                <w:rFonts w:ascii="Arial" w:cs="Arial" w:eastAsia="Arial" w:hAnsi="Arial"/>
                <w:sz w:val="20"/>
                <w:szCs w:val="20"/>
                <w:color w:val="auto"/>
              </w:rPr>
              <w:t>Carmel SandG</w:t>
            </w:r>
          </w:p>
        </w:tc>
        <w:tc>
          <w:tcPr>
            <w:tcW w:w="940" w:type="dxa"/>
            <w:vAlign w:val="bottom"/>
          </w:tcPr>
          <w:p>
            <w:pPr>
              <w:jc w:val="right"/>
              <w:ind w:right="81"/>
              <w:spacing w:after="0"/>
              <w:rPr>
                <w:sz w:val="20"/>
                <w:szCs w:val="20"/>
                <w:color w:val="auto"/>
              </w:rPr>
            </w:pPr>
            <w:r>
              <w:rPr>
                <w:rFonts w:ascii="Arial" w:cs="Arial" w:eastAsia="Arial" w:hAnsi="Arial"/>
                <w:sz w:val="20"/>
                <w:szCs w:val="20"/>
                <w:color w:val="auto"/>
                <w:w w:val="95"/>
              </w:rPr>
              <w:t>1202124</w:t>
            </w:r>
          </w:p>
        </w:tc>
        <w:tc>
          <w:tcPr>
            <w:tcW w:w="700" w:type="dxa"/>
            <w:vAlign w:val="bottom"/>
          </w:tcPr>
          <w:p>
            <w:pPr>
              <w:jc w:val="right"/>
              <w:ind w:right="301"/>
              <w:spacing w:after="0"/>
              <w:rPr>
                <w:sz w:val="20"/>
                <w:szCs w:val="20"/>
                <w:color w:val="auto"/>
              </w:rPr>
            </w:pPr>
            <w:r>
              <w:rPr>
                <w:rFonts w:ascii="Arial" w:cs="Arial" w:eastAsia="Arial" w:hAnsi="Arial"/>
                <w:sz w:val="20"/>
                <w:szCs w:val="20"/>
                <w:color w:val="auto"/>
              </w:rPr>
              <w:t>2</w:t>
            </w:r>
          </w:p>
        </w:tc>
        <w:tc>
          <w:tcPr>
            <w:tcW w:w="880" w:type="dxa"/>
            <w:vAlign w:val="bottom"/>
          </w:tcPr>
          <w:p>
            <w:pPr>
              <w:jc w:val="right"/>
              <w:ind w:right="281"/>
              <w:spacing w:after="0"/>
              <w:rPr>
                <w:sz w:val="20"/>
                <w:szCs w:val="20"/>
                <w:color w:val="auto"/>
              </w:rPr>
            </w:pPr>
            <w:r>
              <w:rPr>
                <w:rFonts w:ascii="Arial" w:cs="Arial" w:eastAsia="Arial" w:hAnsi="Arial"/>
                <w:sz w:val="20"/>
                <w:szCs w:val="20"/>
                <w:color w:val="auto"/>
              </w:rPr>
              <w:t>0</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340" w:type="dxa"/>
            <w:vAlign w:val="bottom"/>
          </w:tcPr>
          <w:p>
            <w:pPr>
              <w:jc w:val="right"/>
              <w:spacing w:after="0"/>
              <w:rPr>
                <w:sz w:val="20"/>
                <w:szCs w:val="20"/>
                <w:color w:val="auto"/>
              </w:rPr>
            </w:pPr>
            <w:r>
              <w:rPr>
                <w:rFonts w:ascii="Arial" w:cs="Arial" w:eastAsia="Arial" w:hAnsi="Arial"/>
                <w:sz w:val="20"/>
                <w:szCs w:val="20"/>
                <w:color w:val="auto"/>
              </w:rPr>
              <w:t>$</w:t>
            </w:r>
          </w:p>
        </w:tc>
        <w:tc>
          <w:tcPr>
            <w:tcW w:w="680" w:type="dxa"/>
            <w:vAlign w:val="bottom"/>
          </w:tcPr>
          <w:p>
            <w:pPr>
              <w:jc w:val="right"/>
              <w:ind w:right="41"/>
              <w:spacing w:after="0"/>
              <w:rPr>
                <w:sz w:val="20"/>
                <w:szCs w:val="20"/>
                <w:color w:val="auto"/>
              </w:rPr>
            </w:pPr>
            <w:r>
              <w:rPr>
                <w:rFonts w:ascii="Arial" w:cs="Arial" w:eastAsia="Arial" w:hAnsi="Arial"/>
                <w:sz w:val="20"/>
                <w:szCs w:val="20"/>
                <w:color w:val="auto"/>
              </w:rPr>
              <w:t>919</w:t>
            </w:r>
          </w:p>
        </w:tc>
        <w:tc>
          <w:tcPr>
            <w:tcW w:w="480" w:type="dxa"/>
            <w:vAlign w:val="bottom"/>
          </w:tcPr>
          <w:p>
            <w:pPr>
              <w:jc w:val="right"/>
              <w:ind w:right="121"/>
              <w:spacing w:after="0"/>
              <w:rPr>
                <w:sz w:val="20"/>
                <w:szCs w:val="20"/>
                <w:color w:val="auto"/>
              </w:rPr>
            </w:pPr>
            <w:r>
              <w:rPr>
                <w:rFonts w:ascii="Arial" w:cs="Arial" w:eastAsia="Arial" w:hAnsi="Arial"/>
                <w:sz w:val="20"/>
                <w:szCs w:val="20"/>
                <w:color w:val="auto"/>
              </w:rPr>
              <w:t>0</w:t>
            </w:r>
          </w:p>
        </w:tc>
        <w:tc>
          <w:tcPr>
            <w:tcW w:w="720" w:type="dxa"/>
            <w:vAlign w:val="bottom"/>
          </w:tcPr>
          <w:p>
            <w:pPr>
              <w:ind w:left="24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6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480" w:type="dxa"/>
            <w:vAlign w:val="bottom"/>
          </w:tcPr>
          <w:p>
            <w:pPr>
              <w:jc w:val="right"/>
              <w:spacing w:after="0"/>
              <w:rPr>
                <w:sz w:val="20"/>
                <w:szCs w:val="20"/>
                <w:color w:val="auto"/>
              </w:rPr>
            </w:pPr>
            <w:r>
              <w:rPr>
                <w:rFonts w:ascii="Arial" w:cs="Arial" w:eastAsia="Arial" w:hAnsi="Arial"/>
                <w:sz w:val="20"/>
                <w:szCs w:val="20"/>
                <w:color w:val="auto"/>
              </w:rPr>
              <w:t>0</w:t>
            </w:r>
          </w:p>
        </w:tc>
        <w:tc>
          <w:tcPr>
            <w:tcW w:w="10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1560" w:type="dxa"/>
            <w:vAlign w:val="bottom"/>
            <w:shd w:val="clear" w:color="auto" w:fill="CFF0FC"/>
          </w:tcPr>
          <w:p>
            <w:pPr>
              <w:spacing w:after="0"/>
              <w:rPr>
                <w:sz w:val="20"/>
                <w:szCs w:val="20"/>
                <w:color w:val="auto"/>
              </w:rPr>
            </w:pPr>
            <w:r>
              <w:rPr>
                <w:rFonts w:ascii="Arial" w:cs="Arial" w:eastAsia="Arial" w:hAnsi="Arial"/>
                <w:sz w:val="20"/>
                <w:szCs w:val="20"/>
                <w:color w:val="auto"/>
              </w:rPr>
              <w:t>Cedarville</w:t>
            </w:r>
          </w:p>
        </w:tc>
        <w:tc>
          <w:tcPr>
            <w:tcW w:w="9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w w:val="95"/>
              </w:rPr>
              <w:t>3304072</w:t>
            </w:r>
          </w:p>
        </w:tc>
        <w:tc>
          <w:tcPr>
            <w:tcW w:w="700" w:type="dxa"/>
            <w:vAlign w:val="bottom"/>
            <w:shd w:val="clear" w:color="auto" w:fill="CFF0FC"/>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shd w:val="clear" w:color="auto" w:fill="CFF0FC"/>
          </w:tcPr>
          <w:p>
            <w:pPr>
              <w:jc w:val="right"/>
              <w:ind w:right="28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8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6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10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1560" w:type="dxa"/>
            <w:vAlign w:val="bottom"/>
          </w:tcPr>
          <w:p>
            <w:pPr>
              <w:spacing w:after="0"/>
              <w:rPr>
                <w:sz w:val="20"/>
                <w:szCs w:val="20"/>
                <w:color w:val="auto"/>
              </w:rPr>
            </w:pPr>
            <w:r>
              <w:rPr>
                <w:rFonts w:ascii="Arial" w:cs="Arial" w:eastAsia="Arial" w:hAnsi="Arial"/>
                <w:sz w:val="20"/>
                <w:szCs w:val="20"/>
                <w:color w:val="auto"/>
              </w:rPr>
              <w:t>Cloverdale</w:t>
            </w:r>
          </w:p>
        </w:tc>
        <w:tc>
          <w:tcPr>
            <w:tcW w:w="940" w:type="dxa"/>
            <w:vAlign w:val="bottom"/>
          </w:tcPr>
          <w:p>
            <w:pPr>
              <w:jc w:val="right"/>
              <w:ind w:right="81"/>
              <w:spacing w:after="0"/>
              <w:rPr>
                <w:sz w:val="20"/>
                <w:szCs w:val="20"/>
                <w:color w:val="auto"/>
              </w:rPr>
            </w:pPr>
            <w:r>
              <w:rPr>
                <w:rFonts w:ascii="Arial" w:cs="Arial" w:eastAsia="Arial" w:hAnsi="Arial"/>
                <w:sz w:val="20"/>
                <w:szCs w:val="20"/>
                <w:color w:val="auto"/>
                <w:w w:val="95"/>
              </w:rPr>
              <w:t>1201744</w:t>
            </w:r>
          </w:p>
        </w:tc>
        <w:tc>
          <w:tcPr>
            <w:tcW w:w="700" w:type="dxa"/>
            <w:vAlign w:val="bottom"/>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tcPr>
          <w:p>
            <w:pPr>
              <w:jc w:val="right"/>
              <w:ind w:right="281"/>
              <w:spacing w:after="0"/>
              <w:rPr>
                <w:sz w:val="20"/>
                <w:szCs w:val="20"/>
                <w:color w:val="auto"/>
              </w:rPr>
            </w:pPr>
            <w:r>
              <w:rPr>
                <w:rFonts w:ascii="Arial" w:cs="Arial" w:eastAsia="Arial" w:hAnsi="Arial"/>
                <w:sz w:val="20"/>
                <w:szCs w:val="20"/>
                <w:color w:val="auto"/>
              </w:rPr>
              <w:t>0</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340" w:type="dxa"/>
            <w:vAlign w:val="bottom"/>
          </w:tcPr>
          <w:p>
            <w:pPr>
              <w:jc w:val="right"/>
              <w:spacing w:after="0"/>
              <w:rPr>
                <w:sz w:val="20"/>
                <w:szCs w:val="20"/>
                <w:color w:val="auto"/>
              </w:rPr>
            </w:pPr>
            <w:r>
              <w:rPr>
                <w:rFonts w:ascii="Arial" w:cs="Arial" w:eastAsia="Arial" w:hAnsi="Arial"/>
                <w:sz w:val="20"/>
                <w:szCs w:val="20"/>
                <w:color w:val="auto"/>
              </w:rPr>
              <w:t>$</w:t>
            </w:r>
          </w:p>
        </w:tc>
        <w:tc>
          <w:tcPr>
            <w:tcW w:w="68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480" w:type="dxa"/>
            <w:vAlign w:val="bottom"/>
          </w:tcPr>
          <w:p>
            <w:pPr>
              <w:jc w:val="right"/>
              <w:ind w:right="121"/>
              <w:spacing w:after="0"/>
              <w:rPr>
                <w:sz w:val="20"/>
                <w:szCs w:val="20"/>
                <w:color w:val="auto"/>
              </w:rPr>
            </w:pPr>
            <w:r>
              <w:rPr>
                <w:rFonts w:ascii="Arial" w:cs="Arial" w:eastAsia="Arial" w:hAnsi="Arial"/>
                <w:sz w:val="20"/>
                <w:szCs w:val="20"/>
                <w:color w:val="auto"/>
              </w:rPr>
              <w:t>0</w:t>
            </w:r>
          </w:p>
        </w:tc>
        <w:tc>
          <w:tcPr>
            <w:tcW w:w="720" w:type="dxa"/>
            <w:vAlign w:val="bottom"/>
          </w:tcPr>
          <w:p>
            <w:pPr>
              <w:ind w:left="24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6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480" w:type="dxa"/>
            <w:vAlign w:val="bottom"/>
          </w:tcPr>
          <w:p>
            <w:pPr>
              <w:jc w:val="right"/>
              <w:spacing w:after="0"/>
              <w:rPr>
                <w:sz w:val="20"/>
                <w:szCs w:val="20"/>
                <w:color w:val="auto"/>
              </w:rPr>
            </w:pPr>
            <w:r>
              <w:rPr>
                <w:rFonts w:ascii="Arial" w:cs="Arial" w:eastAsia="Arial" w:hAnsi="Arial"/>
                <w:sz w:val="20"/>
                <w:szCs w:val="20"/>
                <w:color w:val="auto"/>
              </w:rPr>
              <w:t>0</w:t>
            </w:r>
          </w:p>
        </w:tc>
        <w:tc>
          <w:tcPr>
            <w:tcW w:w="10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1560" w:type="dxa"/>
            <w:vAlign w:val="bottom"/>
            <w:shd w:val="clear" w:color="auto" w:fill="CFF0FC"/>
          </w:tcPr>
          <w:p>
            <w:pPr>
              <w:spacing w:after="0"/>
              <w:rPr>
                <w:sz w:val="20"/>
                <w:szCs w:val="20"/>
                <w:color w:val="auto"/>
              </w:rPr>
            </w:pPr>
            <w:r>
              <w:rPr>
                <w:rFonts w:ascii="Arial" w:cs="Arial" w:eastAsia="Arial" w:hAnsi="Arial"/>
                <w:sz w:val="20"/>
                <w:szCs w:val="20"/>
                <w:color w:val="auto"/>
              </w:rPr>
              <w:t>Cook Road</w:t>
            </w:r>
          </w:p>
        </w:tc>
        <w:tc>
          <w:tcPr>
            <w:tcW w:w="9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w w:val="95"/>
              </w:rPr>
              <w:t>3304534</w:t>
            </w:r>
          </w:p>
        </w:tc>
        <w:tc>
          <w:tcPr>
            <w:tcW w:w="700" w:type="dxa"/>
            <w:vAlign w:val="bottom"/>
            <w:shd w:val="clear" w:color="auto" w:fill="CFF0FC"/>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shd w:val="clear" w:color="auto" w:fill="CFF0FC"/>
          </w:tcPr>
          <w:p>
            <w:pPr>
              <w:jc w:val="right"/>
              <w:ind w:right="28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8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6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10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1560" w:type="dxa"/>
            <w:vAlign w:val="bottom"/>
          </w:tcPr>
          <w:p>
            <w:pPr>
              <w:spacing w:after="0"/>
              <w:rPr>
                <w:sz w:val="20"/>
                <w:szCs w:val="20"/>
                <w:color w:val="auto"/>
              </w:rPr>
            </w:pPr>
            <w:r>
              <w:rPr>
                <w:rFonts w:ascii="Arial" w:cs="Arial" w:eastAsia="Arial" w:hAnsi="Arial"/>
                <w:sz w:val="20"/>
                <w:szCs w:val="20"/>
                <w:color w:val="auto"/>
              </w:rPr>
              <w:t>E-Town SandG</w:t>
            </w:r>
          </w:p>
        </w:tc>
        <w:tc>
          <w:tcPr>
            <w:tcW w:w="940" w:type="dxa"/>
            <w:vAlign w:val="bottom"/>
          </w:tcPr>
          <w:p>
            <w:pPr>
              <w:jc w:val="right"/>
              <w:ind w:right="81"/>
              <w:spacing w:after="0"/>
              <w:rPr>
                <w:sz w:val="20"/>
                <w:szCs w:val="20"/>
                <w:color w:val="auto"/>
              </w:rPr>
            </w:pPr>
            <w:r>
              <w:rPr>
                <w:rFonts w:ascii="Arial" w:cs="Arial" w:eastAsia="Arial" w:hAnsi="Arial"/>
                <w:sz w:val="20"/>
                <w:szCs w:val="20"/>
                <w:color w:val="auto"/>
                <w:w w:val="95"/>
              </w:rPr>
              <w:t>3304279</w:t>
            </w:r>
          </w:p>
        </w:tc>
        <w:tc>
          <w:tcPr>
            <w:tcW w:w="700" w:type="dxa"/>
            <w:vAlign w:val="bottom"/>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tcPr>
          <w:p>
            <w:pPr>
              <w:jc w:val="right"/>
              <w:ind w:right="281"/>
              <w:spacing w:after="0"/>
              <w:rPr>
                <w:sz w:val="20"/>
                <w:szCs w:val="20"/>
                <w:color w:val="auto"/>
              </w:rPr>
            </w:pPr>
            <w:r>
              <w:rPr>
                <w:rFonts w:ascii="Arial" w:cs="Arial" w:eastAsia="Arial" w:hAnsi="Arial"/>
                <w:sz w:val="20"/>
                <w:szCs w:val="20"/>
                <w:color w:val="auto"/>
              </w:rPr>
              <w:t>0</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340" w:type="dxa"/>
            <w:vAlign w:val="bottom"/>
          </w:tcPr>
          <w:p>
            <w:pPr>
              <w:jc w:val="right"/>
              <w:spacing w:after="0"/>
              <w:rPr>
                <w:sz w:val="20"/>
                <w:szCs w:val="20"/>
                <w:color w:val="auto"/>
              </w:rPr>
            </w:pPr>
            <w:r>
              <w:rPr>
                <w:rFonts w:ascii="Arial" w:cs="Arial" w:eastAsia="Arial" w:hAnsi="Arial"/>
                <w:sz w:val="20"/>
                <w:szCs w:val="20"/>
                <w:color w:val="auto"/>
              </w:rPr>
              <w:t>$</w:t>
            </w:r>
          </w:p>
        </w:tc>
        <w:tc>
          <w:tcPr>
            <w:tcW w:w="68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480" w:type="dxa"/>
            <w:vAlign w:val="bottom"/>
          </w:tcPr>
          <w:p>
            <w:pPr>
              <w:jc w:val="right"/>
              <w:ind w:right="121"/>
              <w:spacing w:after="0"/>
              <w:rPr>
                <w:sz w:val="20"/>
                <w:szCs w:val="20"/>
                <w:color w:val="auto"/>
              </w:rPr>
            </w:pPr>
            <w:r>
              <w:rPr>
                <w:rFonts w:ascii="Arial" w:cs="Arial" w:eastAsia="Arial" w:hAnsi="Arial"/>
                <w:sz w:val="20"/>
                <w:szCs w:val="20"/>
                <w:color w:val="auto"/>
              </w:rPr>
              <w:t>0</w:t>
            </w:r>
          </w:p>
        </w:tc>
        <w:tc>
          <w:tcPr>
            <w:tcW w:w="720" w:type="dxa"/>
            <w:vAlign w:val="bottom"/>
          </w:tcPr>
          <w:p>
            <w:pPr>
              <w:ind w:left="24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6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480" w:type="dxa"/>
            <w:vAlign w:val="bottom"/>
          </w:tcPr>
          <w:p>
            <w:pPr>
              <w:jc w:val="right"/>
              <w:spacing w:after="0"/>
              <w:rPr>
                <w:sz w:val="20"/>
                <w:szCs w:val="20"/>
                <w:color w:val="auto"/>
              </w:rPr>
            </w:pPr>
            <w:r>
              <w:rPr>
                <w:rFonts w:ascii="Arial" w:cs="Arial" w:eastAsia="Arial" w:hAnsi="Arial"/>
                <w:sz w:val="20"/>
                <w:szCs w:val="20"/>
                <w:color w:val="auto"/>
              </w:rPr>
              <w:t>0</w:t>
            </w:r>
          </w:p>
        </w:tc>
        <w:tc>
          <w:tcPr>
            <w:tcW w:w="10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1560" w:type="dxa"/>
            <w:vAlign w:val="bottom"/>
            <w:shd w:val="clear" w:color="auto" w:fill="CFF0FC"/>
          </w:tcPr>
          <w:p>
            <w:pPr>
              <w:spacing w:after="0"/>
              <w:rPr>
                <w:sz w:val="20"/>
                <w:szCs w:val="20"/>
                <w:color w:val="auto"/>
              </w:rPr>
            </w:pPr>
            <w:r>
              <w:rPr>
                <w:rFonts w:ascii="Arial" w:cs="Arial" w:eastAsia="Arial" w:hAnsi="Arial"/>
                <w:sz w:val="20"/>
                <w:szCs w:val="20"/>
                <w:color w:val="auto"/>
              </w:rPr>
              <w:t>Fairborn Gravel</w:t>
            </w:r>
          </w:p>
        </w:tc>
        <w:tc>
          <w:tcPr>
            <w:tcW w:w="9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w w:val="95"/>
              </w:rPr>
              <w:t>3301388</w:t>
            </w:r>
          </w:p>
        </w:tc>
        <w:tc>
          <w:tcPr>
            <w:tcW w:w="700" w:type="dxa"/>
            <w:vAlign w:val="bottom"/>
            <w:shd w:val="clear" w:color="auto" w:fill="CFF0FC"/>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shd w:val="clear" w:color="auto" w:fill="CFF0FC"/>
          </w:tcPr>
          <w:p>
            <w:pPr>
              <w:jc w:val="right"/>
              <w:ind w:right="28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8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6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10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1560" w:type="dxa"/>
            <w:vAlign w:val="bottom"/>
          </w:tcPr>
          <w:p>
            <w:pPr>
              <w:spacing w:after="0"/>
              <w:rPr>
                <w:sz w:val="20"/>
                <w:szCs w:val="20"/>
                <w:color w:val="auto"/>
              </w:rPr>
            </w:pPr>
            <w:r>
              <w:rPr>
                <w:rFonts w:ascii="Arial" w:cs="Arial" w:eastAsia="Arial" w:hAnsi="Arial"/>
                <w:sz w:val="20"/>
                <w:szCs w:val="20"/>
                <w:color w:val="auto"/>
              </w:rPr>
              <w:t>Fairfield</w:t>
            </w:r>
          </w:p>
        </w:tc>
        <w:tc>
          <w:tcPr>
            <w:tcW w:w="940" w:type="dxa"/>
            <w:vAlign w:val="bottom"/>
          </w:tcPr>
          <w:p>
            <w:pPr>
              <w:jc w:val="right"/>
              <w:ind w:right="81"/>
              <w:spacing w:after="0"/>
              <w:rPr>
                <w:sz w:val="20"/>
                <w:szCs w:val="20"/>
                <w:color w:val="auto"/>
              </w:rPr>
            </w:pPr>
            <w:r>
              <w:rPr>
                <w:rFonts w:ascii="Arial" w:cs="Arial" w:eastAsia="Arial" w:hAnsi="Arial"/>
                <w:sz w:val="20"/>
                <w:szCs w:val="20"/>
                <w:color w:val="auto"/>
                <w:w w:val="95"/>
              </w:rPr>
              <w:t>3301396</w:t>
            </w:r>
          </w:p>
        </w:tc>
        <w:tc>
          <w:tcPr>
            <w:tcW w:w="700" w:type="dxa"/>
            <w:vAlign w:val="bottom"/>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tcPr>
          <w:p>
            <w:pPr>
              <w:jc w:val="right"/>
              <w:ind w:right="281"/>
              <w:spacing w:after="0"/>
              <w:rPr>
                <w:sz w:val="20"/>
                <w:szCs w:val="20"/>
                <w:color w:val="auto"/>
              </w:rPr>
            </w:pPr>
            <w:r>
              <w:rPr>
                <w:rFonts w:ascii="Arial" w:cs="Arial" w:eastAsia="Arial" w:hAnsi="Arial"/>
                <w:sz w:val="20"/>
                <w:szCs w:val="20"/>
                <w:color w:val="auto"/>
              </w:rPr>
              <w:t>0</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340" w:type="dxa"/>
            <w:vAlign w:val="bottom"/>
          </w:tcPr>
          <w:p>
            <w:pPr>
              <w:jc w:val="right"/>
              <w:spacing w:after="0"/>
              <w:rPr>
                <w:sz w:val="20"/>
                <w:szCs w:val="20"/>
                <w:color w:val="auto"/>
              </w:rPr>
            </w:pPr>
            <w:r>
              <w:rPr>
                <w:rFonts w:ascii="Arial" w:cs="Arial" w:eastAsia="Arial" w:hAnsi="Arial"/>
                <w:sz w:val="20"/>
                <w:szCs w:val="20"/>
                <w:color w:val="auto"/>
              </w:rPr>
              <w:t>$</w:t>
            </w:r>
          </w:p>
        </w:tc>
        <w:tc>
          <w:tcPr>
            <w:tcW w:w="68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480" w:type="dxa"/>
            <w:vAlign w:val="bottom"/>
          </w:tcPr>
          <w:p>
            <w:pPr>
              <w:jc w:val="right"/>
              <w:ind w:right="121"/>
              <w:spacing w:after="0"/>
              <w:rPr>
                <w:sz w:val="20"/>
                <w:szCs w:val="20"/>
                <w:color w:val="auto"/>
              </w:rPr>
            </w:pPr>
            <w:r>
              <w:rPr>
                <w:rFonts w:ascii="Arial" w:cs="Arial" w:eastAsia="Arial" w:hAnsi="Arial"/>
                <w:sz w:val="20"/>
                <w:szCs w:val="20"/>
                <w:color w:val="auto"/>
              </w:rPr>
              <w:t>0</w:t>
            </w:r>
          </w:p>
        </w:tc>
        <w:tc>
          <w:tcPr>
            <w:tcW w:w="720" w:type="dxa"/>
            <w:vAlign w:val="bottom"/>
          </w:tcPr>
          <w:p>
            <w:pPr>
              <w:ind w:left="24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6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480" w:type="dxa"/>
            <w:vAlign w:val="bottom"/>
          </w:tcPr>
          <w:p>
            <w:pPr>
              <w:jc w:val="right"/>
              <w:spacing w:after="0"/>
              <w:rPr>
                <w:sz w:val="20"/>
                <w:szCs w:val="20"/>
                <w:color w:val="auto"/>
              </w:rPr>
            </w:pPr>
            <w:r>
              <w:rPr>
                <w:rFonts w:ascii="Arial" w:cs="Arial" w:eastAsia="Arial" w:hAnsi="Arial"/>
                <w:sz w:val="20"/>
                <w:szCs w:val="20"/>
                <w:color w:val="auto"/>
              </w:rPr>
              <w:t>0</w:t>
            </w:r>
          </w:p>
        </w:tc>
        <w:tc>
          <w:tcPr>
            <w:tcW w:w="10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1560" w:type="dxa"/>
            <w:vAlign w:val="bottom"/>
            <w:shd w:val="clear" w:color="auto" w:fill="CFF0FC"/>
          </w:tcPr>
          <w:p>
            <w:pPr>
              <w:spacing w:after="0"/>
              <w:rPr>
                <w:sz w:val="20"/>
                <w:szCs w:val="20"/>
                <w:color w:val="auto"/>
              </w:rPr>
            </w:pPr>
            <w:r>
              <w:rPr>
                <w:rFonts w:ascii="Arial" w:cs="Arial" w:eastAsia="Arial" w:hAnsi="Arial"/>
                <w:sz w:val="20"/>
                <w:szCs w:val="20"/>
                <w:color w:val="auto"/>
              </w:rPr>
              <w:t>Franklin Gravel</w:t>
            </w:r>
          </w:p>
        </w:tc>
        <w:tc>
          <w:tcPr>
            <w:tcW w:w="9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w w:val="95"/>
              </w:rPr>
              <w:t>3302940</w:t>
            </w:r>
          </w:p>
        </w:tc>
        <w:tc>
          <w:tcPr>
            <w:tcW w:w="700" w:type="dxa"/>
            <w:vAlign w:val="bottom"/>
            <w:shd w:val="clear" w:color="auto" w:fill="CFF0FC"/>
          </w:tcPr>
          <w:p>
            <w:pPr>
              <w:jc w:val="right"/>
              <w:ind w:right="301"/>
              <w:spacing w:after="0"/>
              <w:rPr>
                <w:sz w:val="20"/>
                <w:szCs w:val="20"/>
                <w:color w:val="auto"/>
              </w:rPr>
            </w:pPr>
            <w:r>
              <w:rPr>
                <w:rFonts w:ascii="Arial" w:cs="Arial" w:eastAsia="Arial" w:hAnsi="Arial"/>
                <w:sz w:val="20"/>
                <w:szCs w:val="20"/>
                <w:color w:val="auto"/>
              </w:rPr>
              <w:t>1</w:t>
            </w:r>
          </w:p>
        </w:tc>
        <w:tc>
          <w:tcPr>
            <w:tcW w:w="880" w:type="dxa"/>
            <w:vAlign w:val="bottom"/>
            <w:shd w:val="clear" w:color="auto" w:fill="CFF0FC"/>
          </w:tcPr>
          <w:p>
            <w:pPr>
              <w:jc w:val="right"/>
              <w:ind w:right="28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8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6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10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1560" w:type="dxa"/>
            <w:vAlign w:val="bottom"/>
          </w:tcPr>
          <w:p>
            <w:pPr>
              <w:spacing w:after="0"/>
              <w:rPr>
                <w:sz w:val="20"/>
                <w:szCs w:val="20"/>
                <w:color w:val="auto"/>
              </w:rPr>
            </w:pPr>
            <w:r>
              <w:rPr>
                <w:rFonts w:ascii="Arial" w:cs="Arial" w:eastAsia="Arial" w:hAnsi="Arial"/>
                <w:sz w:val="20"/>
                <w:szCs w:val="20"/>
                <w:color w:val="auto"/>
              </w:rPr>
              <w:t>Hamilton Gravel</w:t>
            </w:r>
          </w:p>
        </w:tc>
        <w:tc>
          <w:tcPr>
            <w:tcW w:w="940" w:type="dxa"/>
            <w:vAlign w:val="bottom"/>
          </w:tcPr>
          <w:p>
            <w:pPr>
              <w:jc w:val="right"/>
              <w:ind w:right="81"/>
              <w:spacing w:after="0"/>
              <w:rPr>
                <w:sz w:val="20"/>
                <w:szCs w:val="20"/>
                <w:color w:val="auto"/>
              </w:rPr>
            </w:pPr>
            <w:r>
              <w:rPr>
                <w:rFonts w:ascii="Arial" w:cs="Arial" w:eastAsia="Arial" w:hAnsi="Arial"/>
                <w:sz w:val="20"/>
                <w:szCs w:val="20"/>
                <w:color w:val="auto"/>
                <w:w w:val="95"/>
              </w:rPr>
              <w:t>3301394</w:t>
            </w:r>
          </w:p>
        </w:tc>
        <w:tc>
          <w:tcPr>
            <w:tcW w:w="700" w:type="dxa"/>
            <w:vAlign w:val="bottom"/>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tcPr>
          <w:p>
            <w:pPr>
              <w:jc w:val="right"/>
              <w:ind w:right="281"/>
              <w:spacing w:after="0"/>
              <w:rPr>
                <w:sz w:val="20"/>
                <w:szCs w:val="20"/>
                <w:color w:val="auto"/>
              </w:rPr>
            </w:pPr>
            <w:r>
              <w:rPr>
                <w:rFonts w:ascii="Arial" w:cs="Arial" w:eastAsia="Arial" w:hAnsi="Arial"/>
                <w:sz w:val="20"/>
                <w:szCs w:val="20"/>
                <w:color w:val="auto"/>
              </w:rPr>
              <w:t>0</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340" w:type="dxa"/>
            <w:vAlign w:val="bottom"/>
          </w:tcPr>
          <w:p>
            <w:pPr>
              <w:jc w:val="right"/>
              <w:spacing w:after="0"/>
              <w:rPr>
                <w:sz w:val="20"/>
                <w:szCs w:val="20"/>
                <w:color w:val="auto"/>
              </w:rPr>
            </w:pPr>
            <w:r>
              <w:rPr>
                <w:rFonts w:ascii="Arial" w:cs="Arial" w:eastAsia="Arial" w:hAnsi="Arial"/>
                <w:sz w:val="20"/>
                <w:szCs w:val="20"/>
                <w:color w:val="auto"/>
              </w:rPr>
              <w:t>$</w:t>
            </w:r>
          </w:p>
        </w:tc>
        <w:tc>
          <w:tcPr>
            <w:tcW w:w="68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480" w:type="dxa"/>
            <w:vAlign w:val="bottom"/>
          </w:tcPr>
          <w:p>
            <w:pPr>
              <w:jc w:val="right"/>
              <w:ind w:right="121"/>
              <w:spacing w:after="0"/>
              <w:rPr>
                <w:sz w:val="20"/>
                <w:szCs w:val="20"/>
                <w:color w:val="auto"/>
              </w:rPr>
            </w:pPr>
            <w:r>
              <w:rPr>
                <w:rFonts w:ascii="Arial" w:cs="Arial" w:eastAsia="Arial" w:hAnsi="Arial"/>
                <w:sz w:val="20"/>
                <w:szCs w:val="20"/>
                <w:color w:val="auto"/>
              </w:rPr>
              <w:t>0</w:t>
            </w:r>
          </w:p>
        </w:tc>
        <w:tc>
          <w:tcPr>
            <w:tcW w:w="720" w:type="dxa"/>
            <w:vAlign w:val="bottom"/>
          </w:tcPr>
          <w:p>
            <w:pPr>
              <w:ind w:left="24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6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480" w:type="dxa"/>
            <w:vAlign w:val="bottom"/>
          </w:tcPr>
          <w:p>
            <w:pPr>
              <w:jc w:val="right"/>
              <w:spacing w:after="0"/>
              <w:rPr>
                <w:sz w:val="20"/>
                <w:szCs w:val="20"/>
                <w:color w:val="auto"/>
              </w:rPr>
            </w:pPr>
            <w:r>
              <w:rPr>
                <w:rFonts w:ascii="Arial" w:cs="Arial" w:eastAsia="Arial" w:hAnsi="Arial"/>
                <w:sz w:val="20"/>
                <w:szCs w:val="20"/>
                <w:color w:val="auto"/>
              </w:rPr>
              <w:t>0</w:t>
            </w:r>
          </w:p>
        </w:tc>
        <w:tc>
          <w:tcPr>
            <w:tcW w:w="10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1560" w:type="dxa"/>
            <w:vAlign w:val="bottom"/>
            <w:shd w:val="clear" w:color="auto" w:fill="CFF0FC"/>
          </w:tcPr>
          <w:p>
            <w:pPr>
              <w:spacing w:after="0"/>
              <w:rPr>
                <w:sz w:val="20"/>
                <w:szCs w:val="20"/>
                <w:color w:val="auto"/>
              </w:rPr>
            </w:pPr>
            <w:r>
              <w:rPr>
                <w:rFonts w:ascii="Arial" w:cs="Arial" w:eastAsia="Arial" w:hAnsi="Arial"/>
                <w:sz w:val="20"/>
                <w:szCs w:val="20"/>
                <w:color w:val="auto"/>
              </w:rPr>
              <w:t>Harrison</w:t>
            </w:r>
          </w:p>
        </w:tc>
        <w:tc>
          <w:tcPr>
            <w:tcW w:w="9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w w:val="95"/>
              </w:rPr>
              <w:t>3301395</w:t>
            </w:r>
          </w:p>
        </w:tc>
        <w:tc>
          <w:tcPr>
            <w:tcW w:w="700" w:type="dxa"/>
            <w:vAlign w:val="bottom"/>
            <w:shd w:val="clear" w:color="auto" w:fill="CFF0FC"/>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shd w:val="clear" w:color="auto" w:fill="CFF0FC"/>
          </w:tcPr>
          <w:p>
            <w:pPr>
              <w:jc w:val="right"/>
              <w:ind w:right="28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8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6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10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26"/>
        </w:trPr>
        <w:tc>
          <w:tcPr>
            <w:tcW w:w="1560" w:type="dxa"/>
            <w:vAlign w:val="bottom"/>
          </w:tcPr>
          <w:p>
            <w:pPr>
              <w:spacing w:after="0" w:line="227" w:lineRule="exact"/>
              <w:rPr>
                <w:sz w:val="20"/>
                <w:szCs w:val="20"/>
                <w:color w:val="auto"/>
              </w:rPr>
            </w:pPr>
            <w:r>
              <w:rPr>
                <w:rFonts w:ascii="Arial" w:cs="Arial" w:eastAsia="Arial" w:hAnsi="Arial"/>
                <w:sz w:val="20"/>
                <w:szCs w:val="20"/>
                <w:color w:val="auto"/>
              </w:rPr>
              <w:t>Kentucky Ave</w:t>
            </w: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6"/>
        </w:trPr>
        <w:tc>
          <w:tcPr>
            <w:tcW w:w="1560" w:type="dxa"/>
            <w:vAlign w:val="bottom"/>
          </w:tcPr>
          <w:p>
            <w:pPr>
              <w:spacing w:after="0"/>
              <w:rPr>
                <w:sz w:val="20"/>
                <w:szCs w:val="20"/>
                <w:color w:val="auto"/>
              </w:rPr>
            </w:pPr>
            <w:r>
              <w:rPr>
                <w:rFonts w:ascii="Arial" w:cs="Arial" w:eastAsia="Arial" w:hAnsi="Arial"/>
                <w:sz w:val="20"/>
                <w:szCs w:val="20"/>
                <w:color w:val="auto"/>
              </w:rPr>
              <w:t>Mine</w:t>
            </w:r>
          </w:p>
        </w:tc>
        <w:tc>
          <w:tcPr>
            <w:tcW w:w="940" w:type="dxa"/>
            <w:vAlign w:val="bottom"/>
          </w:tcPr>
          <w:p>
            <w:pPr>
              <w:jc w:val="right"/>
              <w:ind w:right="81"/>
              <w:spacing w:after="0"/>
              <w:rPr>
                <w:sz w:val="20"/>
                <w:szCs w:val="20"/>
                <w:color w:val="auto"/>
              </w:rPr>
            </w:pPr>
            <w:r>
              <w:rPr>
                <w:rFonts w:ascii="Arial" w:cs="Arial" w:eastAsia="Arial" w:hAnsi="Arial"/>
                <w:sz w:val="20"/>
                <w:szCs w:val="20"/>
                <w:color w:val="auto"/>
                <w:w w:val="95"/>
              </w:rPr>
              <w:t>1201762</w:t>
            </w:r>
          </w:p>
        </w:tc>
        <w:tc>
          <w:tcPr>
            <w:tcW w:w="700" w:type="dxa"/>
            <w:vAlign w:val="bottom"/>
          </w:tcPr>
          <w:p>
            <w:pPr>
              <w:jc w:val="right"/>
              <w:ind w:right="301"/>
              <w:spacing w:after="0"/>
              <w:rPr>
                <w:sz w:val="20"/>
                <w:szCs w:val="20"/>
                <w:color w:val="auto"/>
              </w:rPr>
            </w:pPr>
            <w:r>
              <w:rPr>
                <w:rFonts w:ascii="Arial" w:cs="Arial" w:eastAsia="Arial" w:hAnsi="Arial"/>
                <w:sz w:val="20"/>
                <w:szCs w:val="20"/>
                <w:color w:val="auto"/>
              </w:rPr>
              <w:t>5</w:t>
            </w:r>
          </w:p>
        </w:tc>
        <w:tc>
          <w:tcPr>
            <w:tcW w:w="880" w:type="dxa"/>
            <w:vAlign w:val="bottom"/>
          </w:tcPr>
          <w:p>
            <w:pPr>
              <w:jc w:val="right"/>
              <w:ind w:right="281"/>
              <w:spacing w:after="0"/>
              <w:rPr>
                <w:sz w:val="20"/>
                <w:szCs w:val="20"/>
                <w:color w:val="auto"/>
              </w:rPr>
            </w:pPr>
            <w:r>
              <w:rPr>
                <w:rFonts w:ascii="Arial" w:cs="Arial" w:eastAsia="Arial" w:hAnsi="Arial"/>
                <w:sz w:val="20"/>
                <w:szCs w:val="20"/>
                <w:color w:val="auto"/>
              </w:rPr>
              <w:t>0</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340" w:type="dxa"/>
            <w:vAlign w:val="bottom"/>
          </w:tcPr>
          <w:p>
            <w:pPr>
              <w:jc w:val="right"/>
              <w:spacing w:after="0"/>
              <w:rPr>
                <w:sz w:val="20"/>
                <w:szCs w:val="20"/>
                <w:color w:val="auto"/>
              </w:rPr>
            </w:pPr>
            <w:r>
              <w:rPr>
                <w:rFonts w:ascii="Arial" w:cs="Arial" w:eastAsia="Arial" w:hAnsi="Arial"/>
                <w:sz w:val="20"/>
                <w:szCs w:val="20"/>
                <w:color w:val="auto"/>
              </w:rPr>
              <w:t>$</w:t>
            </w:r>
          </w:p>
        </w:tc>
        <w:tc>
          <w:tcPr>
            <w:tcW w:w="680" w:type="dxa"/>
            <w:vAlign w:val="bottom"/>
          </w:tcPr>
          <w:p>
            <w:pPr>
              <w:jc w:val="right"/>
              <w:ind w:right="41"/>
              <w:spacing w:after="0"/>
              <w:rPr>
                <w:sz w:val="20"/>
                <w:szCs w:val="20"/>
                <w:color w:val="auto"/>
              </w:rPr>
            </w:pPr>
            <w:r>
              <w:rPr>
                <w:rFonts w:ascii="Arial" w:cs="Arial" w:eastAsia="Arial" w:hAnsi="Arial"/>
                <w:sz w:val="20"/>
                <w:szCs w:val="20"/>
                <w:color w:val="auto"/>
              </w:rPr>
              <w:t>3,023</w:t>
            </w:r>
          </w:p>
        </w:tc>
        <w:tc>
          <w:tcPr>
            <w:tcW w:w="480" w:type="dxa"/>
            <w:vAlign w:val="bottom"/>
          </w:tcPr>
          <w:p>
            <w:pPr>
              <w:jc w:val="right"/>
              <w:ind w:right="121"/>
              <w:spacing w:after="0"/>
              <w:rPr>
                <w:sz w:val="20"/>
                <w:szCs w:val="20"/>
                <w:color w:val="auto"/>
              </w:rPr>
            </w:pPr>
            <w:r>
              <w:rPr>
                <w:rFonts w:ascii="Arial" w:cs="Arial" w:eastAsia="Arial" w:hAnsi="Arial"/>
                <w:sz w:val="20"/>
                <w:szCs w:val="20"/>
                <w:color w:val="auto"/>
              </w:rPr>
              <w:t>0</w:t>
            </w:r>
          </w:p>
        </w:tc>
        <w:tc>
          <w:tcPr>
            <w:tcW w:w="720" w:type="dxa"/>
            <w:vAlign w:val="bottom"/>
          </w:tcPr>
          <w:p>
            <w:pPr>
              <w:ind w:left="24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60" w:type="dxa"/>
            <w:vAlign w:val="bottom"/>
          </w:tcPr>
          <w:p>
            <w:pPr>
              <w:jc w:val="right"/>
              <w:ind w:right="221"/>
              <w:spacing w:after="0"/>
              <w:rPr>
                <w:sz w:val="20"/>
                <w:szCs w:val="20"/>
                <w:color w:val="auto"/>
              </w:rPr>
            </w:pPr>
            <w:r>
              <w:rPr>
                <w:rFonts w:ascii="Arial" w:cs="Arial" w:eastAsia="Arial" w:hAnsi="Arial"/>
                <w:sz w:val="20"/>
                <w:szCs w:val="20"/>
                <w:color w:val="auto"/>
              </w:rPr>
              <w:t>1</w:t>
            </w:r>
          </w:p>
        </w:tc>
        <w:tc>
          <w:tcPr>
            <w:tcW w:w="480" w:type="dxa"/>
            <w:vAlign w:val="bottom"/>
          </w:tcPr>
          <w:p>
            <w:pPr>
              <w:jc w:val="right"/>
              <w:spacing w:after="0"/>
              <w:rPr>
                <w:sz w:val="20"/>
                <w:szCs w:val="20"/>
                <w:color w:val="auto"/>
              </w:rPr>
            </w:pPr>
            <w:r>
              <w:rPr>
                <w:rFonts w:ascii="Arial" w:cs="Arial" w:eastAsia="Arial" w:hAnsi="Arial"/>
                <w:sz w:val="20"/>
                <w:szCs w:val="20"/>
                <w:color w:val="auto"/>
              </w:rPr>
              <w:t>1</w:t>
            </w:r>
          </w:p>
        </w:tc>
        <w:tc>
          <w:tcPr>
            <w:tcW w:w="10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1560" w:type="dxa"/>
            <w:vAlign w:val="bottom"/>
            <w:shd w:val="clear" w:color="auto" w:fill="CFF0FC"/>
          </w:tcPr>
          <w:p>
            <w:pPr>
              <w:spacing w:after="0"/>
              <w:rPr>
                <w:sz w:val="20"/>
                <w:szCs w:val="20"/>
                <w:color w:val="auto"/>
              </w:rPr>
            </w:pPr>
            <w:r>
              <w:rPr>
                <w:rFonts w:ascii="Arial" w:cs="Arial" w:eastAsia="Arial" w:hAnsi="Arial"/>
                <w:sz w:val="20"/>
                <w:szCs w:val="20"/>
                <w:color w:val="auto"/>
              </w:rPr>
              <w:t>Kokomo Mine</w:t>
            </w:r>
          </w:p>
        </w:tc>
        <w:tc>
          <w:tcPr>
            <w:tcW w:w="9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w w:val="95"/>
              </w:rPr>
              <w:t>1202105</w:t>
            </w:r>
          </w:p>
        </w:tc>
        <w:tc>
          <w:tcPr>
            <w:tcW w:w="700" w:type="dxa"/>
            <w:vAlign w:val="bottom"/>
            <w:shd w:val="clear" w:color="auto" w:fill="CFF0FC"/>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shd w:val="clear" w:color="auto" w:fill="CFF0FC"/>
          </w:tcPr>
          <w:p>
            <w:pPr>
              <w:jc w:val="right"/>
              <w:ind w:right="28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8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100</w:t>
            </w:r>
          </w:p>
        </w:tc>
        <w:tc>
          <w:tcPr>
            <w:tcW w:w="4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6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10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1560" w:type="dxa"/>
            <w:vAlign w:val="bottom"/>
          </w:tcPr>
          <w:p>
            <w:pPr>
              <w:spacing w:after="0"/>
              <w:rPr>
                <w:sz w:val="20"/>
                <w:szCs w:val="20"/>
                <w:color w:val="auto"/>
              </w:rPr>
            </w:pPr>
            <w:r>
              <w:rPr>
                <w:rFonts w:ascii="Arial" w:cs="Arial" w:eastAsia="Arial" w:hAnsi="Arial"/>
                <w:sz w:val="20"/>
                <w:szCs w:val="20"/>
                <w:color w:val="auto"/>
              </w:rPr>
              <w:t>Kokomo Sand</w:t>
            </w:r>
          </w:p>
        </w:tc>
        <w:tc>
          <w:tcPr>
            <w:tcW w:w="940" w:type="dxa"/>
            <w:vAlign w:val="bottom"/>
          </w:tcPr>
          <w:p>
            <w:pPr>
              <w:jc w:val="right"/>
              <w:ind w:right="81"/>
              <w:spacing w:after="0"/>
              <w:rPr>
                <w:sz w:val="20"/>
                <w:szCs w:val="20"/>
                <w:color w:val="auto"/>
              </w:rPr>
            </w:pPr>
            <w:r>
              <w:rPr>
                <w:rFonts w:ascii="Arial" w:cs="Arial" w:eastAsia="Arial" w:hAnsi="Arial"/>
                <w:sz w:val="20"/>
                <w:szCs w:val="20"/>
                <w:color w:val="auto"/>
                <w:w w:val="95"/>
              </w:rPr>
              <w:t>1202203</w:t>
            </w:r>
          </w:p>
        </w:tc>
        <w:tc>
          <w:tcPr>
            <w:tcW w:w="700" w:type="dxa"/>
            <w:vAlign w:val="bottom"/>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tcPr>
          <w:p>
            <w:pPr>
              <w:jc w:val="right"/>
              <w:ind w:right="281"/>
              <w:spacing w:after="0"/>
              <w:rPr>
                <w:sz w:val="20"/>
                <w:szCs w:val="20"/>
                <w:color w:val="auto"/>
              </w:rPr>
            </w:pPr>
            <w:r>
              <w:rPr>
                <w:rFonts w:ascii="Arial" w:cs="Arial" w:eastAsia="Arial" w:hAnsi="Arial"/>
                <w:sz w:val="20"/>
                <w:szCs w:val="20"/>
                <w:color w:val="auto"/>
              </w:rPr>
              <w:t>0</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340" w:type="dxa"/>
            <w:vAlign w:val="bottom"/>
          </w:tcPr>
          <w:p>
            <w:pPr>
              <w:jc w:val="right"/>
              <w:spacing w:after="0"/>
              <w:rPr>
                <w:sz w:val="20"/>
                <w:szCs w:val="20"/>
                <w:color w:val="auto"/>
              </w:rPr>
            </w:pPr>
            <w:r>
              <w:rPr>
                <w:rFonts w:ascii="Arial" w:cs="Arial" w:eastAsia="Arial" w:hAnsi="Arial"/>
                <w:sz w:val="20"/>
                <w:szCs w:val="20"/>
                <w:color w:val="auto"/>
              </w:rPr>
              <w:t>$</w:t>
            </w:r>
          </w:p>
        </w:tc>
        <w:tc>
          <w:tcPr>
            <w:tcW w:w="68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480" w:type="dxa"/>
            <w:vAlign w:val="bottom"/>
          </w:tcPr>
          <w:p>
            <w:pPr>
              <w:jc w:val="right"/>
              <w:ind w:right="121"/>
              <w:spacing w:after="0"/>
              <w:rPr>
                <w:sz w:val="20"/>
                <w:szCs w:val="20"/>
                <w:color w:val="auto"/>
              </w:rPr>
            </w:pPr>
            <w:r>
              <w:rPr>
                <w:rFonts w:ascii="Arial" w:cs="Arial" w:eastAsia="Arial" w:hAnsi="Arial"/>
                <w:sz w:val="20"/>
                <w:szCs w:val="20"/>
                <w:color w:val="auto"/>
              </w:rPr>
              <w:t>0</w:t>
            </w:r>
          </w:p>
        </w:tc>
        <w:tc>
          <w:tcPr>
            <w:tcW w:w="720" w:type="dxa"/>
            <w:vAlign w:val="bottom"/>
          </w:tcPr>
          <w:p>
            <w:pPr>
              <w:ind w:left="24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6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480" w:type="dxa"/>
            <w:vAlign w:val="bottom"/>
          </w:tcPr>
          <w:p>
            <w:pPr>
              <w:jc w:val="right"/>
              <w:spacing w:after="0"/>
              <w:rPr>
                <w:sz w:val="20"/>
                <w:szCs w:val="20"/>
                <w:color w:val="auto"/>
              </w:rPr>
            </w:pPr>
            <w:r>
              <w:rPr>
                <w:rFonts w:ascii="Arial" w:cs="Arial" w:eastAsia="Arial" w:hAnsi="Arial"/>
                <w:sz w:val="20"/>
                <w:szCs w:val="20"/>
                <w:color w:val="auto"/>
              </w:rPr>
              <w:t>0</w:t>
            </w:r>
          </w:p>
        </w:tc>
        <w:tc>
          <w:tcPr>
            <w:tcW w:w="10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1560" w:type="dxa"/>
            <w:vAlign w:val="bottom"/>
            <w:shd w:val="clear" w:color="auto" w:fill="CFF0FC"/>
          </w:tcPr>
          <w:p>
            <w:pPr>
              <w:spacing w:after="0"/>
              <w:rPr>
                <w:sz w:val="20"/>
                <w:szCs w:val="20"/>
                <w:color w:val="auto"/>
              </w:rPr>
            </w:pPr>
            <w:r>
              <w:rPr>
                <w:rFonts w:ascii="Arial" w:cs="Arial" w:eastAsia="Arial" w:hAnsi="Arial"/>
                <w:sz w:val="20"/>
                <w:szCs w:val="20"/>
                <w:color w:val="auto"/>
              </w:rPr>
              <w:t>Kokomo Stone</w:t>
            </w:r>
          </w:p>
        </w:tc>
        <w:tc>
          <w:tcPr>
            <w:tcW w:w="9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w w:val="95"/>
              </w:rPr>
              <w:t>1200142</w:t>
            </w:r>
          </w:p>
        </w:tc>
        <w:tc>
          <w:tcPr>
            <w:tcW w:w="700" w:type="dxa"/>
            <w:vAlign w:val="bottom"/>
            <w:shd w:val="clear" w:color="auto" w:fill="CFF0FC"/>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shd w:val="clear" w:color="auto" w:fill="CFF0FC"/>
          </w:tcPr>
          <w:p>
            <w:pPr>
              <w:jc w:val="right"/>
              <w:ind w:right="28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8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6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10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1560" w:type="dxa"/>
            <w:vAlign w:val="bottom"/>
          </w:tcPr>
          <w:p>
            <w:pPr>
              <w:spacing w:after="0"/>
              <w:rPr>
                <w:sz w:val="20"/>
                <w:szCs w:val="20"/>
                <w:color w:val="auto"/>
              </w:rPr>
            </w:pPr>
            <w:r>
              <w:rPr>
                <w:rFonts w:ascii="Arial" w:cs="Arial" w:eastAsia="Arial" w:hAnsi="Arial"/>
                <w:sz w:val="20"/>
                <w:szCs w:val="20"/>
                <w:color w:val="auto"/>
                <w:w w:val="96"/>
              </w:rPr>
              <w:t>Lynchburg Quarry</w:t>
            </w:r>
          </w:p>
        </w:tc>
        <w:tc>
          <w:tcPr>
            <w:tcW w:w="940" w:type="dxa"/>
            <w:vAlign w:val="bottom"/>
          </w:tcPr>
          <w:p>
            <w:pPr>
              <w:jc w:val="right"/>
              <w:ind w:right="81"/>
              <w:spacing w:after="0"/>
              <w:rPr>
                <w:sz w:val="20"/>
                <w:szCs w:val="20"/>
                <w:color w:val="auto"/>
              </w:rPr>
            </w:pPr>
            <w:r>
              <w:rPr>
                <w:rFonts w:ascii="Arial" w:cs="Arial" w:eastAsia="Arial" w:hAnsi="Arial"/>
                <w:sz w:val="20"/>
                <w:szCs w:val="20"/>
                <w:color w:val="auto"/>
                <w:w w:val="95"/>
              </w:rPr>
              <w:t>3304281</w:t>
            </w:r>
          </w:p>
        </w:tc>
        <w:tc>
          <w:tcPr>
            <w:tcW w:w="700" w:type="dxa"/>
            <w:vAlign w:val="bottom"/>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tcPr>
          <w:p>
            <w:pPr>
              <w:jc w:val="right"/>
              <w:ind w:right="281"/>
              <w:spacing w:after="0"/>
              <w:rPr>
                <w:sz w:val="20"/>
                <w:szCs w:val="20"/>
                <w:color w:val="auto"/>
              </w:rPr>
            </w:pPr>
            <w:r>
              <w:rPr>
                <w:rFonts w:ascii="Arial" w:cs="Arial" w:eastAsia="Arial" w:hAnsi="Arial"/>
                <w:sz w:val="20"/>
                <w:szCs w:val="20"/>
                <w:color w:val="auto"/>
              </w:rPr>
              <w:t>0</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340" w:type="dxa"/>
            <w:vAlign w:val="bottom"/>
          </w:tcPr>
          <w:p>
            <w:pPr>
              <w:jc w:val="right"/>
              <w:spacing w:after="0"/>
              <w:rPr>
                <w:sz w:val="20"/>
                <w:szCs w:val="20"/>
                <w:color w:val="auto"/>
              </w:rPr>
            </w:pPr>
            <w:r>
              <w:rPr>
                <w:rFonts w:ascii="Arial" w:cs="Arial" w:eastAsia="Arial" w:hAnsi="Arial"/>
                <w:sz w:val="20"/>
                <w:szCs w:val="20"/>
                <w:color w:val="auto"/>
              </w:rPr>
              <w:t>$</w:t>
            </w:r>
          </w:p>
        </w:tc>
        <w:tc>
          <w:tcPr>
            <w:tcW w:w="68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480" w:type="dxa"/>
            <w:vAlign w:val="bottom"/>
          </w:tcPr>
          <w:p>
            <w:pPr>
              <w:jc w:val="right"/>
              <w:ind w:right="121"/>
              <w:spacing w:after="0"/>
              <w:rPr>
                <w:sz w:val="20"/>
                <w:szCs w:val="20"/>
                <w:color w:val="auto"/>
              </w:rPr>
            </w:pPr>
            <w:r>
              <w:rPr>
                <w:rFonts w:ascii="Arial" w:cs="Arial" w:eastAsia="Arial" w:hAnsi="Arial"/>
                <w:sz w:val="20"/>
                <w:szCs w:val="20"/>
                <w:color w:val="auto"/>
              </w:rPr>
              <w:t>0</w:t>
            </w:r>
          </w:p>
        </w:tc>
        <w:tc>
          <w:tcPr>
            <w:tcW w:w="720" w:type="dxa"/>
            <w:vAlign w:val="bottom"/>
          </w:tcPr>
          <w:p>
            <w:pPr>
              <w:ind w:left="24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6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480" w:type="dxa"/>
            <w:vAlign w:val="bottom"/>
          </w:tcPr>
          <w:p>
            <w:pPr>
              <w:jc w:val="right"/>
              <w:spacing w:after="0"/>
              <w:rPr>
                <w:sz w:val="20"/>
                <w:szCs w:val="20"/>
                <w:color w:val="auto"/>
              </w:rPr>
            </w:pPr>
            <w:r>
              <w:rPr>
                <w:rFonts w:ascii="Arial" w:cs="Arial" w:eastAsia="Arial" w:hAnsi="Arial"/>
                <w:sz w:val="20"/>
                <w:szCs w:val="20"/>
                <w:color w:val="auto"/>
              </w:rPr>
              <w:t>0</w:t>
            </w:r>
          </w:p>
        </w:tc>
        <w:tc>
          <w:tcPr>
            <w:tcW w:w="10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1560" w:type="dxa"/>
            <w:vAlign w:val="bottom"/>
            <w:shd w:val="clear" w:color="auto" w:fill="CFF0FC"/>
          </w:tcPr>
          <w:p>
            <w:pPr>
              <w:spacing w:after="0"/>
              <w:rPr>
                <w:sz w:val="20"/>
                <w:szCs w:val="20"/>
                <w:color w:val="auto"/>
              </w:rPr>
            </w:pPr>
            <w:r>
              <w:rPr>
                <w:rFonts w:ascii="Arial" w:cs="Arial" w:eastAsia="Arial" w:hAnsi="Arial"/>
                <w:sz w:val="20"/>
                <w:szCs w:val="20"/>
                <w:color w:val="auto"/>
                <w:w w:val="93"/>
              </w:rPr>
              <w:t>Noblesville SandG</w:t>
            </w:r>
          </w:p>
        </w:tc>
        <w:tc>
          <w:tcPr>
            <w:tcW w:w="9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w w:val="95"/>
              </w:rPr>
              <w:t>1201994</w:t>
            </w:r>
          </w:p>
        </w:tc>
        <w:tc>
          <w:tcPr>
            <w:tcW w:w="700" w:type="dxa"/>
            <w:vAlign w:val="bottom"/>
            <w:shd w:val="clear" w:color="auto" w:fill="CFF0FC"/>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shd w:val="clear" w:color="auto" w:fill="CFF0FC"/>
          </w:tcPr>
          <w:p>
            <w:pPr>
              <w:jc w:val="right"/>
              <w:ind w:right="28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8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100</w:t>
            </w:r>
          </w:p>
        </w:tc>
        <w:tc>
          <w:tcPr>
            <w:tcW w:w="4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6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10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1560" w:type="dxa"/>
            <w:vAlign w:val="bottom"/>
          </w:tcPr>
          <w:p>
            <w:pPr>
              <w:spacing w:after="0"/>
              <w:rPr>
                <w:sz w:val="20"/>
                <w:szCs w:val="20"/>
                <w:color w:val="auto"/>
              </w:rPr>
            </w:pPr>
            <w:r>
              <w:rPr>
                <w:rFonts w:ascii="Arial" w:cs="Arial" w:eastAsia="Arial" w:hAnsi="Arial"/>
                <w:sz w:val="20"/>
                <w:szCs w:val="20"/>
                <w:color w:val="auto"/>
                <w:w w:val="99"/>
              </w:rPr>
              <w:t>Noblesville Stone</w:t>
            </w:r>
          </w:p>
        </w:tc>
        <w:tc>
          <w:tcPr>
            <w:tcW w:w="940" w:type="dxa"/>
            <w:vAlign w:val="bottom"/>
          </w:tcPr>
          <w:p>
            <w:pPr>
              <w:jc w:val="right"/>
              <w:ind w:right="81"/>
              <w:spacing w:after="0"/>
              <w:rPr>
                <w:sz w:val="20"/>
                <w:szCs w:val="20"/>
                <w:color w:val="auto"/>
              </w:rPr>
            </w:pPr>
            <w:r>
              <w:rPr>
                <w:rFonts w:ascii="Arial" w:cs="Arial" w:eastAsia="Arial" w:hAnsi="Arial"/>
                <w:sz w:val="20"/>
                <w:szCs w:val="20"/>
                <w:color w:val="auto"/>
                <w:w w:val="95"/>
              </w:rPr>
              <w:t>1202176</w:t>
            </w:r>
          </w:p>
        </w:tc>
        <w:tc>
          <w:tcPr>
            <w:tcW w:w="700" w:type="dxa"/>
            <w:vAlign w:val="bottom"/>
          </w:tcPr>
          <w:p>
            <w:pPr>
              <w:jc w:val="right"/>
              <w:ind w:right="301"/>
              <w:spacing w:after="0"/>
              <w:rPr>
                <w:sz w:val="20"/>
                <w:szCs w:val="20"/>
                <w:color w:val="auto"/>
              </w:rPr>
            </w:pPr>
            <w:r>
              <w:rPr>
                <w:rFonts w:ascii="Arial" w:cs="Arial" w:eastAsia="Arial" w:hAnsi="Arial"/>
                <w:sz w:val="20"/>
                <w:szCs w:val="20"/>
                <w:color w:val="auto"/>
              </w:rPr>
              <w:t>1</w:t>
            </w:r>
          </w:p>
        </w:tc>
        <w:tc>
          <w:tcPr>
            <w:tcW w:w="880" w:type="dxa"/>
            <w:vAlign w:val="bottom"/>
          </w:tcPr>
          <w:p>
            <w:pPr>
              <w:jc w:val="right"/>
              <w:ind w:right="281"/>
              <w:spacing w:after="0"/>
              <w:rPr>
                <w:sz w:val="20"/>
                <w:szCs w:val="20"/>
                <w:color w:val="auto"/>
              </w:rPr>
            </w:pPr>
            <w:r>
              <w:rPr>
                <w:rFonts w:ascii="Arial" w:cs="Arial" w:eastAsia="Arial" w:hAnsi="Arial"/>
                <w:sz w:val="20"/>
                <w:szCs w:val="20"/>
                <w:color w:val="auto"/>
              </w:rPr>
              <w:t>0</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340" w:type="dxa"/>
            <w:vAlign w:val="bottom"/>
          </w:tcPr>
          <w:p>
            <w:pPr>
              <w:jc w:val="right"/>
              <w:spacing w:after="0"/>
              <w:rPr>
                <w:sz w:val="20"/>
                <w:szCs w:val="20"/>
                <w:color w:val="auto"/>
              </w:rPr>
            </w:pPr>
            <w:r>
              <w:rPr>
                <w:rFonts w:ascii="Arial" w:cs="Arial" w:eastAsia="Arial" w:hAnsi="Arial"/>
                <w:sz w:val="20"/>
                <w:szCs w:val="20"/>
                <w:color w:val="auto"/>
              </w:rPr>
              <w:t>$</w:t>
            </w:r>
          </w:p>
        </w:tc>
        <w:tc>
          <w:tcPr>
            <w:tcW w:w="680" w:type="dxa"/>
            <w:vAlign w:val="bottom"/>
          </w:tcPr>
          <w:p>
            <w:pPr>
              <w:jc w:val="right"/>
              <w:ind w:right="41"/>
              <w:spacing w:after="0"/>
              <w:rPr>
                <w:sz w:val="20"/>
                <w:szCs w:val="20"/>
                <w:color w:val="auto"/>
              </w:rPr>
            </w:pPr>
            <w:r>
              <w:rPr>
                <w:rFonts w:ascii="Arial" w:cs="Arial" w:eastAsia="Arial" w:hAnsi="Arial"/>
                <w:sz w:val="20"/>
                <w:szCs w:val="20"/>
                <w:color w:val="auto"/>
              </w:rPr>
              <w:t>1,501</w:t>
            </w:r>
          </w:p>
        </w:tc>
        <w:tc>
          <w:tcPr>
            <w:tcW w:w="480" w:type="dxa"/>
            <w:vAlign w:val="bottom"/>
          </w:tcPr>
          <w:p>
            <w:pPr>
              <w:jc w:val="right"/>
              <w:ind w:right="121"/>
              <w:spacing w:after="0"/>
              <w:rPr>
                <w:sz w:val="20"/>
                <w:szCs w:val="20"/>
                <w:color w:val="auto"/>
              </w:rPr>
            </w:pPr>
            <w:r>
              <w:rPr>
                <w:rFonts w:ascii="Arial" w:cs="Arial" w:eastAsia="Arial" w:hAnsi="Arial"/>
                <w:sz w:val="20"/>
                <w:szCs w:val="20"/>
                <w:color w:val="auto"/>
              </w:rPr>
              <w:t>0</w:t>
            </w:r>
          </w:p>
        </w:tc>
        <w:tc>
          <w:tcPr>
            <w:tcW w:w="720" w:type="dxa"/>
            <w:vAlign w:val="bottom"/>
          </w:tcPr>
          <w:p>
            <w:pPr>
              <w:ind w:left="24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60" w:type="dxa"/>
            <w:vAlign w:val="bottom"/>
          </w:tcPr>
          <w:p>
            <w:pPr>
              <w:jc w:val="right"/>
              <w:ind w:right="221"/>
              <w:spacing w:after="0"/>
              <w:rPr>
                <w:sz w:val="20"/>
                <w:szCs w:val="20"/>
                <w:color w:val="auto"/>
              </w:rPr>
            </w:pPr>
            <w:r>
              <w:rPr>
                <w:rFonts w:ascii="Arial" w:cs="Arial" w:eastAsia="Arial" w:hAnsi="Arial"/>
                <w:sz w:val="20"/>
                <w:szCs w:val="20"/>
                <w:color w:val="auto"/>
              </w:rPr>
              <w:t>2</w:t>
            </w:r>
          </w:p>
        </w:tc>
        <w:tc>
          <w:tcPr>
            <w:tcW w:w="480" w:type="dxa"/>
            <w:vAlign w:val="bottom"/>
          </w:tcPr>
          <w:p>
            <w:pPr>
              <w:jc w:val="right"/>
              <w:spacing w:after="0"/>
              <w:rPr>
                <w:sz w:val="20"/>
                <w:szCs w:val="20"/>
                <w:color w:val="auto"/>
              </w:rPr>
            </w:pPr>
            <w:r>
              <w:rPr>
                <w:rFonts w:ascii="Arial" w:cs="Arial" w:eastAsia="Arial" w:hAnsi="Arial"/>
                <w:sz w:val="20"/>
                <w:szCs w:val="20"/>
                <w:color w:val="auto"/>
              </w:rPr>
              <w:t>0</w:t>
            </w:r>
          </w:p>
        </w:tc>
        <w:tc>
          <w:tcPr>
            <w:tcW w:w="1000" w:type="dxa"/>
            <w:vAlign w:val="bottom"/>
          </w:tcPr>
          <w:p>
            <w:pPr>
              <w:jc w:val="right"/>
              <w:ind w:right="221"/>
              <w:spacing w:after="0"/>
              <w:rPr>
                <w:sz w:val="20"/>
                <w:szCs w:val="20"/>
                <w:color w:val="auto"/>
              </w:rPr>
            </w:pPr>
            <w:r>
              <w:rPr>
                <w:rFonts w:ascii="Arial" w:cs="Arial" w:eastAsia="Arial" w:hAnsi="Arial"/>
                <w:sz w:val="20"/>
                <w:szCs w:val="20"/>
                <w:color w:val="auto"/>
              </w:rPr>
              <w:t>1</w:t>
            </w:r>
          </w:p>
        </w:tc>
        <w:tc>
          <w:tcPr>
            <w:tcW w:w="20" w:type="dxa"/>
            <w:vAlign w:val="bottom"/>
          </w:tcPr>
          <w:p>
            <w:pPr>
              <w:spacing w:after="0"/>
              <w:rPr>
                <w:sz w:val="21"/>
                <w:szCs w:val="21"/>
                <w:color w:val="auto"/>
              </w:rPr>
            </w:pPr>
          </w:p>
        </w:tc>
      </w:tr>
      <w:tr>
        <w:trPr>
          <w:trHeight w:val="243"/>
        </w:trPr>
        <w:tc>
          <w:tcPr>
            <w:tcW w:w="1560" w:type="dxa"/>
            <w:vAlign w:val="bottom"/>
            <w:shd w:val="clear" w:color="auto" w:fill="CFF0FC"/>
          </w:tcPr>
          <w:p>
            <w:pPr>
              <w:spacing w:after="0"/>
              <w:rPr>
                <w:sz w:val="20"/>
                <w:szCs w:val="20"/>
                <w:color w:val="auto"/>
              </w:rPr>
            </w:pPr>
            <w:r>
              <w:rPr>
                <w:rFonts w:ascii="Arial" w:cs="Arial" w:eastAsia="Arial" w:hAnsi="Arial"/>
                <w:sz w:val="20"/>
                <w:szCs w:val="20"/>
                <w:color w:val="auto"/>
                <w:w w:val="95"/>
              </w:rPr>
              <w:t>North Indianapolis</w:t>
            </w:r>
          </w:p>
        </w:tc>
        <w:tc>
          <w:tcPr>
            <w:tcW w:w="9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w w:val="95"/>
              </w:rPr>
              <w:t>1201993</w:t>
            </w:r>
          </w:p>
        </w:tc>
        <w:tc>
          <w:tcPr>
            <w:tcW w:w="700" w:type="dxa"/>
            <w:vAlign w:val="bottom"/>
            <w:shd w:val="clear" w:color="auto" w:fill="CFF0FC"/>
          </w:tcPr>
          <w:p>
            <w:pPr>
              <w:jc w:val="right"/>
              <w:ind w:right="301"/>
              <w:spacing w:after="0"/>
              <w:rPr>
                <w:sz w:val="20"/>
                <w:szCs w:val="20"/>
                <w:color w:val="auto"/>
              </w:rPr>
            </w:pPr>
            <w:r>
              <w:rPr>
                <w:rFonts w:ascii="Arial" w:cs="Arial" w:eastAsia="Arial" w:hAnsi="Arial"/>
                <w:sz w:val="20"/>
                <w:szCs w:val="20"/>
                <w:color w:val="auto"/>
              </w:rPr>
              <w:t>2</w:t>
            </w:r>
          </w:p>
        </w:tc>
        <w:tc>
          <w:tcPr>
            <w:tcW w:w="880" w:type="dxa"/>
            <w:vAlign w:val="bottom"/>
            <w:shd w:val="clear" w:color="auto" w:fill="CFF0FC"/>
          </w:tcPr>
          <w:p>
            <w:pPr>
              <w:jc w:val="right"/>
              <w:ind w:right="28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8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1,374</w:t>
            </w:r>
          </w:p>
        </w:tc>
        <w:tc>
          <w:tcPr>
            <w:tcW w:w="4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6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2</w:t>
            </w:r>
          </w:p>
        </w:tc>
        <w:tc>
          <w:tcPr>
            <w:tcW w:w="4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w:t>
            </w:r>
          </w:p>
        </w:tc>
        <w:tc>
          <w:tcPr>
            <w:tcW w:w="10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1560" w:type="dxa"/>
            <w:vAlign w:val="bottom"/>
          </w:tcPr>
          <w:p>
            <w:pPr>
              <w:spacing w:after="0"/>
              <w:rPr>
                <w:sz w:val="20"/>
                <w:szCs w:val="20"/>
                <w:color w:val="auto"/>
              </w:rPr>
            </w:pPr>
            <w:r>
              <w:rPr>
                <w:rFonts w:ascii="Arial" w:cs="Arial" w:eastAsia="Arial" w:hAnsi="Arial"/>
                <w:sz w:val="20"/>
                <w:szCs w:val="20"/>
                <w:color w:val="auto"/>
              </w:rPr>
              <w:t>Ohio Recycle</w:t>
            </w:r>
          </w:p>
        </w:tc>
        <w:tc>
          <w:tcPr>
            <w:tcW w:w="940" w:type="dxa"/>
            <w:vAlign w:val="bottom"/>
          </w:tcPr>
          <w:p>
            <w:pPr>
              <w:jc w:val="right"/>
              <w:ind w:right="81"/>
              <w:spacing w:after="0"/>
              <w:rPr>
                <w:sz w:val="20"/>
                <w:szCs w:val="20"/>
                <w:color w:val="auto"/>
              </w:rPr>
            </w:pPr>
            <w:r>
              <w:rPr>
                <w:rFonts w:ascii="Arial" w:cs="Arial" w:eastAsia="Arial" w:hAnsi="Arial"/>
                <w:sz w:val="20"/>
                <w:szCs w:val="20"/>
                <w:color w:val="auto"/>
                <w:w w:val="95"/>
              </w:rPr>
              <w:t>3304394</w:t>
            </w:r>
          </w:p>
        </w:tc>
        <w:tc>
          <w:tcPr>
            <w:tcW w:w="700" w:type="dxa"/>
            <w:vAlign w:val="bottom"/>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tcPr>
          <w:p>
            <w:pPr>
              <w:jc w:val="right"/>
              <w:ind w:right="281"/>
              <w:spacing w:after="0"/>
              <w:rPr>
                <w:sz w:val="20"/>
                <w:szCs w:val="20"/>
                <w:color w:val="auto"/>
              </w:rPr>
            </w:pPr>
            <w:r>
              <w:rPr>
                <w:rFonts w:ascii="Arial" w:cs="Arial" w:eastAsia="Arial" w:hAnsi="Arial"/>
                <w:sz w:val="20"/>
                <w:szCs w:val="20"/>
                <w:color w:val="auto"/>
              </w:rPr>
              <w:t>0</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340" w:type="dxa"/>
            <w:vAlign w:val="bottom"/>
          </w:tcPr>
          <w:p>
            <w:pPr>
              <w:jc w:val="right"/>
              <w:spacing w:after="0"/>
              <w:rPr>
                <w:sz w:val="20"/>
                <w:szCs w:val="20"/>
                <w:color w:val="auto"/>
              </w:rPr>
            </w:pPr>
            <w:r>
              <w:rPr>
                <w:rFonts w:ascii="Arial" w:cs="Arial" w:eastAsia="Arial" w:hAnsi="Arial"/>
                <w:sz w:val="20"/>
                <w:szCs w:val="20"/>
                <w:color w:val="auto"/>
              </w:rPr>
              <w:t>$</w:t>
            </w:r>
          </w:p>
        </w:tc>
        <w:tc>
          <w:tcPr>
            <w:tcW w:w="68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480" w:type="dxa"/>
            <w:vAlign w:val="bottom"/>
          </w:tcPr>
          <w:p>
            <w:pPr>
              <w:jc w:val="right"/>
              <w:ind w:right="121"/>
              <w:spacing w:after="0"/>
              <w:rPr>
                <w:sz w:val="20"/>
                <w:szCs w:val="20"/>
                <w:color w:val="auto"/>
              </w:rPr>
            </w:pPr>
            <w:r>
              <w:rPr>
                <w:rFonts w:ascii="Arial" w:cs="Arial" w:eastAsia="Arial" w:hAnsi="Arial"/>
                <w:sz w:val="20"/>
                <w:szCs w:val="20"/>
                <w:color w:val="auto"/>
              </w:rPr>
              <w:t>0</w:t>
            </w:r>
          </w:p>
        </w:tc>
        <w:tc>
          <w:tcPr>
            <w:tcW w:w="720" w:type="dxa"/>
            <w:vAlign w:val="bottom"/>
          </w:tcPr>
          <w:p>
            <w:pPr>
              <w:ind w:left="24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6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480" w:type="dxa"/>
            <w:vAlign w:val="bottom"/>
          </w:tcPr>
          <w:p>
            <w:pPr>
              <w:jc w:val="right"/>
              <w:spacing w:after="0"/>
              <w:rPr>
                <w:sz w:val="20"/>
                <w:szCs w:val="20"/>
                <w:color w:val="auto"/>
              </w:rPr>
            </w:pPr>
            <w:r>
              <w:rPr>
                <w:rFonts w:ascii="Arial" w:cs="Arial" w:eastAsia="Arial" w:hAnsi="Arial"/>
                <w:sz w:val="20"/>
                <w:szCs w:val="20"/>
                <w:color w:val="auto"/>
              </w:rPr>
              <w:t>0</w:t>
            </w:r>
          </w:p>
        </w:tc>
        <w:tc>
          <w:tcPr>
            <w:tcW w:w="10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1560" w:type="dxa"/>
            <w:vAlign w:val="bottom"/>
            <w:shd w:val="clear" w:color="auto" w:fill="CFF0FC"/>
          </w:tcPr>
          <w:p>
            <w:pPr>
              <w:spacing w:after="0"/>
              <w:rPr>
                <w:sz w:val="20"/>
                <w:szCs w:val="20"/>
                <w:color w:val="auto"/>
              </w:rPr>
            </w:pPr>
            <w:r>
              <w:rPr>
                <w:rFonts w:ascii="Arial" w:cs="Arial" w:eastAsia="Arial" w:hAnsi="Arial"/>
                <w:sz w:val="20"/>
                <w:szCs w:val="20"/>
                <w:color w:val="auto"/>
              </w:rPr>
              <w:t>Petersburg</w:t>
            </w:r>
          </w:p>
        </w:tc>
        <w:tc>
          <w:tcPr>
            <w:tcW w:w="9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w w:val="95"/>
              </w:rPr>
              <w:t>1516895</w:t>
            </w:r>
          </w:p>
        </w:tc>
        <w:tc>
          <w:tcPr>
            <w:tcW w:w="700" w:type="dxa"/>
            <w:vAlign w:val="bottom"/>
            <w:shd w:val="clear" w:color="auto" w:fill="CFF0FC"/>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shd w:val="clear" w:color="auto" w:fill="CFF0FC"/>
          </w:tcPr>
          <w:p>
            <w:pPr>
              <w:jc w:val="right"/>
              <w:ind w:right="28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8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6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10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1560" w:type="dxa"/>
            <w:vAlign w:val="bottom"/>
          </w:tcPr>
          <w:p>
            <w:pPr>
              <w:spacing w:after="0"/>
              <w:rPr>
                <w:sz w:val="20"/>
                <w:szCs w:val="20"/>
                <w:color w:val="auto"/>
              </w:rPr>
            </w:pPr>
            <w:r>
              <w:rPr>
                <w:rFonts w:ascii="Arial" w:cs="Arial" w:eastAsia="Arial" w:hAnsi="Arial"/>
                <w:sz w:val="20"/>
                <w:szCs w:val="20"/>
                <w:color w:val="auto"/>
              </w:rPr>
              <w:t>Phillipsburg</w:t>
            </w:r>
          </w:p>
        </w:tc>
        <w:tc>
          <w:tcPr>
            <w:tcW w:w="940" w:type="dxa"/>
            <w:vAlign w:val="bottom"/>
          </w:tcPr>
          <w:p>
            <w:pPr>
              <w:jc w:val="right"/>
              <w:ind w:right="81"/>
              <w:spacing w:after="0"/>
              <w:rPr>
                <w:sz w:val="20"/>
                <w:szCs w:val="20"/>
                <w:color w:val="auto"/>
              </w:rPr>
            </w:pPr>
            <w:r>
              <w:rPr>
                <w:rFonts w:ascii="Arial" w:cs="Arial" w:eastAsia="Arial" w:hAnsi="Arial"/>
                <w:sz w:val="20"/>
                <w:szCs w:val="20"/>
                <w:color w:val="auto"/>
                <w:w w:val="95"/>
              </w:rPr>
              <w:t>3300006</w:t>
            </w:r>
          </w:p>
        </w:tc>
        <w:tc>
          <w:tcPr>
            <w:tcW w:w="700" w:type="dxa"/>
            <w:vAlign w:val="bottom"/>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tcPr>
          <w:p>
            <w:pPr>
              <w:jc w:val="right"/>
              <w:ind w:right="281"/>
              <w:spacing w:after="0"/>
              <w:rPr>
                <w:sz w:val="20"/>
                <w:szCs w:val="20"/>
                <w:color w:val="auto"/>
              </w:rPr>
            </w:pPr>
            <w:r>
              <w:rPr>
                <w:rFonts w:ascii="Arial" w:cs="Arial" w:eastAsia="Arial" w:hAnsi="Arial"/>
                <w:sz w:val="20"/>
                <w:szCs w:val="20"/>
                <w:color w:val="auto"/>
              </w:rPr>
              <w:t>0</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340" w:type="dxa"/>
            <w:vAlign w:val="bottom"/>
          </w:tcPr>
          <w:p>
            <w:pPr>
              <w:jc w:val="right"/>
              <w:spacing w:after="0"/>
              <w:rPr>
                <w:sz w:val="20"/>
                <w:szCs w:val="20"/>
                <w:color w:val="auto"/>
              </w:rPr>
            </w:pPr>
            <w:r>
              <w:rPr>
                <w:rFonts w:ascii="Arial" w:cs="Arial" w:eastAsia="Arial" w:hAnsi="Arial"/>
                <w:sz w:val="20"/>
                <w:szCs w:val="20"/>
                <w:color w:val="auto"/>
              </w:rPr>
              <w:t>$</w:t>
            </w:r>
          </w:p>
        </w:tc>
        <w:tc>
          <w:tcPr>
            <w:tcW w:w="68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480" w:type="dxa"/>
            <w:vAlign w:val="bottom"/>
          </w:tcPr>
          <w:p>
            <w:pPr>
              <w:jc w:val="right"/>
              <w:ind w:right="121"/>
              <w:spacing w:after="0"/>
              <w:rPr>
                <w:sz w:val="20"/>
                <w:szCs w:val="20"/>
                <w:color w:val="auto"/>
              </w:rPr>
            </w:pPr>
            <w:r>
              <w:rPr>
                <w:rFonts w:ascii="Arial" w:cs="Arial" w:eastAsia="Arial" w:hAnsi="Arial"/>
                <w:sz w:val="20"/>
                <w:szCs w:val="20"/>
                <w:color w:val="auto"/>
              </w:rPr>
              <w:t>0</w:t>
            </w:r>
          </w:p>
        </w:tc>
        <w:tc>
          <w:tcPr>
            <w:tcW w:w="720" w:type="dxa"/>
            <w:vAlign w:val="bottom"/>
          </w:tcPr>
          <w:p>
            <w:pPr>
              <w:ind w:left="24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6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480" w:type="dxa"/>
            <w:vAlign w:val="bottom"/>
          </w:tcPr>
          <w:p>
            <w:pPr>
              <w:jc w:val="right"/>
              <w:spacing w:after="0"/>
              <w:rPr>
                <w:sz w:val="20"/>
                <w:szCs w:val="20"/>
                <w:color w:val="auto"/>
              </w:rPr>
            </w:pPr>
            <w:r>
              <w:rPr>
                <w:rFonts w:ascii="Arial" w:cs="Arial" w:eastAsia="Arial" w:hAnsi="Arial"/>
                <w:sz w:val="20"/>
                <w:szCs w:val="20"/>
                <w:color w:val="auto"/>
              </w:rPr>
              <w:t>0</w:t>
            </w:r>
          </w:p>
        </w:tc>
        <w:tc>
          <w:tcPr>
            <w:tcW w:w="10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1560" w:type="dxa"/>
            <w:vAlign w:val="bottom"/>
            <w:shd w:val="clear" w:color="auto" w:fill="CFF0FC"/>
          </w:tcPr>
          <w:p>
            <w:pPr>
              <w:spacing w:after="0"/>
              <w:rPr>
                <w:sz w:val="20"/>
                <w:szCs w:val="20"/>
                <w:color w:val="auto"/>
              </w:rPr>
            </w:pPr>
            <w:r>
              <w:rPr>
                <w:rFonts w:ascii="Arial" w:cs="Arial" w:eastAsia="Arial" w:hAnsi="Arial"/>
                <w:sz w:val="20"/>
                <w:szCs w:val="20"/>
                <w:color w:val="auto"/>
              </w:rPr>
              <w:t>Ross Gravel</w:t>
            </w:r>
          </w:p>
        </w:tc>
        <w:tc>
          <w:tcPr>
            <w:tcW w:w="9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w w:val="95"/>
              </w:rPr>
              <w:t>3301587</w:t>
            </w:r>
          </w:p>
        </w:tc>
        <w:tc>
          <w:tcPr>
            <w:tcW w:w="700" w:type="dxa"/>
            <w:vAlign w:val="bottom"/>
            <w:shd w:val="clear" w:color="auto" w:fill="CFF0FC"/>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shd w:val="clear" w:color="auto" w:fill="CFF0FC"/>
          </w:tcPr>
          <w:p>
            <w:pPr>
              <w:jc w:val="right"/>
              <w:ind w:right="28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8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6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10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1560" w:type="dxa"/>
            <w:vAlign w:val="bottom"/>
          </w:tcPr>
          <w:p>
            <w:pPr>
              <w:spacing w:after="0"/>
              <w:rPr>
                <w:sz w:val="20"/>
                <w:szCs w:val="20"/>
                <w:color w:val="auto"/>
              </w:rPr>
            </w:pPr>
            <w:r>
              <w:rPr>
                <w:rFonts w:ascii="Arial" w:cs="Arial" w:eastAsia="Arial" w:hAnsi="Arial"/>
                <w:sz w:val="20"/>
                <w:szCs w:val="20"/>
                <w:color w:val="auto"/>
              </w:rPr>
              <w:t>Shamrock SG</w:t>
            </w:r>
          </w:p>
        </w:tc>
        <w:tc>
          <w:tcPr>
            <w:tcW w:w="940" w:type="dxa"/>
            <w:vAlign w:val="bottom"/>
          </w:tcPr>
          <w:p>
            <w:pPr>
              <w:jc w:val="right"/>
              <w:ind w:right="81"/>
              <w:spacing w:after="0"/>
              <w:rPr>
                <w:sz w:val="20"/>
                <w:szCs w:val="20"/>
                <w:color w:val="auto"/>
              </w:rPr>
            </w:pPr>
            <w:r>
              <w:rPr>
                <w:rFonts w:ascii="Arial" w:cs="Arial" w:eastAsia="Arial" w:hAnsi="Arial"/>
                <w:sz w:val="20"/>
                <w:szCs w:val="20"/>
                <w:color w:val="auto"/>
                <w:w w:val="95"/>
              </w:rPr>
              <w:t>3304011</w:t>
            </w:r>
          </w:p>
        </w:tc>
        <w:tc>
          <w:tcPr>
            <w:tcW w:w="700" w:type="dxa"/>
            <w:vAlign w:val="bottom"/>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tcPr>
          <w:p>
            <w:pPr>
              <w:jc w:val="right"/>
              <w:ind w:right="281"/>
              <w:spacing w:after="0"/>
              <w:rPr>
                <w:sz w:val="20"/>
                <w:szCs w:val="20"/>
                <w:color w:val="auto"/>
              </w:rPr>
            </w:pPr>
            <w:r>
              <w:rPr>
                <w:rFonts w:ascii="Arial" w:cs="Arial" w:eastAsia="Arial" w:hAnsi="Arial"/>
                <w:sz w:val="20"/>
                <w:szCs w:val="20"/>
                <w:color w:val="auto"/>
              </w:rPr>
              <w:t>0</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340" w:type="dxa"/>
            <w:vAlign w:val="bottom"/>
          </w:tcPr>
          <w:p>
            <w:pPr>
              <w:jc w:val="right"/>
              <w:spacing w:after="0"/>
              <w:rPr>
                <w:sz w:val="20"/>
                <w:szCs w:val="20"/>
                <w:color w:val="auto"/>
              </w:rPr>
            </w:pPr>
            <w:r>
              <w:rPr>
                <w:rFonts w:ascii="Arial" w:cs="Arial" w:eastAsia="Arial" w:hAnsi="Arial"/>
                <w:sz w:val="20"/>
                <w:szCs w:val="20"/>
                <w:color w:val="auto"/>
              </w:rPr>
              <w:t>$</w:t>
            </w:r>
          </w:p>
        </w:tc>
        <w:tc>
          <w:tcPr>
            <w:tcW w:w="680" w:type="dxa"/>
            <w:vAlign w:val="bottom"/>
          </w:tcPr>
          <w:p>
            <w:pPr>
              <w:jc w:val="right"/>
              <w:ind w:right="41"/>
              <w:spacing w:after="0"/>
              <w:rPr>
                <w:sz w:val="20"/>
                <w:szCs w:val="20"/>
                <w:color w:val="auto"/>
              </w:rPr>
            </w:pPr>
            <w:r>
              <w:rPr>
                <w:rFonts w:ascii="Arial" w:cs="Arial" w:eastAsia="Arial" w:hAnsi="Arial"/>
                <w:sz w:val="20"/>
                <w:szCs w:val="20"/>
                <w:color w:val="auto"/>
              </w:rPr>
              <w:t>300</w:t>
            </w:r>
          </w:p>
        </w:tc>
        <w:tc>
          <w:tcPr>
            <w:tcW w:w="480" w:type="dxa"/>
            <w:vAlign w:val="bottom"/>
          </w:tcPr>
          <w:p>
            <w:pPr>
              <w:jc w:val="right"/>
              <w:ind w:right="121"/>
              <w:spacing w:after="0"/>
              <w:rPr>
                <w:sz w:val="20"/>
                <w:szCs w:val="20"/>
                <w:color w:val="auto"/>
              </w:rPr>
            </w:pPr>
            <w:r>
              <w:rPr>
                <w:rFonts w:ascii="Arial" w:cs="Arial" w:eastAsia="Arial" w:hAnsi="Arial"/>
                <w:sz w:val="20"/>
                <w:szCs w:val="20"/>
                <w:color w:val="auto"/>
              </w:rPr>
              <w:t>0</w:t>
            </w:r>
          </w:p>
        </w:tc>
        <w:tc>
          <w:tcPr>
            <w:tcW w:w="720" w:type="dxa"/>
            <w:vAlign w:val="bottom"/>
          </w:tcPr>
          <w:p>
            <w:pPr>
              <w:ind w:left="24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6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480" w:type="dxa"/>
            <w:vAlign w:val="bottom"/>
          </w:tcPr>
          <w:p>
            <w:pPr>
              <w:jc w:val="right"/>
              <w:spacing w:after="0"/>
              <w:rPr>
                <w:sz w:val="20"/>
                <w:szCs w:val="20"/>
                <w:color w:val="auto"/>
              </w:rPr>
            </w:pPr>
            <w:r>
              <w:rPr>
                <w:rFonts w:ascii="Arial" w:cs="Arial" w:eastAsia="Arial" w:hAnsi="Arial"/>
                <w:sz w:val="20"/>
                <w:szCs w:val="20"/>
                <w:color w:val="auto"/>
              </w:rPr>
              <w:t>0</w:t>
            </w:r>
          </w:p>
        </w:tc>
        <w:tc>
          <w:tcPr>
            <w:tcW w:w="10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1560" w:type="dxa"/>
            <w:vAlign w:val="bottom"/>
            <w:shd w:val="clear" w:color="auto" w:fill="CFF0FC"/>
          </w:tcPr>
          <w:p>
            <w:pPr>
              <w:spacing w:after="0"/>
              <w:rPr>
                <w:sz w:val="20"/>
                <w:szCs w:val="20"/>
                <w:color w:val="auto"/>
              </w:rPr>
            </w:pPr>
            <w:r>
              <w:rPr>
                <w:rFonts w:ascii="Arial" w:cs="Arial" w:eastAsia="Arial" w:hAnsi="Arial"/>
                <w:sz w:val="20"/>
                <w:szCs w:val="20"/>
                <w:color w:val="auto"/>
              </w:rPr>
              <w:t>Troy Gravel</w:t>
            </w:r>
          </w:p>
        </w:tc>
        <w:tc>
          <w:tcPr>
            <w:tcW w:w="9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w w:val="95"/>
              </w:rPr>
              <w:t>3301678</w:t>
            </w:r>
          </w:p>
        </w:tc>
        <w:tc>
          <w:tcPr>
            <w:tcW w:w="700" w:type="dxa"/>
            <w:vAlign w:val="bottom"/>
            <w:shd w:val="clear" w:color="auto" w:fill="CFF0FC"/>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shd w:val="clear" w:color="auto" w:fill="CFF0FC"/>
          </w:tcPr>
          <w:p>
            <w:pPr>
              <w:jc w:val="right"/>
              <w:ind w:right="28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8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6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10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50"/>
        </w:trPr>
        <w:tc>
          <w:tcPr>
            <w:tcW w:w="1560" w:type="dxa"/>
            <w:vAlign w:val="bottom"/>
          </w:tcPr>
          <w:p>
            <w:pPr>
              <w:spacing w:after="0"/>
              <w:rPr>
                <w:sz w:val="20"/>
                <w:szCs w:val="20"/>
                <w:color w:val="auto"/>
              </w:rPr>
            </w:pPr>
            <w:r>
              <w:rPr>
                <w:rFonts w:ascii="Arial" w:cs="Arial" w:eastAsia="Arial" w:hAnsi="Arial"/>
                <w:sz w:val="20"/>
                <w:szCs w:val="20"/>
                <w:color w:val="auto"/>
              </w:rPr>
              <w:t>Waverly Sand</w:t>
            </w:r>
          </w:p>
        </w:tc>
        <w:tc>
          <w:tcPr>
            <w:tcW w:w="940" w:type="dxa"/>
            <w:vAlign w:val="bottom"/>
          </w:tcPr>
          <w:p>
            <w:pPr>
              <w:jc w:val="right"/>
              <w:ind w:right="81"/>
              <w:spacing w:after="0"/>
              <w:rPr>
                <w:sz w:val="20"/>
                <w:szCs w:val="20"/>
                <w:color w:val="auto"/>
              </w:rPr>
            </w:pPr>
            <w:r>
              <w:rPr>
                <w:rFonts w:ascii="Arial" w:cs="Arial" w:eastAsia="Arial" w:hAnsi="Arial"/>
                <w:sz w:val="20"/>
                <w:szCs w:val="20"/>
                <w:color w:val="auto"/>
                <w:w w:val="95"/>
              </w:rPr>
              <w:t>1202038</w:t>
            </w:r>
          </w:p>
        </w:tc>
        <w:tc>
          <w:tcPr>
            <w:tcW w:w="700" w:type="dxa"/>
            <w:vAlign w:val="bottom"/>
          </w:tcPr>
          <w:p>
            <w:pPr>
              <w:jc w:val="right"/>
              <w:ind w:right="301"/>
              <w:spacing w:after="0"/>
              <w:rPr>
                <w:sz w:val="20"/>
                <w:szCs w:val="20"/>
                <w:color w:val="auto"/>
              </w:rPr>
            </w:pPr>
            <w:r>
              <w:rPr>
                <w:rFonts w:ascii="Arial" w:cs="Arial" w:eastAsia="Arial" w:hAnsi="Arial"/>
                <w:sz w:val="20"/>
                <w:szCs w:val="20"/>
                <w:color w:val="auto"/>
              </w:rPr>
              <w:t>1</w:t>
            </w:r>
          </w:p>
        </w:tc>
        <w:tc>
          <w:tcPr>
            <w:tcW w:w="880" w:type="dxa"/>
            <w:vAlign w:val="bottom"/>
          </w:tcPr>
          <w:p>
            <w:pPr>
              <w:jc w:val="right"/>
              <w:ind w:right="281"/>
              <w:spacing w:after="0"/>
              <w:rPr>
                <w:sz w:val="20"/>
                <w:szCs w:val="20"/>
                <w:color w:val="auto"/>
              </w:rPr>
            </w:pPr>
            <w:r>
              <w:rPr>
                <w:rFonts w:ascii="Arial" w:cs="Arial" w:eastAsia="Arial" w:hAnsi="Arial"/>
                <w:sz w:val="20"/>
                <w:szCs w:val="20"/>
                <w:color w:val="auto"/>
              </w:rPr>
              <w:t>0</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340" w:type="dxa"/>
            <w:vAlign w:val="bottom"/>
          </w:tcPr>
          <w:p>
            <w:pPr>
              <w:jc w:val="right"/>
              <w:spacing w:after="0"/>
              <w:rPr>
                <w:sz w:val="20"/>
                <w:szCs w:val="20"/>
                <w:color w:val="auto"/>
              </w:rPr>
            </w:pPr>
            <w:r>
              <w:rPr>
                <w:rFonts w:ascii="Arial" w:cs="Arial" w:eastAsia="Arial" w:hAnsi="Arial"/>
                <w:sz w:val="20"/>
                <w:szCs w:val="20"/>
                <w:color w:val="auto"/>
              </w:rPr>
              <w:t>$</w:t>
            </w:r>
          </w:p>
        </w:tc>
        <w:tc>
          <w:tcPr>
            <w:tcW w:w="680" w:type="dxa"/>
            <w:vAlign w:val="bottom"/>
          </w:tcPr>
          <w:p>
            <w:pPr>
              <w:jc w:val="right"/>
              <w:ind w:right="41"/>
              <w:spacing w:after="0"/>
              <w:rPr>
                <w:sz w:val="20"/>
                <w:szCs w:val="20"/>
                <w:color w:val="auto"/>
              </w:rPr>
            </w:pPr>
            <w:r>
              <w:rPr>
                <w:rFonts w:ascii="Arial" w:cs="Arial" w:eastAsia="Arial" w:hAnsi="Arial"/>
                <w:sz w:val="20"/>
                <w:szCs w:val="20"/>
                <w:color w:val="auto"/>
              </w:rPr>
              <w:t>600</w:t>
            </w:r>
          </w:p>
        </w:tc>
        <w:tc>
          <w:tcPr>
            <w:tcW w:w="480" w:type="dxa"/>
            <w:vAlign w:val="bottom"/>
          </w:tcPr>
          <w:p>
            <w:pPr>
              <w:jc w:val="right"/>
              <w:ind w:right="121"/>
              <w:spacing w:after="0"/>
              <w:rPr>
                <w:sz w:val="20"/>
                <w:szCs w:val="20"/>
                <w:color w:val="auto"/>
              </w:rPr>
            </w:pPr>
            <w:r>
              <w:rPr>
                <w:rFonts w:ascii="Arial" w:cs="Arial" w:eastAsia="Arial" w:hAnsi="Arial"/>
                <w:sz w:val="20"/>
                <w:szCs w:val="20"/>
                <w:color w:val="auto"/>
              </w:rPr>
              <w:t>0</w:t>
            </w:r>
          </w:p>
        </w:tc>
        <w:tc>
          <w:tcPr>
            <w:tcW w:w="720" w:type="dxa"/>
            <w:vAlign w:val="bottom"/>
          </w:tcPr>
          <w:p>
            <w:pPr>
              <w:ind w:left="24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6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480" w:type="dxa"/>
            <w:vAlign w:val="bottom"/>
          </w:tcPr>
          <w:p>
            <w:pPr>
              <w:jc w:val="right"/>
              <w:spacing w:after="0"/>
              <w:rPr>
                <w:sz w:val="20"/>
                <w:szCs w:val="20"/>
                <w:color w:val="auto"/>
              </w:rPr>
            </w:pPr>
            <w:r>
              <w:rPr>
                <w:rFonts w:ascii="Arial" w:cs="Arial" w:eastAsia="Arial" w:hAnsi="Arial"/>
                <w:sz w:val="20"/>
                <w:szCs w:val="20"/>
                <w:color w:val="auto"/>
              </w:rPr>
              <w:t>0</w:t>
            </w:r>
          </w:p>
        </w:tc>
        <w:tc>
          <w:tcPr>
            <w:tcW w:w="10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540"/>
        </w:trPr>
        <w:tc>
          <w:tcPr>
            <w:tcW w:w="15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2" w:right="219"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252"/>
        </w:trPr>
        <w:tc>
          <w:tcPr>
            <w:tcW w:w="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20" w:type="dxa"/>
            <w:vAlign w:val="bottom"/>
            <w:gridSpan w:val="2"/>
          </w:tcPr>
          <w:p>
            <w:pPr>
              <w:ind w:left="80"/>
              <w:spacing w:after="0"/>
              <w:rPr>
                <w:sz w:val="20"/>
                <w:szCs w:val="20"/>
                <w:color w:val="auto"/>
              </w:rPr>
            </w:pPr>
            <w:r>
              <w:rPr>
                <w:rFonts w:ascii="Arial" w:cs="Arial" w:eastAsia="Arial" w:hAnsi="Arial"/>
                <w:sz w:val="20"/>
                <w:szCs w:val="20"/>
                <w:color w:val="auto"/>
                <w:w w:val="91"/>
              </w:rPr>
              <w:t>Appendix 1</w:t>
            </w:r>
          </w:p>
        </w:tc>
        <w:tc>
          <w:tcPr>
            <w:tcW w:w="0" w:type="dxa"/>
            <w:vAlign w:val="bottom"/>
          </w:tcPr>
          <w:p>
            <w:pPr>
              <w:spacing w:after="0"/>
              <w:rPr>
                <w:sz w:val="1"/>
                <w:szCs w:val="1"/>
                <w:color w:val="auto"/>
              </w:rPr>
            </w:pPr>
          </w:p>
        </w:tc>
      </w:tr>
      <w:tr>
        <w:trPr>
          <w:trHeight w:val="226"/>
        </w:trPr>
        <w:tc>
          <w:tcPr>
            <w:tcW w:w="20" w:type="dxa"/>
            <w:vAlign w:val="bottom"/>
            <w:vMerge w:val="restart"/>
          </w:tcPr>
          <w:p>
            <w:pPr>
              <w:spacing w:after="0"/>
              <w:rPr>
                <w:sz w:val="19"/>
                <w:szCs w:val="19"/>
                <w:color w:val="auto"/>
              </w:rPr>
            </w:pPr>
          </w:p>
        </w:tc>
        <w:tc>
          <w:tcPr>
            <w:tcW w:w="15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1580" w:type="dxa"/>
            <w:vAlign w:val="bottom"/>
            <w:shd w:val="clear" w:color="auto" w:fill="CFF0FC"/>
          </w:tcPr>
          <w:p>
            <w:pPr>
              <w:spacing w:after="0"/>
              <w:rPr>
                <w:sz w:val="20"/>
                <w:szCs w:val="20"/>
                <w:color w:val="auto"/>
              </w:rPr>
            </w:pPr>
            <w:r>
              <w:rPr>
                <w:rFonts w:ascii="Arial" w:cs="Arial" w:eastAsia="Arial" w:hAnsi="Arial"/>
                <w:sz w:val="20"/>
                <w:szCs w:val="20"/>
                <w:color w:val="auto"/>
              </w:rPr>
              <w:t>Xenia</w:t>
            </w:r>
          </w:p>
        </w:tc>
        <w:tc>
          <w:tcPr>
            <w:tcW w:w="90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w w:val="89"/>
              </w:rPr>
              <w:t>3301393</w:t>
            </w:r>
          </w:p>
        </w:tc>
        <w:tc>
          <w:tcPr>
            <w:tcW w:w="700" w:type="dxa"/>
            <w:vAlign w:val="bottom"/>
            <w:shd w:val="clear" w:color="auto" w:fill="CFF0FC"/>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shd w:val="clear" w:color="auto" w:fill="CFF0FC"/>
          </w:tcPr>
          <w:p>
            <w:pPr>
              <w:jc w:val="right"/>
              <w:ind w:right="28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60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6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10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580" w:type="dxa"/>
            <w:vAlign w:val="bottom"/>
          </w:tcPr>
          <w:p>
            <w:pPr>
              <w:spacing w:after="0" w:line="227" w:lineRule="exact"/>
              <w:rPr>
                <w:sz w:val="20"/>
                <w:szCs w:val="20"/>
                <w:color w:val="auto"/>
              </w:rPr>
            </w:pPr>
            <w:r>
              <w:rPr>
                <w:rFonts w:ascii="Arial" w:cs="Arial" w:eastAsia="Arial" w:hAnsi="Arial"/>
                <w:sz w:val="20"/>
                <w:szCs w:val="20"/>
                <w:color w:val="auto"/>
              </w:rPr>
              <w:t>Alabaster Quarry</w:t>
            </w:r>
          </w:p>
        </w:tc>
        <w:tc>
          <w:tcPr>
            <w:tcW w:w="9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1600" w:type="dxa"/>
            <w:vAlign w:val="bottom"/>
            <w:gridSpan w:val="2"/>
          </w:tcPr>
          <w:p>
            <w:pPr>
              <w:spacing w:after="0"/>
              <w:rPr>
                <w:sz w:val="20"/>
                <w:szCs w:val="20"/>
                <w:color w:val="auto"/>
              </w:rPr>
            </w:pPr>
            <w:r>
              <w:rPr>
                <w:rFonts w:ascii="Arial" w:cs="Arial" w:eastAsia="Arial" w:hAnsi="Arial"/>
                <w:sz w:val="20"/>
                <w:szCs w:val="20"/>
                <w:color w:val="auto"/>
              </w:rPr>
              <w:t>Co19</w:t>
            </w:r>
          </w:p>
        </w:tc>
        <w:tc>
          <w:tcPr>
            <w:tcW w:w="900" w:type="dxa"/>
            <w:vAlign w:val="bottom"/>
          </w:tcPr>
          <w:p>
            <w:pPr>
              <w:jc w:val="right"/>
              <w:ind w:right="81"/>
              <w:spacing w:after="0"/>
              <w:rPr>
                <w:sz w:val="20"/>
                <w:szCs w:val="20"/>
                <w:color w:val="auto"/>
              </w:rPr>
            </w:pPr>
            <w:r>
              <w:rPr>
                <w:rFonts w:ascii="Arial" w:cs="Arial" w:eastAsia="Arial" w:hAnsi="Arial"/>
                <w:sz w:val="20"/>
                <w:szCs w:val="20"/>
                <w:color w:val="auto"/>
              </w:rPr>
              <w:t>103068</w:t>
            </w:r>
          </w:p>
        </w:tc>
        <w:tc>
          <w:tcPr>
            <w:tcW w:w="700" w:type="dxa"/>
            <w:vAlign w:val="bottom"/>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tcPr>
          <w:p>
            <w:pPr>
              <w:jc w:val="right"/>
              <w:ind w:right="281"/>
              <w:spacing w:after="0"/>
              <w:rPr>
                <w:sz w:val="20"/>
                <w:szCs w:val="20"/>
                <w:color w:val="auto"/>
              </w:rPr>
            </w:pPr>
            <w:r>
              <w:rPr>
                <w:rFonts w:ascii="Arial" w:cs="Arial" w:eastAsia="Arial" w:hAnsi="Arial"/>
                <w:sz w:val="20"/>
                <w:szCs w:val="20"/>
                <w:color w:val="auto"/>
              </w:rPr>
              <w:t>0</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42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60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480" w:type="dxa"/>
            <w:vAlign w:val="bottom"/>
          </w:tcPr>
          <w:p>
            <w:pPr>
              <w:jc w:val="right"/>
              <w:ind w:right="121"/>
              <w:spacing w:after="0"/>
              <w:rPr>
                <w:sz w:val="20"/>
                <w:szCs w:val="20"/>
                <w:color w:val="auto"/>
              </w:rPr>
            </w:pPr>
            <w:r>
              <w:rPr>
                <w:rFonts w:ascii="Arial" w:cs="Arial" w:eastAsia="Arial" w:hAnsi="Arial"/>
                <w:sz w:val="20"/>
                <w:szCs w:val="20"/>
                <w:color w:val="auto"/>
              </w:rPr>
              <w:t>0</w:t>
            </w:r>
          </w:p>
        </w:tc>
        <w:tc>
          <w:tcPr>
            <w:tcW w:w="720" w:type="dxa"/>
            <w:vAlign w:val="bottom"/>
          </w:tcPr>
          <w:p>
            <w:pPr>
              <w:ind w:left="24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6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480" w:type="dxa"/>
            <w:vAlign w:val="bottom"/>
          </w:tcPr>
          <w:p>
            <w:pPr>
              <w:jc w:val="right"/>
              <w:spacing w:after="0"/>
              <w:rPr>
                <w:sz w:val="20"/>
                <w:szCs w:val="20"/>
                <w:color w:val="auto"/>
              </w:rPr>
            </w:pPr>
            <w:r>
              <w:rPr>
                <w:rFonts w:ascii="Arial" w:cs="Arial" w:eastAsia="Arial" w:hAnsi="Arial"/>
                <w:sz w:val="20"/>
                <w:szCs w:val="20"/>
                <w:color w:val="auto"/>
              </w:rPr>
              <w:t>0</w:t>
            </w:r>
          </w:p>
        </w:tc>
        <w:tc>
          <w:tcPr>
            <w:tcW w:w="10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580" w:type="dxa"/>
            <w:vAlign w:val="bottom"/>
            <w:shd w:val="clear" w:color="auto" w:fill="CFF0FC"/>
          </w:tcPr>
          <w:p>
            <w:pPr>
              <w:spacing w:after="0"/>
              <w:rPr>
                <w:sz w:val="20"/>
                <w:szCs w:val="20"/>
                <w:color w:val="auto"/>
              </w:rPr>
            </w:pPr>
            <w:r>
              <w:rPr>
                <w:rFonts w:ascii="Arial" w:cs="Arial" w:eastAsia="Arial" w:hAnsi="Arial"/>
                <w:sz w:val="20"/>
                <w:szCs w:val="20"/>
                <w:color w:val="auto"/>
              </w:rPr>
              <w:t>Appling Quarry</w:t>
            </w:r>
          </w:p>
        </w:tc>
        <w:tc>
          <w:tcPr>
            <w:tcW w:w="90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901083</w:t>
            </w:r>
          </w:p>
        </w:tc>
        <w:tc>
          <w:tcPr>
            <w:tcW w:w="700" w:type="dxa"/>
            <w:vAlign w:val="bottom"/>
            <w:shd w:val="clear" w:color="auto" w:fill="CFF0FC"/>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shd w:val="clear" w:color="auto" w:fill="CFF0FC"/>
          </w:tcPr>
          <w:p>
            <w:pPr>
              <w:jc w:val="right"/>
              <w:ind w:right="28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60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6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10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580" w:type="dxa"/>
            <w:vAlign w:val="bottom"/>
          </w:tcPr>
          <w:p>
            <w:pPr>
              <w:spacing w:after="0"/>
              <w:rPr>
                <w:sz w:val="20"/>
                <w:szCs w:val="20"/>
                <w:color w:val="auto"/>
              </w:rPr>
            </w:pPr>
            <w:r>
              <w:rPr>
                <w:rFonts w:ascii="Arial" w:cs="Arial" w:eastAsia="Arial" w:hAnsi="Arial"/>
                <w:sz w:val="20"/>
                <w:szCs w:val="20"/>
                <w:color w:val="auto"/>
              </w:rPr>
              <w:t>Auburn Al Quarry</w:t>
            </w:r>
          </w:p>
        </w:tc>
        <w:tc>
          <w:tcPr>
            <w:tcW w:w="900" w:type="dxa"/>
            <w:vAlign w:val="bottom"/>
          </w:tcPr>
          <w:p>
            <w:pPr>
              <w:jc w:val="right"/>
              <w:ind w:right="81"/>
              <w:spacing w:after="0"/>
              <w:rPr>
                <w:sz w:val="20"/>
                <w:szCs w:val="20"/>
                <w:color w:val="auto"/>
              </w:rPr>
            </w:pPr>
            <w:r>
              <w:rPr>
                <w:rFonts w:ascii="Arial" w:cs="Arial" w:eastAsia="Arial" w:hAnsi="Arial"/>
                <w:sz w:val="20"/>
                <w:szCs w:val="20"/>
                <w:color w:val="auto"/>
              </w:rPr>
              <w:t>100006</w:t>
            </w:r>
          </w:p>
        </w:tc>
        <w:tc>
          <w:tcPr>
            <w:tcW w:w="700" w:type="dxa"/>
            <w:vAlign w:val="bottom"/>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tcPr>
          <w:p>
            <w:pPr>
              <w:jc w:val="right"/>
              <w:ind w:right="281"/>
              <w:spacing w:after="0"/>
              <w:rPr>
                <w:sz w:val="20"/>
                <w:szCs w:val="20"/>
                <w:color w:val="auto"/>
              </w:rPr>
            </w:pPr>
            <w:r>
              <w:rPr>
                <w:rFonts w:ascii="Arial" w:cs="Arial" w:eastAsia="Arial" w:hAnsi="Arial"/>
                <w:sz w:val="20"/>
                <w:szCs w:val="20"/>
                <w:color w:val="auto"/>
              </w:rPr>
              <w:t>0</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42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60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480" w:type="dxa"/>
            <w:vAlign w:val="bottom"/>
          </w:tcPr>
          <w:p>
            <w:pPr>
              <w:jc w:val="right"/>
              <w:ind w:right="121"/>
              <w:spacing w:after="0"/>
              <w:rPr>
                <w:sz w:val="20"/>
                <w:szCs w:val="20"/>
                <w:color w:val="auto"/>
              </w:rPr>
            </w:pPr>
            <w:r>
              <w:rPr>
                <w:rFonts w:ascii="Arial" w:cs="Arial" w:eastAsia="Arial" w:hAnsi="Arial"/>
                <w:sz w:val="20"/>
                <w:szCs w:val="20"/>
                <w:color w:val="auto"/>
              </w:rPr>
              <w:t>0</w:t>
            </w:r>
          </w:p>
        </w:tc>
        <w:tc>
          <w:tcPr>
            <w:tcW w:w="720" w:type="dxa"/>
            <w:vAlign w:val="bottom"/>
          </w:tcPr>
          <w:p>
            <w:pPr>
              <w:ind w:left="24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6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480" w:type="dxa"/>
            <w:vAlign w:val="bottom"/>
          </w:tcPr>
          <w:p>
            <w:pPr>
              <w:jc w:val="right"/>
              <w:spacing w:after="0"/>
              <w:rPr>
                <w:sz w:val="20"/>
                <w:szCs w:val="20"/>
                <w:color w:val="auto"/>
              </w:rPr>
            </w:pPr>
            <w:r>
              <w:rPr>
                <w:rFonts w:ascii="Arial" w:cs="Arial" w:eastAsia="Arial" w:hAnsi="Arial"/>
                <w:sz w:val="20"/>
                <w:szCs w:val="20"/>
                <w:color w:val="auto"/>
              </w:rPr>
              <w:t>0</w:t>
            </w:r>
          </w:p>
        </w:tc>
        <w:tc>
          <w:tcPr>
            <w:tcW w:w="10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580" w:type="dxa"/>
            <w:vAlign w:val="bottom"/>
            <w:shd w:val="clear" w:color="auto" w:fill="CFF0FC"/>
          </w:tcPr>
          <w:p>
            <w:pPr>
              <w:spacing w:after="0"/>
              <w:rPr>
                <w:sz w:val="20"/>
                <w:szCs w:val="20"/>
                <w:color w:val="auto"/>
              </w:rPr>
            </w:pPr>
            <w:r>
              <w:rPr>
                <w:rFonts w:ascii="Arial" w:cs="Arial" w:eastAsia="Arial" w:hAnsi="Arial"/>
                <w:sz w:val="20"/>
                <w:szCs w:val="20"/>
                <w:color w:val="auto"/>
                <w:w w:val="94"/>
              </w:rPr>
              <w:t>Auburn GA Quarry</w:t>
            </w:r>
          </w:p>
        </w:tc>
        <w:tc>
          <w:tcPr>
            <w:tcW w:w="90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900436</w:t>
            </w:r>
          </w:p>
        </w:tc>
        <w:tc>
          <w:tcPr>
            <w:tcW w:w="700" w:type="dxa"/>
            <w:vAlign w:val="bottom"/>
            <w:shd w:val="clear" w:color="auto" w:fill="CFF0FC"/>
          </w:tcPr>
          <w:p>
            <w:pPr>
              <w:jc w:val="right"/>
              <w:ind w:right="301"/>
              <w:spacing w:after="0"/>
              <w:rPr>
                <w:sz w:val="20"/>
                <w:szCs w:val="20"/>
                <w:color w:val="auto"/>
              </w:rPr>
            </w:pPr>
            <w:r>
              <w:rPr>
                <w:rFonts w:ascii="Arial" w:cs="Arial" w:eastAsia="Arial" w:hAnsi="Arial"/>
                <w:sz w:val="20"/>
                <w:szCs w:val="20"/>
                <w:color w:val="auto"/>
              </w:rPr>
              <w:t>2</w:t>
            </w:r>
          </w:p>
        </w:tc>
        <w:tc>
          <w:tcPr>
            <w:tcW w:w="880" w:type="dxa"/>
            <w:vAlign w:val="bottom"/>
            <w:shd w:val="clear" w:color="auto" w:fill="CFF0FC"/>
          </w:tcPr>
          <w:p>
            <w:pPr>
              <w:jc w:val="right"/>
              <w:ind w:right="28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60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352</w:t>
            </w:r>
          </w:p>
        </w:tc>
        <w:tc>
          <w:tcPr>
            <w:tcW w:w="4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6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10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580" w:type="dxa"/>
            <w:vAlign w:val="bottom"/>
          </w:tcPr>
          <w:p>
            <w:pPr>
              <w:spacing w:after="0" w:line="227" w:lineRule="exact"/>
              <w:rPr>
                <w:sz w:val="20"/>
                <w:szCs w:val="20"/>
                <w:color w:val="auto"/>
              </w:rPr>
            </w:pPr>
            <w:r>
              <w:rPr>
                <w:rFonts w:ascii="Arial" w:cs="Arial" w:eastAsia="Arial" w:hAnsi="Arial"/>
                <w:sz w:val="20"/>
                <w:szCs w:val="20"/>
                <w:color w:val="auto"/>
              </w:rPr>
              <w:t>Augusta Quarry-</w:t>
            </w:r>
          </w:p>
        </w:tc>
        <w:tc>
          <w:tcPr>
            <w:tcW w:w="9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1600" w:type="dxa"/>
            <w:vAlign w:val="bottom"/>
            <w:gridSpan w:val="2"/>
          </w:tcPr>
          <w:p>
            <w:pPr>
              <w:spacing w:after="0"/>
              <w:rPr>
                <w:sz w:val="20"/>
                <w:szCs w:val="20"/>
                <w:color w:val="auto"/>
              </w:rPr>
            </w:pPr>
            <w:r>
              <w:rPr>
                <w:rFonts w:ascii="Arial" w:cs="Arial" w:eastAsia="Arial" w:hAnsi="Arial"/>
                <w:sz w:val="20"/>
                <w:szCs w:val="20"/>
                <w:color w:val="auto"/>
              </w:rPr>
              <w:t>GA</w:t>
            </w:r>
          </w:p>
        </w:tc>
        <w:tc>
          <w:tcPr>
            <w:tcW w:w="900" w:type="dxa"/>
            <w:vAlign w:val="bottom"/>
          </w:tcPr>
          <w:p>
            <w:pPr>
              <w:jc w:val="right"/>
              <w:ind w:right="81"/>
              <w:spacing w:after="0"/>
              <w:rPr>
                <w:sz w:val="20"/>
                <w:szCs w:val="20"/>
                <w:color w:val="auto"/>
              </w:rPr>
            </w:pPr>
            <w:r>
              <w:rPr>
                <w:rFonts w:ascii="Arial" w:cs="Arial" w:eastAsia="Arial" w:hAnsi="Arial"/>
                <w:sz w:val="20"/>
                <w:szCs w:val="20"/>
                <w:color w:val="auto"/>
              </w:rPr>
              <w:t>900065</w:t>
            </w:r>
          </w:p>
        </w:tc>
        <w:tc>
          <w:tcPr>
            <w:tcW w:w="700" w:type="dxa"/>
            <w:vAlign w:val="bottom"/>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tcPr>
          <w:p>
            <w:pPr>
              <w:jc w:val="right"/>
              <w:ind w:right="281"/>
              <w:spacing w:after="0"/>
              <w:rPr>
                <w:sz w:val="20"/>
                <w:szCs w:val="20"/>
                <w:color w:val="auto"/>
              </w:rPr>
            </w:pPr>
            <w:r>
              <w:rPr>
                <w:rFonts w:ascii="Arial" w:cs="Arial" w:eastAsia="Arial" w:hAnsi="Arial"/>
                <w:sz w:val="20"/>
                <w:szCs w:val="20"/>
                <w:color w:val="auto"/>
              </w:rPr>
              <w:t>0</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42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60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480" w:type="dxa"/>
            <w:vAlign w:val="bottom"/>
          </w:tcPr>
          <w:p>
            <w:pPr>
              <w:jc w:val="right"/>
              <w:ind w:right="121"/>
              <w:spacing w:after="0"/>
              <w:rPr>
                <w:sz w:val="20"/>
                <w:szCs w:val="20"/>
                <w:color w:val="auto"/>
              </w:rPr>
            </w:pPr>
            <w:r>
              <w:rPr>
                <w:rFonts w:ascii="Arial" w:cs="Arial" w:eastAsia="Arial" w:hAnsi="Arial"/>
                <w:sz w:val="20"/>
                <w:szCs w:val="20"/>
                <w:color w:val="auto"/>
              </w:rPr>
              <w:t>0</w:t>
            </w:r>
          </w:p>
        </w:tc>
        <w:tc>
          <w:tcPr>
            <w:tcW w:w="720" w:type="dxa"/>
            <w:vAlign w:val="bottom"/>
          </w:tcPr>
          <w:p>
            <w:pPr>
              <w:ind w:left="24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6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480" w:type="dxa"/>
            <w:vAlign w:val="bottom"/>
          </w:tcPr>
          <w:p>
            <w:pPr>
              <w:jc w:val="right"/>
              <w:spacing w:after="0"/>
              <w:rPr>
                <w:sz w:val="20"/>
                <w:szCs w:val="20"/>
                <w:color w:val="auto"/>
              </w:rPr>
            </w:pPr>
            <w:r>
              <w:rPr>
                <w:rFonts w:ascii="Arial" w:cs="Arial" w:eastAsia="Arial" w:hAnsi="Arial"/>
                <w:sz w:val="20"/>
                <w:szCs w:val="20"/>
                <w:color w:val="auto"/>
              </w:rPr>
              <w:t>0</w:t>
            </w:r>
          </w:p>
        </w:tc>
        <w:tc>
          <w:tcPr>
            <w:tcW w:w="10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580" w:type="dxa"/>
            <w:vAlign w:val="bottom"/>
            <w:shd w:val="clear" w:color="auto" w:fill="CFF0FC"/>
          </w:tcPr>
          <w:p>
            <w:pPr>
              <w:spacing w:after="0"/>
              <w:rPr>
                <w:sz w:val="20"/>
                <w:szCs w:val="20"/>
                <w:color w:val="auto"/>
              </w:rPr>
            </w:pPr>
            <w:r>
              <w:rPr>
                <w:rFonts w:ascii="Arial" w:cs="Arial" w:eastAsia="Arial" w:hAnsi="Arial"/>
                <w:sz w:val="20"/>
                <w:szCs w:val="20"/>
                <w:color w:val="auto"/>
                <w:w w:val="98"/>
              </w:rPr>
              <w:t>Birmingham Shop</w:t>
            </w:r>
          </w:p>
        </w:tc>
        <w:tc>
          <w:tcPr>
            <w:tcW w:w="90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102096</w:t>
            </w:r>
          </w:p>
        </w:tc>
        <w:tc>
          <w:tcPr>
            <w:tcW w:w="700" w:type="dxa"/>
            <w:vAlign w:val="bottom"/>
            <w:shd w:val="clear" w:color="auto" w:fill="CFF0FC"/>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shd w:val="clear" w:color="auto" w:fill="CFF0FC"/>
          </w:tcPr>
          <w:p>
            <w:pPr>
              <w:jc w:val="right"/>
              <w:ind w:right="28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60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6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10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580" w:type="dxa"/>
            <w:vAlign w:val="bottom"/>
          </w:tcPr>
          <w:p>
            <w:pPr>
              <w:spacing w:after="0" w:line="227" w:lineRule="exact"/>
              <w:rPr>
                <w:sz w:val="20"/>
                <w:szCs w:val="20"/>
                <w:color w:val="auto"/>
              </w:rPr>
            </w:pPr>
            <w:r>
              <w:rPr>
                <w:rFonts w:ascii="Arial" w:cs="Arial" w:eastAsia="Arial" w:hAnsi="Arial"/>
                <w:sz w:val="20"/>
                <w:szCs w:val="20"/>
                <w:color w:val="auto"/>
              </w:rPr>
              <w:t>Cabbage Grove</w:t>
            </w:r>
          </w:p>
        </w:tc>
        <w:tc>
          <w:tcPr>
            <w:tcW w:w="9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1600" w:type="dxa"/>
            <w:vAlign w:val="bottom"/>
            <w:gridSpan w:val="2"/>
          </w:tcPr>
          <w:p>
            <w:pPr>
              <w:spacing w:after="0"/>
              <w:rPr>
                <w:sz w:val="20"/>
                <w:szCs w:val="20"/>
                <w:color w:val="auto"/>
              </w:rPr>
            </w:pPr>
            <w:r>
              <w:rPr>
                <w:rFonts w:ascii="Arial" w:cs="Arial" w:eastAsia="Arial" w:hAnsi="Arial"/>
                <w:sz w:val="20"/>
                <w:szCs w:val="20"/>
                <w:color w:val="auto"/>
              </w:rPr>
              <w:t>Quarry</w:t>
            </w:r>
          </w:p>
        </w:tc>
        <w:tc>
          <w:tcPr>
            <w:tcW w:w="900" w:type="dxa"/>
            <w:vAlign w:val="bottom"/>
          </w:tcPr>
          <w:p>
            <w:pPr>
              <w:jc w:val="right"/>
              <w:ind w:right="81"/>
              <w:spacing w:after="0"/>
              <w:rPr>
                <w:sz w:val="20"/>
                <w:szCs w:val="20"/>
                <w:color w:val="auto"/>
              </w:rPr>
            </w:pPr>
            <w:r>
              <w:rPr>
                <w:rFonts w:ascii="Arial" w:cs="Arial" w:eastAsia="Arial" w:hAnsi="Arial"/>
                <w:sz w:val="20"/>
                <w:szCs w:val="20"/>
                <w:color w:val="auto"/>
              </w:rPr>
              <w:t>800008</w:t>
            </w:r>
          </w:p>
        </w:tc>
        <w:tc>
          <w:tcPr>
            <w:tcW w:w="700" w:type="dxa"/>
            <w:vAlign w:val="bottom"/>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tcPr>
          <w:p>
            <w:pPr>
              <w:jc w:val="right"/>
              <w:ind w:right="281"/>
              <w:spacing w:after="0"/>
              <w:rPr>
                <w:sz w:val="20"/>
                <w:szCs w:val="20"/>
                <w:color w:val="auto"/>
              </w:rPr>
            </w:pPr>
            <w:r>
              <w:rPr>
                <w:rFonts w:ascii="Arial" w:cs="Arial" w:eastAsia="Arial" w:hAnsi="Arial"/>
                <w:sz w:val="20"/>
                <w:szCs w:val="20"/>
                <w:color w:val="auto"/>
              </w:rPr>
              <w:t>0</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42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60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480" w:type="dxa"/>
            <w:vAlign w:val="bottom"/>
          </w:tcPr>
          <w:p>
            <w:pPr>
              <w:jc w:val="right"/>
              <w:ind w:right="121"/>
              <w:spacing w:after="0"/>
              <w:rPr>
                <w:sz w:val="20"/>
                <w:szCs w:val="20"/>
                <w:color w:val="auto"/>
              </w:rPr>
            </w:pPr>
            <w:r>
              <w:rPr>
                <w:rFonts w:ascii="Arial" w:cs="Arial" w:eastAsia="Arial" w:hAnsi="Arial"/>
                <w:sz w:val="20"/>
                <w:szCs w:val="20"/>
                <w:color w:val="auto"/>
              </w:rPr>
              <w:t>0</w:t>
            </w:r>
          </w:p>
        </w:tc>
        <w:tc>
          <w:tcPr>
            <w:tcW w:w="720" w:type="dxa"/>
            <w:vAlign w:val="bottom"/>
          </w:tcPr>
          <w:p>
            <w:pPr>
              <w:ind w:left="24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6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480" w:type="dxa"/>
            <w:vAlign w:val="bottom"/>
          </w:tcPr>
          <w:p>
            <w:pPr>
              <w:jc w:val="right"/>
              <w:spacing w:after="0"/>
              <w:rPr>
                <w:sz w:val="20"/>
                <w:szCs w:val="20"/>
                <w:color w:val="auto"/>
              </w:rPr>
            </w:pPr>
            <w:r>
              <w:rPr>
                <w:rFonts w:ascii="Arial" w:cs="Arial" w:eastAsia="Arial" w:hAnsi="Arial"/>
                <w:sz w:val="20"/>
                <w:szCs w:val="20"/>
                <w:color w:val="auto"/>
              </w:rPr>
              <w:t>0</w:t>
            </w:r>
          </w:p>
        </w:tc>
        <w:tc>
          <w:tcPr>
            <w:tcW w:w="10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580" w:type="dxa"/>
            <w:vAlign w:val="bottom"/>
            <w:shd w:val="clear" w:color="auto" w:fill="CFF0FC"/>
          </w:tcPr>
          <w:p>
            <w:pPr>
              <w:spacing w:after="0"/>
              <w:rPr>
                <w:sz w:val="20"/>
                <w:szCs w:val="20"/>
                <w:color w:val="auto"/>
              </w:rPr>
            </w:pPr>
            <w:r>
              <w:rPr>
                <w:rFonts w:ascii="Arial" w:cs="Arial" w:eastAsia="Arial" w:hAnsi="Arial"/>
                <w:sz w:val="20"/>
                <w:szCs w:val="20"/>
                <w:color w:val="auto"/>
              </w:rPr>
              <w:t>Camak Quarry</w:t>
            </w:r>
          </w:p>
        </w:tc>
        <w:tc>
          <w:tcPr>
            <w:tcW w:w="90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900075</w:t>
            </w:r>
          </w:p>
        </w:tc>
        <w:tc>
          <w:tcPr>
            <w:tcW w:w="700" w:type="dxa"/>
            <w:vAlign w:val="bottom"/>
            <w:shd w:val="clear" w:color="auto" w:fill="CFF0FC"/>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shd w:val="clear" w:color="auto" w:fill="CFF0FC"/>
          </w:tcPr>
          <w:p>
            <w:pPr>
              <w:jc w:val="right"/>
              <w:ind w:right="28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60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6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10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580" w:type="dxa"/>
            <w:vAlign w:val="bottom"/>
          </w:tcPr>
          <w:p>
            <w:pPr>
              <w:spacing w:after="0" w:line="227" w:lineRule="exact"/>
              <w:rPr>
                <w:sz w:val="20"/>
                <w:szCs w:val="20"/>
                <w:color w:val="auto"/>
              </w:rPr>
            </w:pPr>
            <w:r>
              <w:rPr>
                <w:rFonts w:ascii="Arial" w:cs="Arial" w:eastAsia="Arial" w:hAnsi="Arial"/>
                <w:sz w:val="20"/>
                <w:szCs w:val="20"/>
                <w:color w:val="auto"/>
              </w:rPr>
              <w:t>Chattanooga</w:t>
            </w:r>
          </w:p>
        </w:tc>
        <w:tc>
          <w:tcPr>
            <w:tcW w:w="9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1600" w:type="dxa"/>
            <w:vAlign w:val="bottom"/>
            <w:gridSpan w:val="2"/>
          </w:tcPr>
          <w:p>
            <w:pPr>
              <w:spacing w:after="0"/>
              <w:rPr>
                <w:sz w:val="20"/>
                <w:szCs w:val="20"/>
                <w:color w:val="auto"/>
              </w:rPr>
            </w:pPr>
            <w:r>
              <w:rPr>
                <w:rFonts w:ascii="Arial" w:cs="Arial" w:eastAsia="Arial" w:hAnsi="Arial"/>
                <w:sz w:val="20"/>
                <w:szCs w:val="20"/>
                <w:color w:val="auto"/>
              </w:rPr>
              <w:t>Quarry</w:t>
            </w:r>
          </w:p>
        </w:tc>
        <w:tc>
          <w:tcPr>
            <w:tcW w:w="900" w:type="dxa"/>
            <w:vAlign w:val="bottom"/>
          </w:tcPr>
          <w:p>
            <w:pPr>
              <w:jc w:val="right"/>
              <w:ind w:right="81"/>
              <w:spacing w:after="0"/>
              <w:rPr>
                <w:sz w:val="20"/>
                <w:szCs w:val="20"/>
                <w:color w:val="auto"/>
              </w:rPr>
            </w:pPr>
            <w:r>
              <w:rPr>
                <w:rFonts w:ascii="Arial" w:cs="Arial" w:eastAsia="Arial" w:hAnsi="Arial"/>
                <w:sz w:val="20"/>
                <w:szCs w:val="20"/>
                <w:color w:val="auto"/>
                <w:w w:val="89"/>
              </w:rPr>
              <w:t>4003159</w:t>
            </w:r>
          </w:p>
        </w:tc>
        <w:tc>
          <w:tcPr>
            <w:tcW w:w="700" w:type="dxa"/>
            <w:vAlign w:val="bottom"/>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tcPr>
          <w:p>
            <w:pPr>
              <w:jc w:val="right"/>
              <w:ind w:right="281"/>
              <w:spacing w:after="0"/>
              <w:rPr>
                <w:sz w:val="20"/>
                <w:szCs w:val="20"/>
                <w:color w:val="auto"/>
              </w:rPr>
            </w:pPr>
            <w:r>
              <w:rPr>
                <w:rFonts w:ascii="Arial" w:cs="Arial" w:eastAsia="Arial" w:hAnsi="Arial"/>
                <w:sz w:val="20"/>
                <w:szCs w:val="20"/>
                <w:color w:val="auto"/>
              </w:rPr>
              <w:t>0</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42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60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480" w:type="dxa"/>
            <w:vAlign w:val="bottom"/>
          </w:tcPr>
          <w:p>
            <w:pPr>
              <w:jc w:val="right"/>
              <w:ind w:right="121"/>
              <w:spacing w:after="0"/>
              <w:rPr>
                <w:sz w:val="20"/>
                <w:szCs w:val="20"/>
                <w:color w:val="auto"/>
              </w:rPr>
            </w:pPr>
            <w:r>
              <w:rPr>
                <w:rFonts w:ascii="Arial" w:cs="Arial" w:eastAsia="Arial" w:hAnsi="Arial"/>
                <w:sz w:val="20"/>
                <w:szCs w:val="20"/>
                <w:color w:val="auto"/>
              </w:rPr>
              <w:t>0</w:t>
            </w:r>
          </w:p>
        </w:tc>
        <w:tc>
          <w:tcPr>
            <w:tcW w:w="720" w:type="dxa"/>
            <w:vAlign w:val="bottom"/>
          </w:tcPr>
          <w:p>
            <w:pPr>
              <w:ind w:left="24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6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480" w:type="dxa"/>
            <w:vAlign w:val="bottom"/>
          </w:tcPr>
          <w:p>
            <w:pPr>
              <w:jc w:val="right"/>
              <w:spacing w:after="0"/>
              <w:rPr>
                <w:sz w:val="20"/>
                <w:szCs w:val="20"/>
                <w:color w:val="auto"/>
              </w:rPr>
            </w:pPr>
            <w:r>
              <w:rPr>
                <w:rFonts w:ascii="Arial" w:cs="Arial" w:eastAsia="Arial" w:hAnsi="Arial"/>
                <w:sz w:val="20"/>
                <w:szCs w:val="20"/>
                <w:color w:val="auto"/>
              </w:rPr>
              <w:t>0</w:t>
            </w:r>
          </w:p>
        </w:tc>
        <w:tc>
          <w:tcPr>
            <w:tcW w:w="10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580" w:type="dxa"/>
            <w:vAlign w:val="bottom"/>
            <w:shd w:val="clear" w:color="auto" w:fill="CFF0FC"/>
          </w:tcPr>
          <w:p>
            <w:pPr>
              <w:spacing w:after="0"/>
              <w:rPr>
                <w:sz w:val="20"/>
                <w:szCs w:val="20"/>
                <w:color w:val="auto"/>
              </w:rPr>
            </w:pPr>
            <w:r>
              <w:rPr>
                <w:rFonts w:ascii="Arial" w:cs="Arial" w:eastAsia="Arial" w:hAnsi="Arial"/>
                <w:sz w:val="20"/>
                <w:szCs w:val="20"/>
                <w:color w:val="auto"/>
              </w:rPr>
              <w:t>Forsyth Quarry</w:t>
            </w:r>
          </w:p>
        </w:tc>
        <w:tc>
          <w:tcPr>
            <w:tcW w:w="90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901035</w:t>
            </w:r>
          </w:p>
        </w:tc>
        <w:tc>
          <w:tcPr>
            <w:tcW w:w="700" w:type="dxa"/>
            <w:vAlign w:val="bottom"/>
            <w:shd w:val="clear" w:color="auto" w:fill="CFF0FC"/>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shd w:val="clear" w:color="auto" w:fill="CFF0FC"/>
          </w:tcPr>
          <w:p>
            <w:pPr>
              <w:jc w:val="right"/>
              <w:ind w:right="28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60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6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10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580" w:type="dxa"/>
            <w:vAlign w:val="bottom"/>
          </w:tcPr>
          <w:p>
            <w:pPr>
              <w:spacing w:after="0"/>
              <w:rPr>
                <w:sz w:val="20"/>
                <w:szCs w:val="20"/>
                <w:color w:val="auto"/>
              </w:rPr>
            </w:pPr>
            <w:r>
              <w:rPr>
                <w:rFonts w:ascii="Arial" w:cs="Arial" w:eastAsia="Arial" w:hAnsi="Arial"/>
                <w:sz w:val="20"/>
                <w:szCs w:val="20"/>
                <w:color w:val="auto"/>
              </w:rPr>
              <w:t>Jefferson Quarry</w:t>
            </w:r>
          </w:p>
        </w:tc>
        <w:tc>
          <w:tcPr>
            <w:tcW w:w="900" w:type="dxa"/>
            <w:vAlign w:val="bottom"/>
          </w:tcPr>
          <w:p>
            <w:pPr>
              <w:jc w:val="right"/>
              <w:ind w:right="81"/>
              <w:spacing w:after="0"/>
              <w:rPr>
                <w:sz w:val="20"/>
                <w:szCs w:val="20"/>
                <w:color w:val="auto"/>
              </w:rPr>
            </w:pPr>
            <w:r>
              <w:rPr>
                <w:rFonts w:ascii="Arial" w:cs="Arial" w:eastAsia="Arial" w:hAnsi="Arial"/>
                <w:sz w:val="20"/>
                <w:szCs w:val="20"/>
                <w:color w:val="auto"/>
              </w:rPr>
              <w:t>901106</w:t>
            </w:r>
          </w:p>
        </w:tc>
        <w:tc>
          <w:tcPr>
            <w:tcW w:w="700" w:type="dxa"/>
            <w:vAlign w:val="bottom"/>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tcPr>
          <w:p>
            <w:pPr>
              <w:jc w:val="right"/>
              <w:ind w:right="281"/>
              <w:spacing w:after="0"/>
              <w:rPr>
                <w:sz w:val="20"/>
                <w:szCs w:val="20"/>
                <w:color w:val="auto"/>
              </w:rPr>
            </w:pPr>
            <w:r>
              <w:rPr>
                <w:rFonts w:ascii="Arial" w:cs="Arial" w:eastAsia="Arial" w:hAnsi="Arial"/>
                <w:sz w:val="20"/>
                <w:szCs w:val="20"/>
                <w:color w:val="auto"/>
              </w:rPr>
              <w:t>0</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42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60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480" w:type="dxa"/>
            <w:vAlign w:val="bottom"/>
          </w:tcPr>
          <w:p>
            <w:pPr>
              <w:jc w:val="right"/>
              <w:ind w:right="121"/>
              <w:spacing w:after="0"/>
              <w:rPr>
                <w:sz w:val="20"/>
                <w:szCs w:val="20"/>
                <w:color w:val="auto"/>
              </w:rPr>
            </w:pPr>
            <w:r>
              <w:rPr>
                <w:rFonts w:ascii="Arial" w:cs="Arial" w:eastAsia="Arial" w:hAnsi="Arial"/>
                <w:sz w:val="20"/>
                <w:szCs w:val="20"/>
                <w:color w:val="auto"/>
              </w:rPr>
              <w:t>0</w:t>
            </w:r>
          </w:p>
        </w:tc>
        <w:tc>
          <w:tcPr>
            <w:tcW w:w="720" w:type="dxa"/>
            <w:vAlign w:val="bottom"/>
          </w:tcPr>
          <w:p>
            <w:pPr>
              <w:ind w:left="24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6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480" w:type="dxa"/>
            <w:vAlign w:val="bottom"/>
          </w:tcPr>
          <w:p>
            <w:pPr>
              <w:jc w:val="right"/>
              <w:spacing w:after="0"/>
              <w:rPr>
                <w:sz w:val="20"/>
                <w:szCs w:val="20"/>
                <w:color w:val="auto"/>
              </w:rPr>
            </w:pPr>
            <w:r>
              <w:rPr>
                <w:rFonts w:ascii="Arial" w:cs="Arial" w:eastAsia="Arial" w:hAnsi="Arial"/>
                <w:sz w:val="20"/>
                <w:szCs w:val="20"/>
                <w:color w:val="auto"/>
              </w:rPr>
              <w:t>0</w:t>
            </w:r>
          </w:p>
        </w:tc>
        <w:tc>
          <w:tcPr>
            <w:tcW w:w="10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58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rPr>
              <w:t>Junction City</w:t>
            </w:r>
          </w:p>
        </w:tc>
        <w:tc>
          <w:tcPr>
            <w:tcW w:w="9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580" w:type="dxa"/>
            <w:vAlign w:val="bottom"/>
            <w:shd w:val="clear" w:color="auto" w:fill="CFF0FC"/>
          </w:tcPr>
          <w:p>
            <w:pPr>
              <w:spacing w:after="0"/>
              <w:rPr>
                <w:sz w:val="20"/>
                <w:szCs w:val="20"/>
                <w:color w:val="auto"/>
              </w:rPr>
            </w:pPr>
            <w:r>
              <w:rPr>
                <w:rFonts w:ascii="Arial" w:cs="Arial" w:eastAsia="Arial" w:hAnsi="Arial"/>
                <w:sz w:val="20"/>
                <w:szCs w:val="20"/>
                <w:color w:val="auto"/>
              </w:rPr>
              <w:t>Quarry</w:t>
            </w:r>
          </w:p>
        </w:tc>
        <w:tc>
          <w:tcPr>
            <w:tcW w:w="90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901029</w:t>
            </w:r>
          </w:p>
        </w:tc>
        <w:tc>
          <w:tcPr>
            <w:tcW w:w="700" w:type="dxa"/>
            <w:vAlign w:val="bottom"/>
            <w:shd w:val="clear" w:color="auto" w:fill="CFF0FC"/>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shd w:val="clear" w:color="auto" w:fill="CFF0FC"/>
          </w:tcPr>
          <w:p>
            <w:pPr>
              <w:jc w:val="right"/>
              <w:ind w:right="28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60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6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10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580" w:type="dxa"/>
            <w:vAlign w:val="bottom"/>
          </w:tcPr>
          <w:p>
            <w:pPr>
              <w:spacing w:after="0"/>
              <w:rPr>
                <w:sz w:val="20"/>
                <w:szCs w:val="20"/>
                <w:color w:val="auto"/>
              </w:rPr>
            </w:pPr>
            <w:r>
              <w:rPr>
                <w:rFonts w:ascii="Arial" w:cs="Arial" w:eastAsia="Arial" w:hAnsi="Arial"/>
                <w:sz w:val="20"/>
                <w:szCs w:val="20"/>
                <w:color w:val="auto"/>
              </w:rPr>
              <w:t>Lithonia Quarry</w:t>
            </w:r>
          </w:p>
        </w:tc>
        <w:tc>
          <w:tcPr>
            <w:tcW w:w="900" w:type="dxa"/>
            <w:vAlign w:val="bottom"/>
          </w:tcPr>
          <w:p>
            <w:pPr>
              <w:jc w:val="right"/>
              <w:ind w:right="81"/>
              <w:spacing w:after="0"/>
              <w:rPr>
                <w:sz w:val="20"/>
                <w:szCs w:val="20"/>
                <w:color w:val="auto"/>
              </w:rPr>
            </w:pPr>
            <w:r>
              <w:rPr>
                <w:rFonts w:ascii="Arial" w:cs="Arial" w:eastAsia="Arial" w:hAnsi="Arial"/>
                <w:sz w:val="20"/>
                <w:szCs w:val="20"/>
                <w:color w:val="auto"/>
              </w:rPr>
              <w:t>900023</w:t>
            </w:r>
          </w:p>
        </w:tc>
        <w:tc>
          <w:tcPr>
            <w:tcW w:w="700" w:type="dxa"/>
            <w:vAlign w:val="bottom"/>
          </w:tcPr>
          <w:p>
            <w:pPr>
              <w:jc w:val="right"/>
              <w:ind w:right="301"/>
              <w:spacing w:after="0"/>
              <w:rPr>
                <w:sz w:val="20"/>
                <w:szCs w:val="20"/>
                <w:color w:val="auto"/>
              </w:rPr>
            </w:pPr>
            <w:r>
              <w:rPr>
                <w:rFonts w:ascii="Arial" w:cs="Arial" w:eastAsia="Arial" w:hAnsi="Arial"/>
                <w:sz w:val="20"/>
                <w:szCs w:val="20"/>
                <w:color w:val="auto"/>
              </w:rPr>
              <w:t>1</w:t>
            </w:r>
          </w:p>
        </w:tc>
        <w:tc>
          <w:tcPr>
            <w:tcW w:w="880" w:type="dxa"/>
            <w:vAlign w:val="bottom"/>
          </w:tcPr>
          <w:p>
            <w:pPr>
              <w:jc w:val="right"/>
              <w:ind w:right="281"/>
              <w:spacing w:after="0"/>
              <w:rPr>
                <w:sz w:val="20"/>
                <w:szCs w:val="20"/>
                <w:color w:val="auto"/>
              </w:rPr>
            </w:pPr>
            <w:r>
              <w:rPr>
                <w:rFonts w:ascii="Arial" w:cs="Arial" w:eastAsia="Arial" w:hAnsi="Arial"/>
                <w:sz w:val="20"/>
                <w:szCs w:val="20"/>
                <w:color w:val="auto"/>
              </w:rPr>
              <w:t>0</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42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600" w:type="dxa"/>
            <w:vAlign w:val="bottom"/>
          </w:tcPr>
          <w:p>
            <w:pPr>
              <w:jc w:val="right"/>
              <w:ind w:right="41"/>
              <w:spacing w:after="0"/>
              <w:rPr>
                <w:sz w:val="20"/>
                <w:szCs w:val="20"/>
                <w:color w:val="auto"/>
              </w:rPr>
            </w:pPr>
            <w:r>
              <w:rPr>
                <w:rFonts w:ascii="Arial" w:cs="Arial" w:eastAsia="Arial" w:hAnsi="Arial"/>
                <w:sz w:val="20"/>
                <w:szCs w:val="20"/>
                <w:color w:val="auto"/>
              </w:rPr>
              <w:t>290</w:t>
            </w:r>
          </w:p>
        </w:tc>
        <w:tc>
          <w:tcPr>
            <w:tcW w:w="480" w:type="dxa"/>
            <w:vAlign w:val="bottom"/>
          </w:tcPr>
          <w:p>
            <w:pPr>
              <w:jc w:val="right"/>
              <w:ind w:right="121"/>
              <w:spacing w:after="0"/>
              <w:rPr>
                <w:sz w:val="20"/>
                <w:szCs w:val="20"/>
                <w:color w:val="auto"/>
              </w:rPr>
            </w:pPr>
            <w:r>
              <w:rPr>
                <w:rFonts w:ascii="Arial" w:cs="Arial" w:eastAsia="Arial" w:hAnsi="Arial"/>
                <w:sz w:val="20"/>
                <w:szCs w:val="20"/>
                <w:color w:val="auto"/>
              </w:rPr>
              <w:t>0</w:t>
            </w:r>
          </w:p>
        </w:tc>
        <w:tc>
          <w:tcPr>
            <w:tcW w:w="720" w:type="dxa"/>
            <w:vAlign w:val="bottom"/>
          </w:tcPr>
          <w:p>
            <w:pPr>
              <w:ind w:left="24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6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480" w:type="dxa"/>
            <w:vAlign w:val="bottom"/>
          </w:tcPr>
          <w:p>
            <w:pPr>
              <w:jc w:val="right"/>
              <w:spacing w:after="0"/>
              <w:rPr>
                <w:sz w:val="20"/>
                <w:szCs w:val="20"/>
                <w:color w:val="auto"/>
              </w:rPr>
            </w:pPr>
            <w:r>
              <w:rPr>
                <w:rFonts w:ascii="Arial" w:cs="Arial" w:eastAsia="Arial" w:hAnsi="Arial"/>
                <w:sz w:val="20"/>
                <w:szCs w:val="20"/>
                <w:color w:val="auto"/>
              </w:rPr>
              <w:t>0</w:t>
            </w:r>
          </w:p>
        </w:tc>
        <w:tc>
          <w:tcPr>
            <w:tcW w:w="10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580" w:type="dxa"/>
            <w:vAlign w:val="bottom"/>
            <w:shd w:val="clear" w:color="auto" w:fill="CFF0FC"/>
          </w:tcPr>
          <w:p>
            <w:pPr>
              <w:spacing w:after="0"/>
              <w:rPr>
                <w:sz w:val="20"/>
                <w:szCs w:val="20"/>
                <w:color w:val="auto"/>
              </w:rPr>
            </w:pPr>
            <w:r>
              <w:rPr>
                <w:rFonts w:ascii="Arial" w:cs="Arial" w:eastAsia="Arial" w:hAnsi="Arial"/>
                <w:sz w:val="20"/>
                <w:szCs w:val="20"/>
                <w:color w:val="auto"/>
              </w:rPr>
              <w:t>Maylene Quarry</w:t>
            </w:r>
          </w:p>
        </w:tc>
        <w:tc>
          <w:tcPr>
            <w:tcW w:w="90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100634</w:t>
            </w:r>
          </w:p>
        </w:tc>
        <w:tc>
          <w:tcPr>
            <w:tcW w:w="700" w:type="dxa"/>
            <w:vAlign w:val="bottom"/>
            <w:shd w:val="clear" w:color="auto" w:fill="CFF0FC"/>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shd w:val="clear" w:color="auto" w:fill="CFF0FC"/>
          </w:tcPr>
          <w:p>
            <w:pPr>
              <w:jc w:val="right"/>
              <w:ind w:right="28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60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6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10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580" w:type="dxa"/>
            <w:vAlign w:val="bottom"/>
          </w:tcPr>
          <w:p>
            <w:pPr>
              <w:spacing w:after="0"/>
              <w:rPr>
                <w:sz w:val="20"/>
                <w:szCs w:val="20"/>
                <w:color w:val="auto"/>
              </w:rPr>
            </w:pPr>
            <w:r>
              <w:rPr>
                <w:rFonts w:ascii="Arial" w:cs="Arial" w:eastAsia="Arial" w:hAnsi="Arial"/>
                <w:sz w:val="20"/>
                <w:szCs w:val="20"/>
                <w:color w:val="auto"/>
                <w:w w:val="94"/>
              </w:rPr>
              <w:t>Morgan Co Quarry</w:t>
            </w:r>
          </w:p>
        </w:tc>
        <w:tc>
          <w:tcPr>
            <w:tcW w:w="900" w:type="dxa"/>
            <w:vAlign w:val="bottom"/>
          </w:tcPr>
          <w:p>
            <w:pPr>
              <w:jc w:val="right"/>
              <w:ind w:right="81"/>
              <w:spacing w:after="0"/>
              <w:rPr>
                <w:sz w:val="20"/>
                <w:szCs w:val="20"/>
                <w:color w:val="auto"/>
              </w:rPr>
            </w:pPr>
            <w:r>
              <w:rPr>
                <w:rFonts w:ascii="Arial" w:cs="Arial" w:eastAsia="Arial" w:hAnsi="Arial"/>
                <w:sz w:val="20"/>
                <w:szCs w:val="20"/>
                <w:color w:val="auto"/>
              </w:rPr>
              <w:t>901126</w:t>
            </w:r>
          </w:p>
        </w:tc>
        <w:tc>
          <w:tcPr>
            <w:tcW w:w="700" w:type="dxa"/>
            <w:vAlign w:val="bottom"/>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tcPr>
          <w:p>
            <w:pPr>
              <w:jc w:val="right"/>
              <w:ind w:right="281"/>
              <w:spacing w:after="0"/>
              <w:rPr>
                <w:sz w:val="20"/>
                <w:szCs w:val="20"/>
                <w:color w:val="auto"/>
              </w:rPr>
            </w:pPr>
            <w:r>
              <w:rPr>
                <w:rFonts w:ascii="Arial" w:cs="Arial" w:eastAsia="Arial" w:hAnsi="Arial"/>
                <w:sz w:val="20"/>
                <w:szCs w:val="20"/>
                <w:color w:val="auto"/>
              </w:rPr>
              <w:t>0</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42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60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480" w:type="dxa"/>
            <w:vAlign w:val="bottom"/>
          </w:tcPr>
          <w:p>
            <w:pPr>
              <w:jc w:val="right"/>
              <w:ind w:right="121"/>
              <w:spacing w:after="0"/>
              <w:rPr>
                <w:sz w:val="20"/>
                <w:szCs w:val="20"/>
                <w:color w:val="auto"/>
              </w:rPr>
            </w:pPr>
            <w:r>
              <w:rPr>
                <w:rFonts w:ascii="Arial" w:cs="Arial" w:eastAsia="Arial" w:hAnsi="Arial"/>
                <w:sz w:val="20"/>
                <w:szCs w:val="20"/>
                <w:color w:val="auto"/>
              </w:rPr>
              <w:t>0</w:t>
            </w:r>
          </w:p>
        </w:tc>
        <w:tc>
          <w:tcPr>
            <w:tcW w:w="720" w:type="dxa"/>
            <w:vAlign w:val="bottom"/>
          </w:tcPr>
          <w:p>
            <w:pPr>
              <w:ind w:left="24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6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480" w:type="dxa"/>
            <w:vAlign w:val="bottom"/>
          </w:tcPr>
          <w:p>
            <w:pPr>
              <w:jc w:val="right"/>
              <w:spacing w:after="0"/>
              <w:rPr>
                <w:sz w:val="20"/>
                <w:szCs w:val="20"/>
                <w:color w:val="auto"/>
              </w:rPr>
            </w:pPr>
            <w:r>
              <w:rPr>
                <w:rFonts w:ascii="Arial" w:cs="Arial" w:eastAsia="Arial" w:hAnsi="Arial"/>
                <w:sz w:val="20"/>
                <w:szCs w:val="20"/>
                <w:color w:val="auto"/>
              </w:rPr>
              <w:t>0</w:t>
            </w:r>
          </w:p>
        </w:tc>
        <w:tc>
          <w:tcPr>
            <w:tcW w:w="10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580" w:type="dxa"/>
            <w:vAlign w:val="bottom"/>
            <w:shd w:val="clear" w:color="auto" w:fill="CFF0FC"/>
          </w:tcPr>
          <w:p>
            <w:pPr>
              <w:spacing w:after="0"/>
              <w:rPr>
                <w:sz w:val="20"/>
                <w:szCs w:val="20"/>
                <w:color w:val="auto"/>
              </w:rPr>
            </w:pPr>
            <w:r>
              <w:rPr>
                <w:rFonts w:ascii="Arial" w:cs="Arial" w:eastAsia="Arial" w:hAnsi="Arial"/>
                <w:sz w:val="20"/>
                <w:szCs w:val="20"/>
                <w:color w:val="auto"/>
              </w:rPr>
              <w:t>Newton Quarry</w:t>
            </w:r>
          </w:p>
        </w:tc>
        <w:tc>
          <w:tcPr>
            <w:tcW w:w="90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900899</w:t>
            </w:r>
          </w:p>
        </w:tc>
        <w:tc>
          <w:tcPr>
            <w:tcW w:w="700" w:type="dxa"/>
            <w:vAlign w:val="bottom"/>
            <w:shd w:val="clear" w:color="auto" w:fill="CFF0FC"/>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shd w:val="clear" w:color="auto" w:fill="CFF0FC"/>
          </w:tcPr>
          <w:p>
            <w:pPr>
              <w:jc w:val="right"/>
              <w:ind w:right="28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60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100</w:t>
            </w:r>
          </w:p>
        </w:tc>
        <w:tc>
          <w:tcPr>
            <w:tcW w:w="4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6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10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580" w:type="dxa"/>
            <w:vAlign w:val="bottom"/>
          </w:tcPr>
          <w:p>
            <w:pPr>
              <w:spacing w:after="0" w:line="227" w:lineRule="exact"/>
              <w:rPr>
                <w:sz w:val="20"/>
                <w:szCs w:val="20"/>
                <w:color w:val="auto"/>
              </w:rPr>
            </w:pPr>
            <w:r>
              <w:rPr>
                <w:rFonts w:ascii="Arial" w:cs="Arial" w:eastAsia="Arial" w:hAnsi="Arial"/>
                <w:sz w:val="20"/>
                <w:szCs w:val="20"/>
                <w:color w:val="auto"/>
              </w:rPr>
              <w:t>ONeal Quarry</w:t>
            </w:r>
          </w:p>
        </w:tc>
        <w:tc>
          <w:tcPr>
            <w:tcW w:w="9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1600" w:type="dxa"/>
            <w:vAlign w:val="bottom"/>
            <w:gridSpan w:val="2"/>
          </w:tcPr>
          <w:p>
            <w:pPr>
              <w:spacing w:after="0"/>
              <w:rPr>
                <w:sz w:val="20"/>
                <w:szCs w:val="20"/>
                <w:color w:val="auto"/>
              </w:rPr>
            </w:pPr>
            <w:r>
              <w:rPr>
                <w:rFonts w:ascii="Arial" w:cs="Arial" w:eastAsia="Arial" w:hAnsi="Arial"/>
                <w:sz w:val="20"/>
                <w:szCs w:val="20"/>
                <w:color w:val="auto"/>
              </w:rPr>
              <w:t>Co19</w:t>
            </w:r>
          </w:p>
        </w:tc>
        <w:tc>
          <w:tcPr>
            <w:tcW w:w="900" w:type="dxa"/>
            <w:vAlign w:val="bottom"/>
          </w:tcPr>
          <w:p>
            <w:pPr>
              <w:jc w:val="right"/>
              <w:ind w:right="81"/>
              <w:spacing w:after="0"/>
              <w:rPr>
                <w:sz w:val="20"/>
                <w:szCs w:val="20"/>
                <w:color w:val="auto"/>
              </w:rPr>
            </w:pPr>
            <w:r>
              <w:rPr>
                <w:rFonts w:ascii="Arial" w:cs="Arial" w:eastAsia="Arial" w:hAnsi="Arial"/>
                <w:sz w:val="20"/>
                <w:szCs w:val="20"/>
                <w:color w:val="auto"/>
              </w:rPr>
              <w:t>103076</w:t>
            </w:r>
          </w:p>
        </w:tc>
        <w:tc>
          <w:tcPr>
            <w:tcW w:w="700" w:type="dxa"/>
            <w:vAlign w:val="bottom"/>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tcPr>
          <w:p>
            <w:pPr>
              <w:jc w:val="right"/>
              <w:ind w:right="281"/>
              <w:spacing w:after="0"/>
              <w:rPr>
                <w:sz w:val="20"/>
                <w:szCs w:val="20"/>
                <w:color w:val="auto"/>
              </w:rPr>
            </w:pPr>
            <w:r>
              <w:rPr>
                <w:rFonts w:ascii="Arial" w:cs="Arial" w:eastAsia="Arial" w:hAnsi="Arial"/>
                <w:sz w:val="20"/>
                <w:szCs w:val="20"/>
                <w:color w:val="auto"/>
              </w:rPr>
              <w:t>0</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42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60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480" w:type="dxa"/>
            <w:vAlign w:val="bottom"/>
          </w:tcPr>
          <w:p>
            <w:pPr>
              <w:jc w:val="right"/>
              <w:ind w:right="121"/>
              <w:spacing w:after="0"/>
              <w:rPr>
                <w:sz w:val="20"/>
                <w:szCs w:val="20"/>
                <w:color w:val="auto"/>
              </w:rPr>
            </w:pPr>
            <w:r>
              <w:rPr>
                <w:rFonts w:ascii="Arial" w:cs="Arial" w:eastAsia="Arial" w:hAnsi="Arial"/>
                <w:sz w:val="20"/>
                <w:szCs w:val="20"/>
                <w:color w:val="auto"/>
              </w:rPr>
              <w:t>0</w:t>
            </w:r>
          </w:p>
        </w:tc>
        <w:tc>
          <w:tcPr>
            <w:tcW w:w="720" w:type="dxa"/>
            <w:vAlign w:val="bottom"/>
          </w:tcPr>
          <w:p>
            <w:pPr>
              <w:ind w:left="24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6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480" w:type="dxa"/>
            <w:vAlign w:val="bottom"/>
          </w:tcPr>
          <w:p>
            <w:pPr>
              <w:jc w:val="right"/>
              <w:spacing w:after="0"/>
              <w:rPr>
                <w:sz w:val="20"/>
                <w:szCs w:val="20"/>
                <w:color w:val="auto"/>
              </w:rPr>
            </w:pPr>
            <w:r>
              <w:rPr>
                <w:rFonts w:ascii="Arial" w:cs="Arial" w:eastAsia="Arial" w:hAnsi="Arial"/>
                <w:sz w:val="20"/>
                <w:szCs w:val="20"/>
                <w:color w:val="auto"/>
              </w:rPr>
              <w:t>0</w:t>
            </w:r>
          </w:p>
        </w:tc>
        <w:tc>
          <w:tcPr>
            <w:tcW w:w="10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580" w:type="dxa"/>
            <w:vAlign w:val="bottom"/>
            <w:shd w:val="clear" w:color="auto" w:fill="CFF0FC"/>
          </w:tcPr>
          <w:p>
            <w:pPr>
              <w:spacing w:after="0"/>
              <w:rPr>
                <w:sz w:val="20"/>
                <w:szCs w:val="20"/>
                <w:color w:val="auto"/>
              </w:rPr>
            </w:pPr>
            <w:r>
              <w:rPr>
                <w:rFonts w:ascii="Arial" w:cs="Arial" w:eastAsia="Arial" w:hAnsi="Arial"/>
                <w:sz w:val="20"/>
                <w:szCs w:val="20"/>
                <w:color w:val="auto"/>
              </w:rPr>
              <w:t>Paulding Quarry</w:t>
            </w:r>
          </w:p>
        </w:tc>
        <w:tc>
          <w:tcPr>
            <w:tcW w:w="90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901107</w:t>
            </w:r>
          </w:p>
        </w:tc>
        <w:tc>
          <w:tcPr>
            <w:tcW w:w="700" w:type="dxa"/>
            <w:vAlign w:val="bottom"/>
            <w:shd w:val="clear" w:color="auto" w:fill="CFF0FC"/>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shd w:val="clear" w:color="auto" w:fill="CFF0FC"/>
          </w:tcPr>
          <w:p>
            <w:pPr>
              <w:jc w:val="right"/>
              <w:ind w:right="28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60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6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10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580" w:type="dxa"/>
            <w:vAlign w:val="bottom"/>
          </w:tcPr>
          <w:p>
            <w:pPr>
              <w:spacing w:after="0"/>
              <w:rPr>
                <w:sz w:val="20"/>
                <w:szCs w:val="20"/>
                <w:color w:val="auto"/>
              </w:rPr>
            </w:pPr>
            <w:r>
              <w:rPr>
                <w:rFonts w:ascii="Arial" w:cs="Arial" w:eastAsia="Arial" w:hAnsi="Arial"/>
                <w:sz w:val="20"/>
                <w:szCs w:val="20"/>
                <w:color w:val="auto"/>
              </w:rPr>
              <w:t>Perry Quarry</w:t>
            </w:r>
          </w:p>
        </w:tc>
        <w:tc>
          <w:tcPr>
            <w:tcW w:w="900" w:type="dxa"/>
            <w:vAlign w:val="bottom"/>
          </w:tcPr>
          <w:p>
            <w:pPr>
              <w:jc w:val="right"/>
              <w:ind w:right="81"/>
              <w:spacing w:after="0"/>
              <w:rPr>
                <w:sz w:val="20"/>
                <w:szCs w:val="20"/>
                <w:color w:val="auto"/>
              </w:rPr>
            </w:pPr>
            <w:r>
              <w:rPr>
                <w:rFonts w:ascii="Arial" w:cs="Arial" w:eastAsia="Arial" w:hAnsi="Arial"/>
                <w:sz w:val="20"/>
                <w:szCs w:val="20"/>
                <w:color w:val="auto"/>
              </w:rPr>
              <w:t>801083</w:t>
            </w:r>
          </w:p>
        </w:tc>
        <w:tc>
          <w:tcPr>
            <w:tcW w:w="700" w:type="dxa"/>
            <w:vAlign w:val="bottom"/>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tcPr>
          <w:p>
            <w:pPr>
              <w:jc w:val="right"/>
              <w:ind w:right="281"/>
              <w:spacing w:after="0"/>
              <w:rPr>
                <w:sz w:val="20"/>
                <w:szCs w:val="20"/>
                <w:color w:val="auto"/>
              </w:rPr>
            </w:pPr>
            <w:r>
              <w:rPr>
                <w:rFonts w:ascii="Arial" w:cs="Arial" w:eastAsia="Arial" w:hAnsi="Arial"/>
                <w:sz w:val="20"/>
                <w:szCs w:val="20"/>
                <w:color w:val="auto"/>
              </w:rPr>
              <w:t>0</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42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60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480" w:type="dxa"/>
            <w:vAlign w:val="bottom"/>
          </w:tcPr>
          <w:p>
            <w:pPr>
              <w:jc w:val="right"/>
              <w:ind w:right="121"/>
              <w:spacing w:after="0"/>
              <w:rPr>
                <w:sz w:val="20"/>
                <w:szCs w:val="20"/>
                <w:color w:val="auto"/>
              </w:rPr>
            </w:pPr>
            <w:r>
              <w:rPr>
                <w:rFonts w:ascii="Arial" w:cs="Arial" w:eastAsia="Arial" w:hAnsi="Arial"/>
                <w:sz w:val="20"/>
                <w:szCs w:val="20"/>
                <w:color w:val="auto"/>
              </w:rPr>
              <w:t>0</w:t>
            </w:r>
          </w:p>
        </w:tc>
        <w:tc>
          <w:tcPr>
            <w:tcW w:w="720" w:type="dxa"/>
            <w:vAlign w:val="bottom"/>
          </w:tcPr>
          <w:p>
            <w:pPr>
              <w:ind w:left="24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6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480" w:type="dxa"/>
            <w:vAlign w:val="bottom"/>
          </w:tcPr>
          <w:p>
            <w:pPr>
              <w:jc w:val="right"/>
              <w:spacing w:after="0"/>
              <w:rPr>
                <w:sz w:val="20"/>
                <w:szCs w:val="20"/>
                <w:color w:val="auto"/>
              </w:rPr>
            </w:pPr>
            <w:r>
              <w:rPr>
                <w:rFonts w:ascii="Arial" w:cs="Arial" w:eastAsia="Arial" w:hAnsi="Arial"/>
                <w:sz w:val="20"/>
                <w:szCs w:val="20"/>
                <w:color w:val="auto"/>
              </w:rPr>
              <w:t>0</w:t>
            </w:r>
          </w:p>
        </w:tc>
        <w:tc>
          <w:tcPr>
            <w:tcW w:w="10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580" w:type="dxa"/>
            <w:vAlign w:val="bottom"/>
            <w:shd w:val="clear" w:color="auto" w:fill="CFF0FC"/>
          </w:tcPr>
          <w:p>
            <w:pPr>
              <w:spacing w:after="0"/>
              <w:rPr>
                <w:sz w:val="20"/>
                <w:szCs w:val="20"/>
                <w:color w:val="auto"/>
              </w:rPr>
            </w:pPr>
            <w:r>
              <w:rPr>
                <w:rFonts w:ascii="Arial" w:cs="Arial" w:eastAsia="Arial" w:hAnsi="Arial"/>
                <w:sz w:val="20"/>
                <w:szCs w:val="20"/>
                <w:color w:val="auto"/>
              </w:rPr>
              <w:t>Red Oak Quarry</w:t>
            </w:r>
          </w:p>
        </w:tc>
        <w:tc>
          <w:tcPr>
            <w:tcW w:w="90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900069</w:t>
            </w:r>
          </w:p>
        </w:tc>
        <w:tc>
          <w:tcPr>
            <w:tcW w:w="700" w:type="dxa"/>
            <w:vAlign w:val="bottom"/>
            <w:shd w:val="clear" w:color="auto" w:fill="CFF0FC"/>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shd w:val="clear" w:color="auto" w:fill="CFF0FC"/>
          </w:tcPr>
          <w:p>
            <w:pPr>
              <w:jc w:val="right"/>
              <w:ind w:right="28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60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6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10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580" w:type="dxa"/>
            <w:vAlign w:val="bottom"/>
          </w:tcPr>
          <w:p>
            <w:pPr>
              <w:spacing w:after="0" w:line="227" w:lineRule="exact"/>
              <w:rPr>
                <w:sz w:val="20"/>
                <w:szCs w:val="20"/>
                <w:color w:val="auto"/>
              </w:rPr>
            </w:pPr>
            <w:r>
              <w:rPr>
                <w:rFonts w:ascii="Arial" w:cs="Arial" w:eastAsia="Arial" w:hAnsi="Arial"/>
                <w:sz w:val="20"/>
                <w:szCs w:val="20"/>
                <w:color w:val="auto"/>
              </w:rPr>
              <w:t>R-S Sand and</w:t>
            </w:r>
          </w:p>
        </w:tc>
        <w:tc>
          <w:tcPr>
            <w:tcW w:w="9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1600" w:type="dxa"/>
            <w:vAlign w:val="bottom"/>
            <w:gridSpan w:val="2"/>
          </w:tcPr>
          <w:p>
            <w:pPr>
              <w:spacing w:after="0"/>
              <w:rPr>
                <w:sz w:val="20"/>
                <w:szCs w:val="20"/>
                <w:color w:val="auto"/>
              </w:rPr>
            </w:pPr>
            <w:r>
              <w:rPr>
                <w:rFonts w:ascii="Arial" w:cs="Arial" w:eastAsia="Arial" w:hAnsi="Arial"/>
                <w:sz w:val="20"/>
                <w:szCs w:val="20"/>
                <w:color w:val="auto"/>
              </w:rPr>
              <w:t>Gravel</w:t>
            </w:r>
          </w:p>
        </w:tc>
        <w:tc>
          <w:tcPr>
            <w:tcW w:w="900" w:type="dxa"/>
            <w:vAlign w:val="bottom"/>
          </w:tcPr>
          <w:p>
            <w:pPr>
              <w:jc w:val="right"/>
              <w:ind w:right="81"/>
              <w:spacing w:after="0"/>
              <w:rPr>
                <w:sz w:val="20"/>
                <w:szCs w:val="20"/>
                <w:color w:val="auto"/>
              </w:rPr>
            </w:pPr>
            <w:r>
              <w:rPr>
                <w:rFonts w:ascii="Arial" w:cs="Arial" w:eastAsia="Arial" w:hAnsi="Arial"/>
                <w:sz w:val="20"/>
                <w:szCs w:val="20"/>
                <w:color w:val="auto"/>
                <w:w w:val="89"/>
              </w:rPr>
              <w:t>2200381</w:t>
            </w:r>
          </w:p>
        </w:tc>
        <w:tc>
          <w:tcPr>
            <w:tcW w:w="700" w:type="dxa"/>
            <w:vAlign w:val="bottom"/>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tcPr>
          <w:p>
            <w:pPr>
              <w:jc w:val="right"/>
              <w:ind w:right="281"/>
              <w:spacing w:after="0"/>
              <w:rPr>
                <w:sz w:val="20"/>
                <w:szCs w:val="20"/>
                <w:color w:val="auto"/>
              </w:rPr>
            </w:pPr>
            <w:r>
              <w:rPr>
                <w:rFonts w:ascii="Arial" w:cs="Arial" w:eastAsia="Arial" w:hAnsi="Arial"/>
                <w:sz w:val="20"/>
                <w:szCs w:val="20"/>
                <w:color w:val="auto"/>
              </w:rPr>
              <w:t>0</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42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60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480" w:type="dxa"/>
            <w:vAlign w:val="bottom"/>
          </w:tcPr>
          <w:p>
            <w:pPr>
              <w:jc w:val="right"/>
              <w:ind w:right="121"/>
              <w:spacing w:after="0"/>
              <w:rPr>
                <w:sz w:val="20"/>
                <w:szCs w:val="20"/>
                <w:color w:val="auto"/>
              </w:rPr>
            </w:pPr>
            <w:r>
              <w:rPr>
                <w:rFonts w:ascii="Arial" w:cs="Arial" w:eastAsia="Arial" w:hAnsi="Arial"/>
                <w:sz w:val="20"/>
                <w:szCs w:val="20"/>
                <w:color w:val="auto"/>
              </w:rPr>
              <w:t>0</w:t>
            </w:r>
          </w:p>
        </w:tc>
        <w:tc>
          <w:tcPr>
            <w:tcW w:w="720" w:type="dxa"/>
            <w:vAlign w:val="bottom"/>
          </w:tcPr>
          <w:p>
            <w:pPr>
              <w:ind w:left="24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6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480" w:type="dxa"/>
            <w:vAlign w:val="bottom"/>
          </w:tcPr>
          <w:p>
            <w:pPr>
              <w:jc w:val="right"/>
              <w:spacing w:after="0"/>
              <w:rPr>
                <w:sz w:val="20"/>
                <w:szCs w:val="20"/>
                <w:color w:val="auto"/>
              </w:rPr>
            </w:pPr>
            <w:r>
              <w:rPr>
                <w:rFonts w:ascii="Arial" w:cs="Arial" w:eastAsia="Arial" w:hAnsi="Arial"/>
                <w:sz w:val="20"/>
                <w:szCs w:val="20"/>
                <w:color w:val="auto"/>
              </w:rPr>
              <w:t>0</w:t>
            </w:r>
          </w:p>
        </w:tc>
        <w:tc>
          <w:tcPr>
            <w:tcW w:w="10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580" w:type="dxa"/>
            <w:vAlign w:val="bottom"/>
            <w:shd w:val="clear" w:color="auto" w:fill="CFF0FC"/>
          </w:tcPr>
          <w:p>
            <w:pPr>
              <w:spacing w:after="0"/>
              <w:rPr>
                <w:sz w:val="20"/>
                <w:szCs w:val="20"/>
                <w:color w:val="auto"/>
              </w:rPr>
            </w:pPr>
            <w:r>
              <w:rPr>
                <w:rFonts w:ascii="Arial" w:cs="Arial" w:eastAsia="Arial" w:hAnsi="Arial"/>
                <w:sz w:val="20"/>
                <w:szCs w:val="20"/>
                <w:color w:val="auto"/>
              </w:rPr>
              <w:t>Ruby Quarry</w:t>
            </w:r>
          </w:p>
        </w:tc>
        <w:tc>
          <w:tcPr>
            <w:tcW w:w="90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900074</w:t>
            </w:r>
          </w:p>
        </w:tc>
        <w:tc>
          <w:tcPr>
            <w:tcW w:w="700" w:type="dxa"/>
            <w:vAlign w:val="bottom"/>
            <w:shd w:val="clear" w:color="auto" w:fill="CFF0FC"/>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shd w:val="clear" w:color="auto" w:fill="CFF0FC"/>
          </w:tcPr>
          <w:p>
            <w:pPr>
              <w:jc w:val="right"/>
              <w:ind w:right="28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60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6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10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580" w:type="dxa"/>
            <w:vAlign w:val="bottom"/>
          </w:tcPr>
          <w:p>
            <w:pPr>
              <w:spacing w:after="0" w:line="227" w:lineRule="exact"/>
              <w:rPr>
                <w:sz w:val="20"/>
                <w:szCs w:val="20"/>
                <w:color w:val="auto"/>
              </w:rPr>
            </w:pPr>
            <w:r>
              <w:rPr>
                <w:rFonts w:ascii="Arial" w:cs="Arial" w:eastAsia="Arial" w:hAnsi="Arial"/>
                <w:sz w:val="20"/>
                <w:szCs w:val="20"/>
                <w:color w:val="auto"/>
                <w:w w:val="99"/>
              </w:rPr>
              <w:t>Shorter Sand and</w:t>
            </w:r>
          </w:p>
        </w:tc>
        <w:tc>
          <w:tcPr>
            <w:tcW w:w="9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1600" w:type="dxa"/>
            <w:vAlign w:val="bottom"/>
            <w:gridSpan w:val="2"/>
          </w:tcPr>
          <w:p>
            <w:pPr>
              <w:spacing w:after="0"/>
              <w:rPr>
                <w:sz w:val="20"/>
                <w:szCs w:val="20"/>
                <w:color w:val="auto"/>
              </w:rPr>
            </w:pPr>
            <w:r>
              <w:rPr>
                <w:rFonts w:ascii="Arial" w:cs="Arial" w:eastAsia="Arial" w:hAnsi="Arial"/>
                <w:sz w:val="20"/>
                <w:szCs w:val="20"/>
                <w:color w:val="auto"/>
              </w:rPr>
              <w:t>Gravel</w:t>
            </w:r>
          </w:p>
        </w:tc>
        <w:tc>
          <w:tcPr>
            <w:tcW w:w="900" w:type="dxa"/>
            <w:vAlign w:val="bottom"/>
          </w:tcPr>
          <w:p>
            <w:pPr>
              <w:jc w:val="right"/>
              <w:ind w:right="81"/>
              <w:spacing w:after="0"/>
              <w:rPr>
                <w:sz w:val="20"/>
                <w:szCs w:val="20"/>
                <w:color w:val="auto"/>
              </w:rPr>
            </w:pPr>
            <w:r>
              <w:rPr>
                <w:rFonts w:ascii="Arial" w:cs="Arial" w:eastAsia="Arial" w:hAnsi="Arial"/>
                <w:sz w:val="20"/>
                <w:szCs w:val="20"/>
                <w:color w:val="auto"/>
              </w:rPr>
              <w:t>102852</w:t>
            </w:r>
          </w:p>
        </w:tc>
        <w:tc>
          <w:tcPr>
            <w:tcW w:w="700" w:type="dxa"/>
            <w:vAlign w:val="bottom"/>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tcPr>
          <w:p>
            <w:pPr>
              <w:jc w:val="right"/>
              <w:ind w:right="281"/>
              <w:spacing w:after="0"/>
              <w:rPr>
                <w:sz w:val="20"/>
                <w:szCs w:val="20"/>
                <w:color w:val="auto"/>
              </w:rPr>
            </w:pPr>
            <w:r>
              <w:rPr>
                <w:rFonts w:ascii="Arial" w:cs="Arial" w:eastAsia="Arial" w:hAnsi="Arial"/>
                <w:sz w:val="20"/>
                <w:szCs w:val="20"/>
                <w:color w:val="auto"/>
              </w:rPr>
              <w:t>0</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42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60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480" w:type="dxa"/>
            <w:vAlign w:val="bottom"/>
          </w:tcPr>
          <w:p>
            <w:pPr>
              <w:jc w:val="right"/>
              <w:ind w:right="121"/>
              <w:spacing w:after="0"/>
              <w:rPr>
                <w:sz w:val="20"/>
                <w:szCs w:val="20"/>
                <w:color w:val="auto"/>
              </w:rPr>
            </w:pPr>
            <w:r>
              <w:rPr>
                <w:rFonts w:ascii="Arial" w:cs="Arial" w:eastAsia="Arial" w:hAnsi="Arial"/>
                <w:sz w:val="20"/>
                <w:szCs w:val="20"/>
                <w:color w:val="auto"/>
              </w:rPr>
              <w:t>0</w:t>
            </w:r>
          </w:p>
        </w:tc>
        <w:tc>
          <w:tcPr>
            <w:tcW w:w="720" w:type="dxa"/>
            <w:vAlign w:val="bottom"/>
          </w:tcPr>
          <w:p>
            <w:pPr>
              <w:ind w:left="24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6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480" w:type="dxa"/>
            <w:vAlign w:val="bottom"/>
          </w:tcPr>
          <w:p>
            <w:pPr>
              <w:jc w:val="right"/>
              <w:spacing w:after="0"/>
              <w:rPr>
                <w:sz w:val="20"/>
                <w:szCs w:val="20"/>
                <w:color w:val="auto"/>
              </w:rPr>
            </w:pPr>
            <w:r>
              <w:rPr>
                <w:rFonts w:ascii="Arial" w:cs="Arial" w:eastAsia="Arial" w:hAnsi="Arial"/>
                <w:sz w:val="20"/>
                <w:szCs w:val="20"/>
                <w:color w:val="auto"/>
              </w:rPr>
              <w:t>0</w:t>
            </w:r>
          </w:p>
        </w:tc>
        <w:tc>
          <w:tcPr>
            <w:tcW w:w="10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580" w:type="dxa"/>
            <w:vAlign w:val="bottom"/>
            <w:shd w:val="clear" w:color="auto" w:fill="CFF0FC"/>
          </w:tcPr>
          <w:p>
            <w:pPr>
              <w:spacing w:after="0"/>
              <w:rPr>
                <w:sz w:val="20"/>
                <w:szCs w:val="20"/>
                <w:color w:val="auto"/>
              </w:rPr>
            </w:pPr>
            <w:r>
              <w:rPr>
                <w:rFonts w:ascii="Arial" w:cs="Arial" w:eastAsia="Arial" w:hAnsi="Arial"/>
                <w:sz w:val="20"/>
                <w:szCs w:val="20"/>
                <w:color w:val="auto"/>
              </w:rPr>
              <w:t>Six Mile Quarry</w:t>
            </w:r>
          </w:p>
        </w:tc>
        <w:tc>
          <w:tcPr>
            <w:tcW w:w="90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901144</w:t>
            </w:r>
          </w:p>
        </w:tc>
        <w:tc>
          <w:tcPr>
            <w:tcW w:w="700" w:type="dxa"/>
            <w:vAlign w:val="bottom"/>
            <w:shd w:val="clear" w:color="auto" w:fill="CFF0FC"/>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shd w:val="clear" w:color="auto" w:fill="CFF0FC"/>
          </w:tcPr>
          <w:p>
            <w:pPr>
              <w:jc w:val="right"/>
              <w:ind w:right="28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60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6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10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580" w:type="dxa"/>
            <w:vAlign w:val="bottom"/>
          </w:tcPr>
          <w:p>
            <w:pPr>
              <w:spacing w:after="0"/>
              <w:rPr>
                <w:sz w:val="20"/>
                <w:szCs w:val="20"/>
                <w:color w:val="auto"/>
              </w:rPr>
            </w:pPr>
            <w:r>
              <w:rPr>
                <w:rFonts w:ascii="Arial" w:cs="Arial" w:eastAsia="Arial" w:hAnsi="Arial"/>
                <w:sz w:val="20"/>
                <w:szCs w:val="20"/>
                <w:color w:val="auto"/>
              </w:rPr>
              <w:t>Tyrone Quarry</w:t>
            </w:r>
          </w:p>
        </w:tc>
        <w:tc>
          <w:tcPr>
            <w:tcW w:w="900" w:type="dxa"/>
            <w:vAlign w:val="bottom"/>
          </w:tcPr>
          <w:p>
            <w:pPr>
              <w:jc w:val="right"/>
              <w:ind w:right="81"/>
              <w:spacing w:after="0"/>
              <w:rPr>
                <w:sz w:val="20"/>
                <w:szCs w:val="20"/>
                <w:color w:val="auto"/>
              </w:rPr>
            </w:pPr>
            <w:r>
              <w:rPr>
                <w:rFonts w:ascii="Arial" w:cs="Arial" w:eastAsia="Arial" w:hAnsi="Arial"/>
                <w:sz w:val="20"/>
                <w:szCs w:val="20"/>
                <w:color w:val="auto"/>
              </w:rPr>
              <w:t>900306</w:t>
            </w:r>
          </w:p>
        </w:tc>
        <w:tc>
          <w:tcPr>
            <w:tcW w:w="700" w:type="dxa"/>
            <w:vAlign w:val="bottom"/>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tcPr>
          <w:p>
            <w:pPr>
              <w:jc w:val="right"/>
              <w:ind w:right="281"/>
              <w:spacing w:after="0"/>
              <w:rPr>
                <w:sz w:val="20"/>
                <w:szCs w:val="20"/>
                <w:color w:val="auto"/>
              </w:rPr>
            </w:pPr>
            <w:r>
              <w:rPr>
                <w:rFonts w:ascii="Arial" w:cs="Arial" w:eastAsia="Arial" w:hAnsi="Arial"/>
                <w:sz w:val="20"/>
                <w:szCs w:val="20"/>
                <w:color w:val="auto"/>
              </w:rPr>
              <w:t>0</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42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60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480" w:type="dxa"/>
            <w:vAlign w:val="bottom"/>
          </w:tcPr>
          <w:p>
            <w:pPr>
              <w:jc w:val="right"/>
              <w:ind w:right="121"/>
              <w:spacing w:after="0"/>
              <w:rPr>
                <w:sz w:val="20"/>
                <w:szCs w:val="20"/>
                <w:color w:val="auto"/>
              </w:rPr>
            </w:pPr>
            <w:r>
              <w:rPr>
                <w:rFonts w:ascii="Arial" w:cs="Arial" w:eastAsia="Arial" w:hAnsi="Arial"/>
                <w:sz w:val="20"/>
                <w:szCs w:val="20"/>
                <w:color w:val="auto"/>
              </w:rPr>
              <w:t>0</w:t>
            </w:r>
          </w:p>
        </w:tc>
        <w:tc>
          <w:tcPr>
            <w:tcW w:w="720" w:type="dxa"/>
            <w:vAlign w:val="bottom"/>
          </w:tcPr>
          <w:p>
            <w:pPr>
              <w:ind w:left="24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6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480" w:type="dxa"/>
            <w:vAlign w:val="bottom"/>
          </w:tcPr>
          <w:p>
            <w:pPr>
              <w:jc w:val="right"/>
              <w:spacing w:after="0"/>
              <w:rPr>
                <w:sz w:val="20"/>
                <w:szCs w:val="20"/>
                <w:color w:val="auto"/>
              </w:rPr>
            </w:pPr>
            <w:r>
              <w:rPr>
                <w:rFonts w:ascii="Arial" w:cs="Arial" w:eastAsia="Arial" w:hAnsi="Arial"/>
                <w:sz w:val="20"/>
                <w:szCs w:val="20"/>
                <w:color w:val="auto"/>
              </w:rPr>
              <w:t>0</w:t>
            </w:r>
          </w:p>
        </w:tc>
        <w:tc>
          <w:tcPr>
            <w:tcW w:w="10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58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rPr>
              <w:t>Vance Quarry</w:t>
            </w:r>
          </w:p>
        </w:tc>
        <w:tc>
          <w:tcPr>
            <w:tcW w:w="9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580" w:type="dxa"/>
            <w:vAlign w:val="bottom"/>
            <w:shd w:val="clear" w:color="auto" w:fill="CFF0FC"/>
          </w:tcPr>
          <w:p>
            <w:pPr>
              <w:spacing w:after="0"/>
              <w:rPr>
                <w:sz w:val="20"/>
                <w:szCs w:val="20"/>
                <w:color w:val="auto"/>
              </w:rPr>
            </w:pPr>
            <w:r>
              <w:rPr>
                <w:rFonts w:ascii="Arial" w:cs="Arial" w:eastAsia="Arial" w:hAnsi="Arial"/>
                <w:sz w:val="20"/>
                <w:szCs w:val="20"/>
                <w:color w:val="auto"/>
              </w:rPr>
              <w:t>Co19</w:t>
            </w:r>
          </w:p>
        </w:tc>
        <w:tc>
          <w:tcPr>
            <w:tcW w:w="90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103022</w:t>
            </w:r>
          </w:p>
        </w:tc>
        <w:tc>
          <w:tcPr>
            <w:tcW w:w="700" w:type="dxa"/>
            <w:vAlign w:val="bottom"/>
            <w:shd w:val="clear" w:color="auto" w:fill="CFF0FC"/>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shd w:val="clear" w:color="auto" w:fill="CFF0FC"/>
          </w:tcPr>
          <w:p>
            <w:pPr>
              <w:jc w:val="right"/>
              <w:ind w:right="28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60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6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10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580" w:type="dxa"/>
            <w:vAlign w:val="bottom"/>
          </w:tcPr>
          <w:p>
            <w:pPr>
              <w:spacing w:after="0"/>
              <w:rPr>
                <w:sz w:val="20"/>
                <w:szCs w:val="20"/>
                <w:color w:val="auto"/>
              </w:rPr>
            </w:pPr>
            <w:r>
              <w:rPr>
                <w:rFonts w:ascii="Arial" w:cs="Arial" w:eastAsia="Arial" w:hAnsi="Arial"/>
                <w:sz w:val="20"/>
                <w:szCs w:val="20"/>
                <w:color w:val="auto"/>
                <w:w w:val="97"/>
              </w:rPr>
              <w:t>Warrenton Quarry</w:t>
            </w:r>
          </w:p>
        </w:tc>
        <w:tc>
          <w:tcPr>
            <w:tcW w:w="900" w:type="dxa"/>
            <w:vAlign w:val="bottom"/>
          </w:tcPr>
          <w:p>
            <w:pPr>
              <w:jc w:val="right"/>
              <w:ind w:right="81"/>
              <w:spacing w:after="0"/>
              <w:rPr>
                <w:sz w:val="20"/>
                <w:szCs w:val="20"/>
                <w:color w:val="auto"/>
              </w:rPr>
            </w:pPr>
            <w:r>
              <w:rPr>
                <w:rFonts w:ascii="Arial" w:cs="Arial" w:eastAsia="Arial" w:hAnsi="Arial"/>
                <w:sz w:val="20"/>
                <w:szCs w:val="20"/>
                <w:color w:val="auto"/>
              </w:rPr>
              <w:t>900580</w:t>
            </w:r>
          </w:p>
        </w:tc>
        <w:tc>
          <w:tcPr>
            <w:tcW w:w="700" w:type="dxa"/>
            <w:vAlign w:val="bottom"/>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tcPr>
          <w:p>
            <w:pPr>
              <w:jc w:val="right"/>
              <w:ind w:right="281"/>
              <w:spacing w:after="0"/>
              <w:rPr>
                <w:sz w:val="20"/>
                <w:szCs w:val="20"/>
                <w:color w:val="auto"/>
              </w:rPr>
            </w:pPr>
            <w:r>
              <w:rPr>
                <w:rFonts w:ascii="Arial" w:cs="Arial" w:eastAsia="Arial" w:hAnsi="Arial"/>
                <w:sz w:val="20"/>
                <w:szCs w:val="20"/>
                <w:color w:val="auto"/>
              </w:rPr>
              <w:t>0</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42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60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480" w:type="dxa"/>
            <w:vAlign w:val="bottom"/>
          </w:tcPr>
          <w:p>
            <w:pPr>
              <w:jc w:val="right"/>
              <w:ind w:right="121"/>
              <w:spacing w:after="0"/>
              <w:rPr>
                <w:sz w:val="20"/>
                <w:szCs w:val="20"/>
                <w:color w:val="auto"/>
              </w:rPr>
            </w:pPr>
            <w:r>
              <w:rPr>
                <w:rFonts w:ascii="Arial" w:cs="Arial" w:eastAsia="Arial" w:hAnsi="Arial"/>
                <w:sz w:val="20"/>
                <w:szCs w:val="20"/>
                <w:color w:val="auto"/>
              </w:rPr>
              <w:t>0</w:t>
            </w:r>
          </w:p>
        </w:tc>
        <w:tc>
          <w:tcPr>
            <w:tcW w:w="720" w:type="dxa"/>
            <w:vAlign w:val="bottom"/>
          </w:tcPr>
          <w:p>
            <w:pPr>
              <w:ind w:left="24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6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480" w:type="dxa"/>
            <w:vAlign w:val="bottom"/>
          </w:tcPr>
          <w:p>
            <w:pPr>
              <w:jc w:val="right"/>
              <w:spacing w:after="0"/>
              <w:rPr>
                <w:sz w:val="20"/>
                <w:szCs w:val="20"/>
                <w:color w:val="auto"/>
              </w:rPr>
            </w:pPr>
            <w:r>
              <w:rPr>
                <w:rFonts w:ascii="Arial" w:cs="Arial" w:eastAsia="Arial" w:hAnsi="Arial"/>
                <w:sz w:val="20"/>
                <w:szCs w:val="20"/>
                <w:color w:val="auto"/>
              </w:rPr>
              <w:t>0</w:t>
            </w:r>
          </w:p>
        </w:tc>
        <w:tc>
          <w:tcPr>
            <w:tcW w:w="10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58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rPr>
              <w:t>Alden Portable</w:t>
            </w:r>
          </w:p>
        </w:tc>
        <w:tc>
          <w:tcPr>
            <w:tcW w:w="9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580" w:type="dxa"/>
            <w:vAlign w:val="bottom"/>
            <w:shd w:val="clear" w:color="auto" w:fill="CFF0FC"/>
          </w:tcPr>
          <w:p>
            <w:pPr>
              <w:spacing w:after="0"/>
              <w:rPr>
                <w:sz w:val="20"/>
                <w:szCs w:val="20"/>
                <w:color w:val="auto"/>
              </w:rPr>
            </w:pPr>
            <w:r>
              <w:rPr>
                <w:rFonts w:ascii="Arial" w:cs="Arial" w:eastAsia="Arial" w:hAnsi="Arial"/>
                <w:sz w:val="20"/>
                <w:szCs w:val="20"/>
                <w:color w:val="auto"/>
              </w:rPr>
              <w:t>Sand</w:t>
            </w:r>
          </w:p>
        </w:tc>
        <w:tc>
          <w:tcPr>
            <w:tcW w:w="90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w w:val="89"/>
              </w:rPr>
              <w:t>1302037</w:t>
            </w:r>
          </w:p>
        </w:tc>
        <w:tc>
          <w:tcPr>
            <w:tcW w:w="700" w:type="dxa"/>
            <w:vAlign w:val="bottom"/>
            <w:shd w:val="clear" w:color="auto" w:fill="CFF0FC"/>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shd w:val="clear" w:color="auto" w:fill="CFF0FC"/>
          </w:tcPr>
          <w:p>
            <w:pPr>
              <w:jc w:val="right"/>
              <w:ind w:right="28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60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6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10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580" w:type="dxa"/>
            <w:vAlign w:val="bottom"/>
          </w:tcPr>
          <w:p>
            <w:pPr>
              <w:spacing w:after="0" w:line="227" w:lineRule="exact"/>
              <w:rPr>
                <w:sz w:val="20"/>
                <w:szCs w:val="20"/>
                <w:color w:val="auto"/>
              </w:rPr>
            </w:pPr>
            <w:r>
              <w:rPr>
                <w:rFonts w:ascii="Arial" w:cs="Arial" w:eastAsia="Arial" w:hAnsi="Arial"/>
                <w:sz w:val="20"/>
                <w:szCs w:val="20"/>
                <w:color w:val="auto"/>
              </w:rPr>
              <w:t>Alden Portable</w:t>
            </w:r>
          </w:p>
        </w:tc>
        <w:tc>
          <w:tcPr>
            <w:tcW w:w="9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1600" w:type="dxa"/>
            <w:vAlign w:val="bottom"/>
            <w:gridSpan w:val="2"/>
          </w:tcPr>
          <w:p>
            <w:pPr>
              <w:spacing w:after="0"/>
              <w:rPr>
                <w:sz w:val="20"/>
                <w:szCs w:val="20"/>
                <w:color w:val="auto"/>
              </w:rPr>
            </w:pPr>
            <w:r>
              <w:rPr>
                <w:rFonts w:ascii="Arial" w:cs="Arial" w:eastAsia="Arial" w:hAnsi="Arial"/>
                <w:sz w:val="20"/>
                <w:szCs w:val="20"/>
                <w:color w:val="auto"/>
              </w:rPr>
              <w:t>Plant 1</w:t>
            </w:r>
          </w:p>
        </w:tc>
        <w:tc>
          <w:tcPr>
            <w:tcW w:w="900" w:type="dxa"/>
            <w:vAlign w:val="bottom"/>
          </w:tcPr>
          <w:p>
            <w:pPr>
              <w:jc w:val="right"/>
              <w:ind w:right="81"/>
              <w:spacing w:after="0"/>
              <w:rPr>
                <w:sz w:val="20"/>
                <w:szCs w:val="20"/>
                <w:color w:val="auto"/>
              </w:rPr>
            </w:pPr>
            <w:r>
              <w:rPr>
                <w:rFonts w:ascii="Arial" w:cs="Arial" w:eastAsia="Arial" w:hAnsi="Arial"/>
                <w:sz w:val="20"/>
                <w:szCs w:val="20"/>
                <w:color w:val="auto"/>
                <w:w w:val="89"/>
              </w:rPr>
              <w:t>1302031</w:t>
            </w:r>
          </w:p>
        </w:tc>
        <w:tc>
          <w:tcPr>
            <w:tcW w:w="700" w:type="dxa"/>
            <w:vAlign w:val="bottom"/>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tcPr>
          <w:p>
            <w:pPr>
              <w:jc w:val="right"/>
              <w:ind w:right="281"/>
              <w:spacing w:after="0"/>
              <w:rPr>
                <w:sz w:val="20"/>
                <w:szCs w:val="20"/>
                <w:color w:val="auto"/>
              </w:rPr>
            </w:pPr>
            <w:r>
              <w:rPr>
                <w:rFonts w:ascii="Arial" w:cs="Arial" w:eastAsia="Arial" w:hAnsi="Arial"/>
                <w:sz w:val="20"/>
                <w:szCs w:val="20"/>
                <w:color w:val="auto"/>
              </w:rPr>
              <w:t>0</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42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600" w:type="dxa"/>
            <w:vAlign w:val="bottom"/>
          </w:tcPr>
          <w:p>
            <w:pPr>
              <w:jc w:val="right"/>
              <w:ind w:right="41"/>
              <w:spacing w:after="0"/>
              <w:rPr>
                <w:sz w:val="20"/>
                <w:szCs w:val="20"/>
                <w:color w:val="auto"/>
              </w:rPr>
            </w:pPr>
            <w:r>
              <w:rPr>
                <w:rFonts w:ascii="Arial" w:cs="Arial" w:eastAsia="Arial" w:hAnsi="Arial"/>
                <w:sz w:val="20"/>
                <w:szCs w:val="20"/>
                <w:color w:val="auto"/>
              </w:rPr>
              <w:t>127</w:t>
            </w:r>
          </w:p>
        </w:tc>
        <w:tc>
          <w:tcPr>
            <w:tcW w:w="480" w:type="dxa"/>
            <w:vAlign w:val="bottom"/>
          </w:tcPr>
          <w:p>
            <w:pPr>
              <w:jc w:val="right"/>
              <w:ind w:right="121"/>
              <w:spacing w:after="0"/>
              <w:rPr>
                <w:sz w:val="20"/>
                <w:szCs w:val="20"/>
                <w:color w:val="auto"/>
              </w:rPr>
            </w:pPr>
            <w:r>
              <w:rPr>
                <w:rFonts w:ascii="Arial" w:cs="Arial" w:eastAsia="Arial" w:hAnsi="Arial"/>
                <w:sz w:val="20"/>
                <w:szCs w:val="20"/>
                <w:color w:val="auto"/>
              </w:rPr>
              <w:t>0</w:t>
            </w:r>
          </w:p>
        </w:tc>
        <w:tc>
          <w:tcPr>
            <w:tcW w:w="720" w:type="dxa"/>
            <w:vAlign w:val="bottom"/>
          </w:tcPr>
          <w:p>
            <w:pPr>
              <w:ind w:left="24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6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480" w:type="dxa"/>
            <w:vAlign w:val="bottom"/>
          </w:tcPr>
          <w:p>
            <w:pPr>
              <w:jc w:val="right"/>
              <w:spacing w:after="0"/>
              <w:rPr>
                <w:sz w:val="20"/>
                <w:szCs w:val="20"/>
                <w:color w:val="auto"/>
              </w:rPr>
            </w:pPr>
            <w:r>
              <w:rPr>
                <w:rFonts w:ascii="Arial" w:cs="Arial" w:eastAsia="Arial" w:hAnsi="Arial"/>
                <w:sz w:val="20"/>
                <w:szCs w:val="20"/>
                <w:color w:val="auto"/>
              </w:rPr>
              <w:t>0</w:t>
            </w:r>
          </w:p>
        </w:tc>
        <w:tc>
          <w:tcPr>
            <w:tcW w:w="10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43"/>
        </w:trPr>
        <w:tc>
          <w:tcPr>
            <w:tcW w:w="2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2" w:right="219"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251"/>
        </w:trPr>
        <w:tc>
          <w:tcPr>
            <w:tcW w:w="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20" w:type="dxa"/>
            <w:vAlign w:val="bottom"/>
            <w:gridSpan w:val="2"/>
          </w:tcPr>
          <w:p>
            <w:pPr>
              <w:ind w:left="80"/>
              <w:spacing w:after="0"/>
              <w:rPr>
                <w:sz w:val="20"/>
                <w:szCs w:val="20"/>
                <w:color w:val="auto"/>
              </w:rPr>
            </w:pPr>
            <w:r>
              <w:rPr>
                <w:rFonts w:ascii="Arial" w:cs="Arial" w:eastAsia="Arial" w:hAnsi="Arial"/>
                <w:sz w:val="20"/>
                <w:szCs w:val="20"/>
                <w:color w:val="auto"/>
                <w:w w:val="91"/>
              </w:rPr>
              <w:t>Appendix 1</w:t>
            </w:r>
          </w:p>
        </w:tc>
        <w:tc>
          <w:tcPr>
            <w:tcW w:w="0" w:type="dxa"/>
            <w:vAlign w:val="bottom"/>
          </w:tcPr>
          <w:p>
            <w:pPr>
              <w:spacing w:after="0"/>
              <w:rPr>
                <w:sz w:val="1"/>
                <w:szCs w:val="1"/>
                <w:color w:val="auto"/>
              </w:rPr>
            </w:pPr>
          </w:p>
        </w:tc>
      </w:tr>
      <w:tr>
        <w:trPr>
          <w:trHeight w:val="226"/>
        </w:trPr>
        <w:tc>
          <w:tcPr>
            <w:tcW w:w="20" w:type="dxa"/>
            <w:vAlign w:val="bottom"/>
            <w:vMerge w:val="restart"/>
          </w:tcPr>
          <w:p>
            <w:pPr>
              <w:spacing w:after="0"/>
              <w:rPr>
                <w:sz w:val="19"/>
                <w:szCs w:val="19"/>
                <w:color w:val="auto"/>
              </w:rPr>
            </w:pPr>
          </w:p>
        </w:tc>
        <w:tc>
          <w:tcPr>
            <w:tcW w:w="15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 w:type="dxa"/>
            <w:vAlign w:val="bottom"/>
            <w:vMerge w:val="continue"/>
          </w:tcPr>
          <w:p>
            <w:pPr>
              <w:spacing w:after="0"/>
              <w:rPr>
                <w:sz w:val="19"/>
                <w:szCs w:val="19"/>
                <w:color w:val="auto"/>
              </w:rPr>
            </w:pPr>
          </w:p>
        </w:tc>
        <w:tc>
          <w:tcPr>
            <w:tcW w:w="152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rPr>
              <w:t>Alden Portable</w:t>
            </w:r>
          </w:p>
        </w:tc>
        <w:tc>
          <w:tcPr>
            <w:tcW w:w="9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520" w:type="dxa"/>
            <w:vAlign w:val="bottom"/>
            <w:shd w:val="clear" w:color="auto" w:fill="CFF0FC"/>
          </w:tcPr>
          <w:p>
            <w:pPr>
              <w:spacing w:after="0"/>
              <w:rPr>
                <w:sz w:val="20"/>
                <w:szCs w:val="20"/>
                <w:color w:val="auto"/>
              </w:rPr>
            </w:pPr>
            <w:r>
              <w:rPr>
                <w:rFonts w:ascii="Arial" w:cs="Arial" w:eastAsia="Arial" w:hAnsi="Arial"/>
                <w:sz w:val="20"/>
                <w:szCs w:val="20"/>
                <w:color w:val="auto"/>
              </w:rPr>
              <w:t>Plant 2</w:t>
            </w:r>
          </w:p>
        </w:tc>
        <w:tc>
          <w:tcPr>
            <w:tcW w:w="9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w w:val="97"/>
              </w:rPr>
              <w:t>1302033</w:t>
            </w:r>
          </w:p>
        </w:tc>
        <w:tc>
          <w:tcPr>
            <w:tcW w:w="700" w:type="dxa"/>
            <w:vAlign w:val="bottom"/>
            <w:shd w:val="clear" w:color="auto" w:fill="CFF0FC"/>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shd w:val="clear" w:color="auto" w:fill="CFF0FC"/>
          </w:tcPr>
          <w:p>
            <w:pPr>
              <w:jc w:val="right"/>
              <w:ind w:right="28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8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200</w:t>
            </w:r>
          </w:p>
        </w:tc>
        <w:tc>
          <w:tcPr>
            <w:tcW w:w="4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6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10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520" w:type="dxa"/>
            <w:vAlign w:val="bottom"/>
          </w:tcPr>
          <w:p>
            <w:pPr>
              <w:spacing w:after="0" w:line="227" w:lineRule="exact"/>
              <w:rPr>
                <w:sz w:val="20"/>
                <w:szCs w:val="20"/>
                <w:color w:val="auto"/>
              </w:rPr>
            </w:pPr>
            <w:r>
              <w:rPr>
                <w:rFonts w:ascii="Arial" w:cs="Arial" w:eastAsia="Arial" w:hAnsi="Arial"/>
                <w:sz w:val="20"/>
                <w:szCs w:val="20"/>
                <w:color w:val="auto"/>
              </w:rPr>
              <w:t>Alden Portable</w:t>
            </w:r>
          </w:p>
        </w:tc>
        <w:tc>
          <w:tcPr>
            <w:tcW w:w="9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1540" w:type="dxa"/>
            <w:vAlign w:val="bottom"/>
            <w:gridSpan w:val="2"/>
          </w:tcPr>
          <w:p>
            <w:pPr>
              <w:spacing w:after="0"/>
              <w:rPr>
                <w:sz w:val="20"/>
                <w:szCs w:val="20"/>
                <w:color w:val="auto"/>
              </w:rPr>
            </w:pPr>
            <w:r>
              <w:rPr>
                <w:rFonts w:ascii="Arial" w:cs="Arial" w:eastAsia="Arial" w:hAnsi="Arial"/>
                <w:sz w:val="20"/>
                <w:szCs w:val="20"/>
                <w:color w:val="auto"/>
              </w:rPr>
              <w:t>Wash</w:t>
            </w:r>
          </w:p>
        </w:tc>
        <w:tc>
          <w:tcPr>
            <w:tcW w:w="960" w:type="dxa"/>
            <w:vAlign w:val="bottom"/>
          </w:tcPr>
          <w:p>
            <w:pPr>
              <w:jc w:val="right"/>
              <w:ind w:right="81"/>
              <w:spacing w:after="0"/>
              <w:rPr>
                <w:sz w:val="20"/>
                <w:szCs w:val="20"/>
                <w:color w:val="auto"/>
              </w:rPr>
            </w:pPr>
            <w:r>
              <w:rPr>
                <w:rFonts w:ascii="Arial" w:cs="Arial" w:eastAsia="Arial" w:hAnsi="Arial"/>
                <w:sz w:val="20"/>
                <w:szCs w:val="20"/>
                <w:color w:val="auto"/>
                <w:w w:val="97"/>
              </w:rPr>
              <w:t>1302122</w:t>
            </w:r>
          </w:p>
        </w:tc>
        <w:tc>
          <w:tcPr>
            <w:tcW w:w="700" w:type="dxa"/>
            <w:vAlign w:val="bottom"/>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tcPr>
          <w:p>
            <w:pPr>
              <w:jc w:val="right"/>
              <w:ind w:right="281"/>
              <w:spacing w:after="0"/>
              <w:rPr>
                <w:sz w:val="20"/>
                <w:szCs w:val="20"/>
                <w:color w:val="auto"/>
              </w:rPr>
            </w:pPr>
            <w:r>
              <w:rPr>
                <w:rFonts w:ascii="Arial" w:cs="Arial" w:eastAsia="Arial" w:hAnsi="Arial"/>
                <w:sz w:val="20"/>
                <w:szCs w:val="20"/>
                <w:color w:val="auto"/>
              </w:rPr>
              <w:t>0</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340" w:type="dxa"/>
            <w:vAlign w:val="bottom"/>
          </w:tcPr>
          <w:p>
            <w:pPr>
              <w:jc w:val="right"/>
              <w:spacing w:after="0"/>
              <w:rPr>
                <w:sz w:val="20"/>
                <w:szCs w:val="20"/>
                <w:color w:val="auto"/>
              </w:rPr>
            </w:pPr>
            <w:r>
              <w:rPr>
                <w:rFonts w:ascii="Arial" w:cs="Arial" w:eastAsia="Arial" w:hAnsi="Arial"/>
                <w:sz w:val="20"/>
                <w:szCs w:val="20"/>
                <w:color w:val="auto"/>
              </w:rPr>
              <w:t>$</w:t>
            </w:r>
          </w:p>
        </w:tc>
        <w:tc>
          <w:tcPr>
            <w:tcW w:w="68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480" w:type="dxa"/>
            <w:vAlign w:val="bottom"/>
          </w:tcPr>
          <w:p>
            <w:pPr>
              <w:jc w:val="right"/>
              <w:ind w:right="121"/>
              <w:spacing w:after="0"/>
              <w:rPr>
                <w:sz w:val="20"/>
                <w:szCs w:val="20"/>
                <w:color w:val="auto"/>
              </w:rPr>
            </w:pPr>
            <w:r>
              <w:rPr>
                <w:rFonts w:ascii="Arial" w:cs="Arial" w:eastAsia="Arial" w:hAnsi="Arial"/>
                <w:sz w:val="20"/>
                <w:szCs w:val="20"/>
                <w:color w:val="auto"/>
              </w:rPr>
              <w:t>0</w:t>
            </w:r>
          </w:p>
        </w:tc>
        <w:tc>
          <w:tcPr>
            <w:tcW w:w="720" w:type="dxa"/>
            <w:vAlign w:val="bottom"/>
          </w:tcPr>
          <w:p>
            <w:pPr>
              <w:ind w:left="24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6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480" w:type="dxa"/>
            <w:vAlign w:val="bottom"/>
          </w:tcPr>
          <w:p>
            <w:pPr>
              <w:jc w:val="right"/>
              <w:spacing w:after="0"/>
              <w:rPr>
                <w:sz w:val="20"/>
                <w:szCs w:val="20"/>
                <w:color w:val="auto"/>
              </w:rPr>
            </w:pPr>
            <w:r>
              <w:rPr>
                <w:rFonts w:ascii="Arial" w:cs="Arial" w:eastAsia="Arial" w:hAnsi="Arial"/>
                <w:sz w:val="20"/>
                <w:szCs w:val="20"/>
                <w:color w:val="auto"/>
              </w:rPr>
              <w:t>0</w:t>
            </w:r>
          </w:p>
        </w:tc>
        <w:tc>
          <w:tcPr>
            <w:tcW w:w="10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52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rPr>
              <w:t>Alden Quarry -</w:t>
            </w:r>
          </w:p>
        </w:tc>
        <w:tc>
          <w:tcPr>
            <w:tcW w:w="9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520" w:type="dxa"/>
            <w:vAlign w:val="bottom"/>
            <w:shd w:val="clear" w:color="auto" w:fill="CFF0FC"/>
          </w:tcPr>
          <w:p>
            <w:pPr>
              <w:spacing w:after="0"/>
              <w:rPr>
                <w:sz w:val="20"/>
                <w:szCs w:val="20"/>
                <w:color w:val="auto"/>
              </w:rPr>
            </w:pPr>
            <w:r>
              <w:rPr>
                <w:rFonts w:ascii="Arial" w:cs="Arial" w:eastAsia="Arial" w:hAnsi="Arial"/>
                <w:sz w:val="20"/>
                <w:szCs w:val="20"/>
                <w:color w:val="auto"/>
              </w:rPr>
              <w:t>Shop</w:t>
            </w:r>
          </w:p>
        </w:tc>
        <w:tc>
          <w:tcPr>
            <w:tcW w:w="9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w w:val="97"/>
              </w:rPr>
              <w:t>1300228</w:t>
            </w:r>
          </w:p>
        </w:tc>
        <w:tc>
          <w:tcPr>
            <w:tcW w:w="700" w:type="dxa"/>
            <w:vAlign w:val="bottom"/>
            <w:shd w:val="clear" w:color="auto" w:fill="CFF0FC"/>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shd w:val="clear" w:color="auto" w:fill="CFF0FC"/>
          </w:tcPr>
          <w:p>
            <w:pPr>
              <w:jc w:val="right"/>
              <w:ind w:right="28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8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6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10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520" w:type="dxa"/>
            <w:vAlign w:val="bottom"/>
          </w:tcPr>
          <w:p>
            <w:pPr>
              <w:spacing w:after="0"/>
              <w:rPr>
                <w:sz w:val="20"/>
                <w:szCs w:val="20"/>
                <w:color w:val="auto"/>
              </w:rPr>
            </w:pPr>
            <w:r>
              <w:rPr>
                <w:rFonts w:ascii="Arial" w:cs="Arial" w:eastAsia="Arial" w:hAnsi="Arial"/>
                <w:sz w:val="20"/>
                <w:szCs w:val="20"/>
                <w:color w:val="auto"/>
              </w:rPr>
              <w:t>Alden Shop</w:t>
            </w:r>
          </w:p>
        </w:tc>
        <w:tc>
          <w:tcPr>
            <w:tcW w:w="960" w:type="dxa"/>
            <w:vAlign w:val="bottom"/>
          </w:tcPr>
          <w:p>
            <w:pPr>
              <w:jc w:val="right"/>
              <w:ind w:right="81"/>
              <w:spacing w:after="0"/>
              <w:rPr>
                <w:sz w:val="20"/>
                <w:szCs w:val="20"/>
                <w:color w:val="auto"/>
              </w:rPr>
            </w:pPr>
            <w:r>
              <w:rPr>
                <w:rFonts w:ascii="Arial" w:cs="Arial" w:eastAsia="Arial" w:hAnsi="Arial"/>
                <w:sz w:val="20"/>
                <w:szCs w:val="20"/>
                <w:color w:val="auto"/>
                <w:w w:val="97"/>
              </w:rPr>
              <w:t>1302320</w:t>
            </w:r>
          </w:p>
        </w:tc>
        <w:tc>
          <w:tcPr>
            <w:tcW w:w="700" w:type="dxa"/>
            <w:vAlign w:val="bottom"/>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tcPr>
          <w:p>
            <w:pPr>
              <w:jc w:val="right"/>
              <w:ind w:right="281"/>
              <w:spacing w:after="0"/>
              <w:rPr>
                <w:sz w:val="20"/>
                <w:szCs w:val="20"/>
                <w:color w:val="auto"/>
              </w:rPr>
            </w:pPr>
            <w:r>
              <w:rPr>
                <w:rFonts w:ascii="Arial" w:cs="Arial" w:eastAsia="Arial" w:hAnsi="Arial"/>
                <w:sz w:val="20"/>
                <w:szCs w:val="20"/>
                <w:color w:val="auto"/>
              </w:rPr>
              <w:t>0</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340" w:type="dxa"/>
            <w:vAlign w:val="bottom"/>
          </w:tcPr>
          <w:p>
            <w:pPr>
              <w:jc w:val="right"/>
              <w:spacing w:after="0"/>
              <w:rPr>
                <w:sz w:val="20"/>
                <w:szCs w:val="20"/>
                <w:color w:val="auto"/>
              </w:rPr>
            </w:pPr>
            <w:r>
              <w:rPr>
                <w:rFonts w:ascii="Arial" w:cs="Arial" w:eastAsia="Arial" w:hAnsi="Arial"/>
                <w:sz w:val="20"/>
                <w:szCs w:val="20"/>
                <w:color w:val="auto"/>
              </w:rPr>
              <w:t>$</w:t>
            </w:r>
          </w:p>
        </w:tc>
        <w:tc>
          <w:tcPr>
            <w:tcW w:w="68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480" w:type="dxa"/>
            <w:vAlign w:val="bottom"/>
          </w:tcPr>
          <w:p>
            <w:pPr>
              <w:jc w:val="right"/>
              <w:ind w:right="121"/>
              <w:spacing w:after="0"/>
              <w:rPr>
                <w:sz w:val="20"/>
                <w:szCs w:val="20"/>
                <w:color w:val="auto"/>
              </w:rPr>
            </w:pPr>
            <w:r>
              <w:rPr>
                <w:rFonts w:ascii="Arial" w:cs="Arial" w:eastAsia="Arial" w:hAnsi="Arial"/>
                <w:sz w:val="20"/>
                <w:szCs w:val="20"/>
                <w:color w:val="auto"/>
              </w:rPr>
              <w:t>0</w:t>
            </w:r>
          </w:p>
        </w:tc>
        <w:tc>
          <w:tcPr>
            <w:tcW w:w="720" w:type="dxa"/>
            <w:vAlign w:val="bottom"/>
          </w:tcPr>
          <w:p>
            <w:pPr>
              <w:ind w:left="24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6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480" w:type="dxa"/>
            <w:vAlign w:val="bottom"/>
          </w:tcPr>
          <w:p>
            <w:pPr>
              <w:jc w:val="right"/>
              <w:spacing w:after="0"/>
              <w:rPr>
                <w:sz w:val="20"/>
                <w:szCs w:val="20"/>
                <w:color w:val="auto"/>
              </w:rPr>
            </w:pPr>
            <w:r>
              <w:rPr>
                <w:rFonts w:ascii="Arial" w:cs="Arial" w:eastAsia="Arial" w:hAnsi="Arial"/>
                <w:sz w:val="20"/>
                <w:szCs w:val="20"/>
                <w:color w:val="auto"/>
              </w:rPr>
              <w:t>0</w:t>
            </w:r>
          </w:p>
        </w:tc>
        <w:tc>
          <w:tcPr>
            <w:tcW w:w="10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520" w:type="dxa"/>
            <w:vAlign w:val="bottom"/>
            <w:shd w:val="clear" w:color="auto" w:fill="CFF0FC"/>
          </w:tcPr>
          <w:p>
            <w:pPr>
              <w:spacing w:after="0"/>
              <w:rPr>
                <w:sz w:val="20"/>
                <w:szCs w:val="20"/>
                <w:color w:val="auto"/>
              </w:rPr>
            </w:pPr>
            <w:r>
              <w:rPr>
                <w:rFonts w:ascii="Arial" w:cs="Arial" w:eastAsia="Arial" w:hAnsi="Arial"/>
                <w:sz w:val="20"/>
                <w:szCs w:val="20"/>
                <w:color w:val="auto"/>
              </w:rPr>
              <w:t>Ames Mine</w:t>
            </w:r>
          </w:p>
        </w:tc>
        <w:tc>
          <w:tcPr>
            <w:tcW w:w="9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w w:val="97"/>
              </w:rPr>
              <w:t>1300014</w:t>
            </w:r>
          </w:p>
        </w:tc>
        <w:tc>
          <w:tcPr>
            <w:tcW w:w="700" w:type="dxa"/>
            <w:vAlign w:val="bottom"/>
            <w:shd w:val="clear" w:color="auto" w:fill="CFF0FC"/>
          </w:tcPr>
          <w:p>
            <w:pPr>
              <w:jc w:val="right"/>
              <w:ind w:right="301"/>
              <w:spacing w:after="0"/>
              <w:rPr>
                <w:sz w:val="20"/>
                <w:szCs w:val="20"/>
                <w:color w:val="auto"/>
              </w:rPr>
            </w:pPr>
            <w:r>
              <w:rPr>
                <w:rFonts w:ascii="Arial" w:cs="Arial" w:eastAsia="Arial" w:hAnsi="Arial"/>
                <w:sz w:val="20"/>
                <w:szCs w:val="20"/>
                <w:color w:val="auto"/>
              </w:rPr>
              <w:t>1</w:t>
            </w:r>
          </w:p>
        </w:tc>
        <w:tc>
          <w:tcPr>
            <w:tcW w:w="880" w:type="dxa"/>
            <w:vAlign w:val="bottom"/>
            <w:shd w:val="clear" w:color="auto" w:fill="CFF0FC"/>
          </w:tcPr>
          <w:p>
            <w:pPr>
              <w:jc w:val="right"/>
              <w:ind w:right="28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8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685</w:t>
            </w:r>
          </w:p>
        </w:tc>
        <w:tc>
          <w:tcPr>
            <w:tcW w:w="4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6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1</w:t>
            </w:r>
          </w:p>
        </w:tc>
        <w:tc>
          <w:tcPr>
            <w:tcW w:w="4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10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520" w:type="dxa"/>
            <w:vAlign w:val="bottom"/>
          </w:tcPr>
          <w:p>
            <w:pPr>
              <w:spacing w:after="0" w:line="227" w:lineRule="exact"/>
              <w:rPr>
                <w:sz w:val="20"/>
                <w:szCs w:val="20"/>
                <w:color w:val="auto"/>
              </w:rPr>
            </w:pPr>
            <w:r>
              <w:rPr>
                <w:rFonts w:ascii="Arial" w:cs="Arial" w:eastAsia="Arial" w:hAnsi="Arial"/>
                <w:sz w:val="20"/>
                <w:szCs w:val="20"/>
                <w:color w:val="auto"/>
              </w:rPr>
              <w:t>Beaver Lake</w:t>
            </w:r>
          </w:p>
        </w:tc>
        <w:tc>
          <w:tcPr>
            <w:tcW w:w="9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1540" w:type="dxa"/>
            <w:vAlign w:val="bottom"/>
            <w:gridSpan w:val="2"/>
          </w:tcPr>
          <w:p>
            <w:pPr>
              <w:spacing w:after="0"/>
              <w:rPr>
                <w:sz w:val="20"/>
                <w:szCs w:val="20"/>
                <w:color w:val="auto"/>
              </w:rPr>
            </w:pPr>
            <w:r>
              <w:rPr>
                <w:rFonts w:ascii="Arial" w:cs="Arial" w:eastAsia="Arial" w:hAnsi="Arial"/>
                <w:sz w:val="20"/>
                <w:szCs w:val="20"/>
                <w:color w:val="auto"/>
              </w:rPr>
              <w:t>Quarry</w:t>
            </w:r>
          </w:p>
        </w:tc>
        <w:tc>
          <w:tcPr>
            <w:tcW w:w="960" w:type="dxa"/>
            <w:vAlign w:val="bottom"/>
          </w:tcPr>
          <w:p>
            <w:pPr>
              <w:jc w:val="right"/>
              <w:ind w:right="81"/>
              <w:spacing w:after="0"/>
              <w:rPr>
                <w:sz w:val="20"/>
                <w:szCs w:val="20"/>
                <w:color w:val="auto"/>
              </w:rPr>
            </w:pPr>
            <w:r>
              <w:rPr>
                <w:rFonts w:ascii="Arial" w:cs="Arial" w:eastAsia="Arial" w:hAnsi="Arial"/>
                <w:sz w:val="20"/>
                <w:szCs w:val="20"/>
                <w:color w:val="auto"/>
                <w:w w:val="97"/>
              </w:rPr>
              <w:t>4503347</w:t>
            </w:r>
          </w:p>
        </w:tc>
        <w:tc>
          <w:tcPr>
            <w:tcW w:w="700" w:type="dxa"/>
            <w:vAlign w:val="bottom"/>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tcPr>
          <w:p>
            <w:pPr>
              <w:jc w:val="right"/>
              <w:ind w:right="281"/>
              <w:spacing w:after="0"/>
              <w:rPr>
                <w:sz w:val="20"/>
                <w:szCs w:val="20"/>
                <w:color w:val="auto"/>
              </w:rPr>
            </w:pPr>
            <w:r>
              <w:rPr>
                <w:rFonts w:ascii="Arial" w:cs="Arial" w:eastAsia="Arial" w:hAnsi="Arial"/>
                <w:sz w:val="20"/>
                <w:szCs w:val="20"/>
                <w:color w:val="auto"/>
              </w:rPr>
              <w:t>0</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340" w:type="dxa"/>
            <w:vAlign w:val="bottom"/>
          </w:tcPr>
          <w:p>
            <w:pPr>
              <w:jc w:val="right"/>
              <w:spacing w:after="0"/>
              <w:rPr>
                <w:sz w:val="20"/>
                <w:szCs w:val="20"/>
                <w:color w:val="auto"/>
              </w:rPr>
            </w:pPr>
            <w:r>
              <w:rPr>
                <w:rFonts w:ascii="Arial" w:cs="Arial" w:eastAsia="Arial" w:hAnsi="Arial"/>
                <w:sz w:val="20"/>
                <w:szCs w:val="20"/>
                <w:color w:val="auto"/>
              </w:rPr>
              <w:t>$</w:t>
            </w:r>
          </w:p>
        </w:tc>
        <w:tc>
          <w:tcPr>
            <w:tcW w:w="68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480" w:type="dxa"/>
            <w:vAlign w:val="bottom"/>
          </w:tcPr>
          <w:p>
            <w:pPr>
              <w:jc w:val="right"/>
              <w:ind w:right="121"/>
              <w:spacing w:after="0"/>
              <w:rPr>
                <w:sz w:val="20"/>
                <w:szCs w:val="20"/>
                <w:color w:val="auto"/>
              </w:rPr>
            </w:pPr>
            <w:r>
              <w:rPr>
                <w:rFonts w:ascii="Arial" w:cs="Arial" w:eastAsia="Arial" w:hAnsi="Arial"/>
                <w:sz w:val="20"/>
                <w:szCs w:val="20"/>
                <w:color w:val="auto"/>
              </w:rPr>
              <w:t>0</w:t>
            </w:r>
          </w:p>
        </w:tc>
        <w:tc>
          <w:tcPr>
            <w:tcW w:w="720" w:type="dxa"/>
            <w:vAlign w:val="bottom"/>
          </w:tcPr>
          <w:p>
            <w:pPr>
              <w:ind w:left="24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6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480" w:type="dxa"/>
            <w:vAlign w:val="bottom"/>
          </w:tcPr>
          <w:p>
            <w:pPr>
              <w:jc w:val="right"/>
              <w:spacing w:after="0"/>
              <w:rPr>
                <w:sz w:val="20"/>
                <w:szCs w:val="20"/>
                <w:color w:val="auto"/>
              </w:rPr>
            </w:pPr>
            <w:r>
              <w:rPr>
                <w:rFonts w:ascii="Arial" w:cs="Arial" w:eastAsia="Arial" w:hAnsi="Arial"/>
                <w:sz w:val="20"/>
                <w:szCs w:val="20"/>
                <w:color w:val="auto"/>
              </w:rPr>
              <w:t>0</w:t>
            </w:r>
          </w:p>
        </w:tc>
        <w:tc>
          <w:tcPr>
            <w:tcW w:w="10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52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rPr>
              <w:t>Cedar Rapids</w:t>
            </w:r>
          </w:p>
        </w:tc>
        <w:tc>
          <w:tcPr>
            <w:tcW w:w="9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520" w:type="dxa"/>
            <w:vAlign w:val="bottom"/>
            <w:shd w:val="clear" w:color="auto" w:fill="CFF0FC"/>
          </w:tcPr>
          <w:p>
            <w:pPr>
              <w:spacing w:after="0"/>
              <w:rPr>
                <w:sz w:val="20"/>
                <w:szCs w:val="20"/>
                <w:color w:val="auto"/>
              </w:rPr>
            </w:pPr>
            <w:r>
              <w:rPr>
                <w:rFonts w:ascii="Arial" w:cs="Arial" w:eastAsia="Arial" w:hAnsi="Arial"/>
                <w:sz w:val="20"/>
                <w:szCs w:val="20"/>
                <w:color w:val="auto"/>
              </w:rPr>
              <w:t>Quarry</w:t>
            </w:r>
          </w:p>
        </w:tc>
        <w:tc>
          <w:tcPr>
            <w:tcW w:w="9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w w:val="97"/>
              </w:rPr>
              <w:t>1300122</w:t>
            </w:r>
          </w:p>
        </w:tc>
        <w:tc>
          <w:tcPr>
            <w:tcW w:w="700" w:type="dxa"/>
            <w:vAlign w:val="bottom"/>
            <w:shd w:val="clear" w:color="auto" w:fill="CFF0FC"/>
          </w:tcPr>
          <w:p>
            <w:pPr>
              <w:jc w:val="right"/>
              <w:ind w:right="301"/>
              <w:spacing w:after="0"/>
              <w:rPr>
                <w:sz w:val="20"/>
                <w:szCs w:val="20"/>
                <w:color w:val="auto"/>
              </w:rPr>
            </w:pPr>
            <w:r>
              <w:rPr>
                <w:rFonts w:ascii="Arial" w:cs="Arial" w:eastAsia="Arial" w:hAnsi="Arial"/>
                <w:sz w:val="20"/>
                <w:szCs w:val="20"/>
                <w:color w:val="auto"/>
              </w:rPr>
              <w:t>1</w:t>
            </w:r>
          </w:p>
        </w:tc>
        <w:tc>
          <w:tcPr>
            <w:tcW w:w="880" w:type="dxa"/>
            <w:vAlign w:val="bottom"/>
            <w:shd w:val="clear" w:color="auto" w:fill="CFF0FC"/>
          </w:tcPr>
          <w:p>
            <w:pPr>
              <w:jc w:val="right"/>
              <w:ind w:right="28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8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6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10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520" w:type="dxa"/>
            <w:vAlign w:val="bottom"/>
          </w:tcPr>
          <w:p>
            <w:pPr>
              <w:spacing w:after="0" w:line="227" w:lineRule="exact"/>
              <w:rPr>
                <w:sz w:val="20"/>
                <w:szCs w:val="20"/>
                <w:color w:val="auto"/>
              </w:rPr>
            </w:pPr>
            <w:r>
              <w:rPr>
                <w:rFonts w:ascii="Arial" w:cs="Arial" w:eastAsia="Arial" w:hAnsi="Arial"/>
                <w:sz w:val="20"/>
                <w:szCs w:val="20"/>
                <w:color w:val="auto"/>
              </w:rPr>
              <w:t>Des Moines</w:t>
            </w:r>
          </w:p>
        </w:tc>
        <w:tc>
          <w:tcPr>
            <w:tcW w:w="9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1540" w:type="dxa"/>
            <w:vAlign w:val="bottom"/>
            <w:gridSpan w:val="2"/>
          </w:tcPr>
          <w:p>
            <w:pPr>
              <w:spacing w:after="0"/>
              <w:rPr>
                <w:sz w:val="20"/>
                <w:szCs w:val="20"/>
                <w:color w:val="auto"/>
              </w:rPr>
            </w:pPr>
            <w:r>
              <w:rPr>
                <w:rFonts w:ascii="Arial" w:cs="Arial" w:eastAsia="Arial" w:hAnsi="Arial"/>
                <w:sz w:val="20"/>
                <w:szCs w:val="20"/>
                <w:color w:val="auto"/>
              </w:rPr>
              <w:t>Portable</w:t>
            </w:r>
          </w:p>
        </w:tc>
        <w:tc>
          <w:tcPr>
            <w:tcW w:w="960" w:type="dxa"/>
            <w:vAlign w:val="bottom"/>
          </w:tcPr>
          <w:p>
            <w:pPr>
              <w:jc w:val="right"/>
              <w:ind w:right="81"/>
              <w:spacing w:after="0"/>
              <w:rPr>
                <w:sz w:val="20"/>
                <w:szCs w:val="20"/>
                <w:color w:val="auto"/>
              </w:rPr>
            </w:pPr>
            <w:r>
              <w:rPr>
                <w:rFonts w:ascii="Arial" w:cs="Arial" w:eastAsia="Arial" w:hAnsi="Arial"/>
                <w:sz w:val="20"/>
                <w:szCs w:val="20"/>
                <w:color w:val="auto"/>
                <w:w w:val="97"/>
              </w:rPr>
              <w:t>1300150</w:t>
            </w:r>
          </w:p>
        </w:tc>
        <w:tc>
          <w:tcPr>
            <w:tcW w:w="700" w:type="dxa"/>
            <w:vAlign w:val="bottom"/>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tcPr>
          <w:p>
            <w:pPr>
              <w:jc w:val="right"/>
              <w:ind w:right="281"/>
              <w:spacing w:after="0"/>
              <w:rPr>
                <w:sz w:val="20"/>
                <w:szCs w:val="20"/>
                <w:color w:val="auto"/>
              </w:rPr>
            </w:pPr>
            <w:r>
              <w:rPr>
                <w:rFonts w:ascii="Arial" w:cs="Arial" w:eastAsia="Arial" w:hAnsi="Arial"/>
                <w:sz w:val="20"/>
                <w:szCs w:val="20"/>
                <w:color w:val="auto"/>
              </w:rPr>
              <w:t>0</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340" w:type="dxa"/>
            <w:vAlign w:val="bottom"/>
          </w:tcPr>
          <w:p>
            <w:pPr>
              <w:jc w:val="right"/>
              <w:spacing w:after="0"/>
              <w:rPr>
                <w:sz w:val="20"/>
                <w:szCs w:val="20"/>
                <w:color w:val="auto"/>
              </w:rPr>
            </w:pPr>
            <w:r>
              <w:rPr>
                <w:rFonts w:ascii="Arial" w:cs="Arial" w:eastAsia="Arial" w:hAnsi="Arial"/>
                <w:sz w:val="20"/>
                <w:szCs w:val="20"/>
                <w:color w:val="auto"/>
              </w:rPr>
              <w:t>$</w:t>
            </w:r>
          </w:p>
        </w:tc>
        <w:tc>
          <w:tcPr>
            <w:tcW w:w="68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480" w:type="dxa"/>
            <w:vAlign w:val="bottom"/>
          </w:tcPr>
          <w:p>
            <w:pPr>
              <w:jc w:val="right"/>
              <w:ind w:right="121"/>
              <w:spacing w:after="0"/>
              <w:rPr>
                <w:sz w:val="20"/>
                <w:szCs w:val="20"/>
                <w:color w:val="auto"/>
              </w:rPr>
            </w:pPr>
            <w:r>
              <w:rPr>
                <w:rFonts w:ascii="Arial" w:cs="Arial" w:eastAsia="Arial" w:hAnsi="Arial"/>
                <w:sz w:val="20"/>
                <w:szCs w:val="20"/>
                <w:color w:val="auto"/>
              </w:rPr>
              <w:t>0</w:t>
            </w:r>
          </w:p>
        </w:tc>
        <w:tc>
          <w:tcPr>
            <w:tcW w:w="720" w:type="dxa"/>
            <w:vAlign w:val="bottom"/>
          </w:tcPr>
          <w:p>
            <w:pPr>
              <w:ind w:left="24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6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480" w:type="dxa"/>
            <w:vAlign w:val="bottom"/>
          </w:tcPr>
          <w:p>
            <w:pPr>
              <w:jc w:val="right"/>
              <w:spacing w:after="0"/>
              <w:rPr>
                <w:sz w:val="20"/>
                <w:szCs w:val="20"/>
                <w:color w:val="auto"/>
              </w:rPr>
            </w:pPr>
            <w:r>
              <w:rPr>
                <w:rFonts w:ascii="Arial" w:cs="Arial" w:eastAsia="Arial" w:hAnsi="Arial"/>
                <w:sz w:val="20"/>
                <w:szCs w:val="20"/>
                <w:color w:val="auto"/>
              </w:rPr>
              <w:t>0</w:t>
            </w:r>
          </w:p>
        </w:tc>
        <w:tc>
          <w:tcPr>
            <w:tcW w:w="10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520" w:type="dxa"/>
            <w:vAlign w:val="bottom"/>
            <w:shd w:val="clear" w:color="auto" w:fill="CFF0FC"/>
          </w:tcPr>
          <w:p>
            <w:pPr>
              <w:spacing w:after="0"/>
              <w:rPr>
                <w:sz w:val="20"/>
                <w:szCs w:val="20"/>
                <w:color w:val="auto"/>
              </w:rPr>
            </w:pPr>
            <w:r>
              <w:rPr>
                <w:rFonts w:ascii="Arial" w:cs="Arial" w:eastAsia="Arial" w:hAnsi="Arial"/>
                <w:sz w:val="20"/>
                <w:szCs w:val="20"/>
                <w:color w:val="auto"/>
                <w:w w:val="95"/>
              </w:rPr>
              <w:t>Des Moines Shop</w:t>
            </w:r>
          </w:p>
        </w:tc>
        <w:tc>
          <w:tcPr>
            <w:tcW w:w="9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w w:val="97"/>
              </w:rPr>
              <w:t>1300932</w:t>
            </w:r>
          </w:p>
        </w:tc>
        <w:tc>
          <w:tcPr>
            <w:tcW w:w="700" w:type="dxa"/>
            <w:vAlign w:val="bottom"/>
            <w:shd w:val="clear" w:color="auto" w:fill="CFF0FC"/>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shd w:val="clear" w:color="auto" w:fill="CFF0FC"/>
          </w:tcPr>
          <w:p>
            <w:pPr>
              <w:jc w:val="right"/>
              <w:ind w:right="28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8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6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10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520" w:type="dxa"/>
            <w:vAlign w:val="bottom"/>
          </w:tcPr>
          <w:p>
            <w:pPr>
              <w:spacing w:after="0"/>
              <w:rPr>
                <w:sz w:val="20"/>
                <w:szCs w:val="20"/>
                <w:color w:val="auto"/>
              </w:rPr>
            </w:pPr>
            <w:r>
              <w:rPr>
                <w:rFonts w:ascii="Arial" w:cs="Arial" w:eastAsia="Arial" w:hAnsi="Arial"/>
                <w:sz w:val="20"/>
                <w:szCs w:val="20"/>
                <w:color w:val="auto"/>
              </w:rPr>
              <w:t>Dubois Quarry</w:t>
            </w:r>
          </w:p>
        </w:tc>
        <w:tc>
          <w:tcPr>
            <w:tcW w:w="960" w:type="dxa"/>
            <w:vAlign w:val="bottom"/>
          </w:tcPr>
          <w:p>
            <w:pPr>
              <w:jc w:val="right"/>
              <w:ind w:right="81"/>
              <w:spacing w:after="0"/>
              <w:rPr>
                <w:sz w:val="20"/>
                <w:szCs w:val="20"/>
                <w:color w:val="auto"/>
              </w:rPr>
            </w:pPr>
            <w:r>
              <w:rPr>
                <w:rFonts w:ascii="Arial" w:cs="Arial" w:eastAsia="Arial" w:hAnsi="Arial"/>
                <w:sz w:val="20"/>
                <w:szCs w:val="20"/>
                <w:color w:val="auto"/>
                <w:w w:val="97"/>
              </w:rPr>
              <w:t>2501046</w:t>
            </w:r>
          </w:p>
        </w:tc>
        <w:tc>
          <w:tcPr>
            <w:tcW w:w="700" w:type="dxa"/>
            <w:vAlign w:val="bottom"/>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tcPr>
          <w:p>
            <w:pPr>
              <w:jc w:val="right"/>
              <w:ind w:right="281"/>
              <w:spacing w:after="0"/>
              <w:rPr>
                <w:sz w:val="20"/>
                <w:szCs w:val="20"/>
                <w:color w:val="auto"/>
              </w:rPr>
            </w:pPr>
            <w:r>
              <w:rPr>
                <w:rFonts w:ascii="Arial" w:cs="Arial" w:eastAsia="Arial" w:hAnsi="Arial"/>
                <w:sz w:val="20"/>
                <w:szCs w:val="20"/>
                <w:color w:val="auto"/>
              </w:rPr>
              <w:t>0</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340" w:type="dxa"/>
            <w:vAlign w:val="bottom"/>
          </w:tcPr>
          <w:p>
            <w:pPr>
              <w:jc w:val="right"/>
              <w:spacing w:after="0"/>
              <w:rPr>
                <w:sz w:val="20"/>
                <w:szCs w:val="20"/>
                <w:color w:val="auto"/>
              </w:rPr>
            </w:pPr>
            <w:r>
              <w:rPr>
                <w:rFonts w:ascii="Arial" w:cs="Arial" w:eastAsia="Arial" w:hAnsi="Arial"/>
                <w:sz w:val="20"/>
                <w:szCs w:val="20"/>
                <w:color w:val="auto"/>
              </w:rPr>
              <w:t>$</w:t>
            </w:r>
          </w:p>
        </w:tc>
        <w:tc>
          <w:tcPr>
            <w:tcW w:w="680" w:type="dxa"/>
            <w:vAlign w:val="bottom"/>
          </w:tcPr>
          <w:p>
            <w:pPr>
              <w:jc w:val="right"/>
              <w:ind w:right="41"/>
              <w:spacing w:after="0"/>
              <w:rPr>
                <w:sz w:val="20"/>
                <w:szCs w:val="20"/>
                <w:color w:val="auto"/>
              </w:rPr>
            </w:pPr>
            <w:r>
              <w:rPr>
                <w:rFonts w:ascii="Arial" w:cs="Arial" w:eastAsia="Arial" w:hAnsi="Arial"/>
                <w:sz w:val="20"/>
                <w:szCs w:val="20"/>
                <w:color w:val="auto"/>
              </w:rPr>
              <w:t>400</w:t>
            </w:r>
          </w:p>
        </w:tc>
        <w:tc>
          <w:tcPr>
            <w:tcW w:w="480" w:type="dxa"/>
            <w:vAlign w:val="bottom"/>
          </w:tcPr>
          <w:p>
            <w:pPr>
              <w:jc w:val="right"/>
              <w:ind w:right="121"/>
              <w:spacing w:after="0"/>
              <w:rPr>
                <w:sz w:val="20"/>
                <w:szCs w:val="20"/>
                <w:color w:val="auto"/>
              </w:rPr>
            </w:pPr>
            <w:r>
              <w:rPr>
                <w:rFonts w:ascii="Arial" w:cs="Arial" w:eastAsia="Arial" w:hAnsi="Arial"/>
                <w:sz w:val="20"/>
                <w:szCs w:val="20"/>
                <w:color w:val="auto"/>
              </w:rPr>
              <w:t>0</w:t>
            </w:r>
          </w:p>
        </w:tc>
        <w:tc>
          <w:tcPr>
            <w:tcW w:w="720" w:type="dxa"/>
            <w:vAlign w:val="bottom"/>
          </w:tcPr>
          <w:p>
            <w:pPr>
              <w:ind w:left="24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6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480" w:type="dxa"/>
            <w:vAlign w:val="bottom"/>
          </w:tcPr>
          <w:p>
            <w:pPr>
              <w:jc w:val="right"/>
              <w:spacing w:after="0"/>
              <w:rPr>
                <w:sz w:val="20"/>
                <w:szCs w:val="20"/>
                <w:color w:val="auto"/>
              </w:rPr>
            </w:pPr>
            <w:r>
              <w:rPr>
                <w:rFonts w:ascii="Arial" w:cs="Arial" w:eastAsia="Arial" w:hAnsi="Arial"/>
                <w:sz w:val="20"/>
                <w:szCs w:val="20"/>
                <w:color w:val="auto"/>
              </w:rPr>
              <w:t>0</w:t>
            </w:r>
          </w:p>
        </w:tc>
        <w:tc>
          <w:tcPr>
            <w:tcW w:w="10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520" w:type="dxa"/>
            <w:vAlign w:val="bottom"/>
            <w:shd w:val="clear" w:color="auto" w:fill="CFF0FC"/>
          </w:tcPr>
          <w:p>
            <w:pPr>
              <w:spacing w:after="0"/>
              <w:rPr>
                <w:sz w:val="20"/>
                <w:szCs w:val="20"/>
                <w:color w:val="auto"/>
              </w:rPr>
            </w:pPr>
            <w:r>
              <w:rPr>
                <w:rFonts w:ascii="Arial" w:cs="Arial" w:eastAsia="Arial" w:hAnsi="Arial"/>
                <w:sz w:val="20"/>
                <w:szCs w:val="20"/>
                <w:color w:val="auto"/>
              </w:rPr>
              <w:t>Durham Mine</w:t>
            </w:r>
          </w:p>
        </w:tc>
        <w:tc>
          <w:tcPr>
            <w:tcW w:w="9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w w:val="97"/>
              </w:rPr>
              <w:t>1301225</w:t>
            </w:r>
          </w:p>
        </w:tc>
        <w:tc>
          <w:tcPr>
            <w:tcW w:w="700" w:type="dxa"/>
            <w:vAlign w:val="bottom"/>
            <w:shd w:val="clear" w:color="auto" w:fill="CFF0FC"/>
          </w:tcPr>
          <w:p>
            <w:pPr>
              <w:jc w:val="right"/>
              <w:ind w:right="301"/>
              <w:spacing w:after="0"/>
              <w:rPr>
                <w:sz w:val="20"/>
                <w:szCs w:val="20"/>
                <w:color w:val="auto"/>
              </w:rPr>
            </w:pPr>
            <w:r>
              <w:rPr>
                <w:rFonts w:ascii="Arial" w:cs="Arial" w:eastAsia="Arial" w:hAnsi="Arial"/>
                <w:sz w:val="20"/>
                <w:szCs w:val="20"/>
                <w:color w:val="auto"/>
              </w:rPr>
              <w:t>3</w:t>
            </w:r>
          </w:p>
        </w:tc>
        <w:tc>
          <w:tcPr>
            <w:tcW w:w="880" w:type="dxa"/>
            <w:vAlign w:val="bottom"/>
            <w:shd w:val="clear" w:color="auto" w:fill="CFF0FC"/>
          </w:tcPr>
          <w:p>
            <w:pPr>
              <w:jc w:val="right"/>
              <w:ind w:right="28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8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1,089</w:t>
            </w:r>
          </w:p>
        </w:tc>
        <w:tc>
          <w:tcPr>
            <w:tcW w:w="4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6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10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520" w:type="dxa"/>
            <w:vAlign w:val="bottom"/>
          </w:tcPr>
          <w:p>
            <w:pPr>
              <w:spacing w:after="0"/>
              <w:rPr>
                <w:sz w:val="20"/>
                <w:szCs w:val="20"/>
                <w:color w:val="auto"/>
              </w:rPr>
            </w:pPr>
            <w:r>
              <w:rPr>
                <w:rFonts w:ascii="Arial" w:cs="Arial" w:eastAsia="Arial" w:hAnsi="Arial"/>
                <w:sz w:val="20"/>
                <w:szCs w:val="20"/>
                <w:color w:val="auto"/>
              </w:rPr>
              <w:t>Earlham Quarry</w:t>
            </w:r>
          </w:p>
        </w:tc>
        <w:tc>
          <w:tcPr>
            <w:tcW w:w="960" w:type="dxa"/>
            <w:vAlign w:val="bottom"/>
          </w:tcPr>
          <w:p>
            <w:pPr>
              <w:jc w:val="right"/>
              <w:ind w:right="81"/>
              <w:spacing w:after="0"/>
              <w:rPr>
                <w:sz w:val="20"/>
                <w:szCs w:val="20"/>
                <w:color w:val="auto"/>
              </w:rPr>
            </w:pPr>
            <w:r>
              <w:rPr>
                <w:rFonts w:ascii="Arial" w:cs="Arial" w:eastAsia="Arial" w:hAnsi="Arial"/>
                <w:sz w:val="20"/>
                <w:szCs w:val="20"/>
                <w:color w:val="auto"/>
                <w:w w:val="97"/>
              </w:rPr>
              <w:t>1302123</w:t>
            </w:r>
          </w:p>
        </w:tc>
        <w:tc>
          <w:tcPr>
            <w:tcW w:w="700" w:type="dxa"/>
            <w:vAlign w:val="bottom"/>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tcPr>
          <w:p>
            <w:pPr>
              <w:jc w:val="right"/>
              <w:ind w:right="281"/>
              <w:spacing w:after="0"/>
              <w:rPr>
                <w:sz w:val="20"/>
                <w:szCs w:val="20"/>
                <w:color w:val="auto"/>
              </w:rPr>
            </w:pPr>
            <w:r>
              <w:rPr>
                <w:rFonts w:ascii="Arial" w:cs="Arial" w:eastAsia="Arial" w:hAnsi="Arial"/>
                <w:sz w:val="20"/>
                <w:szCs w:val="20"/>
                <w:color w:val="auto"/>
              </w:rPr>
              <w:t>0</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340" w:type="dxa"/>
            <w:vAlign w:val="bottom"/>
          </w:tcPr>
          <w:p>
            <w:pPr>
              <w:jc w:val="right"/>
              <w:spacing w:after="0"/>
              <w:rPr>
                <w:sz w:val="20"/>
                <w:szCs w:val="20"/>
                <w:color w:val="auto"/>
              </w:rPr>
            </w:pPr>
            <w:r>
              <w:rPr>
                <w:rFonts w:ascii="Arial" w:cs="Arial" w:eastAsia="Arial" w:hAnsi="Arial"/>
                <w:sz w:val="20"/>
                <w:szCs w:val="20"/>
                <w:color w:val="auto"/>
              </w:rPr>
              <w:t>$</w:t>
            </w:r>
          </w:p>
        </w:tc>
        <w:tc>
          <w:tcPr>
            <w:tcW w:w="68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480" w:type="dxa"/>
            <w:vAlign w:val="bottom"/>
          </w:tcPr>
          <w:p>
            <w:pPr>
              <w:jc w:val="right"/>
              <w:ind w:right="121"/>
              <w:spacing w:after="0"/>
              <w:rPr>
                <w:sz w:val="20"/>
                <w:szCs w:val="20"/>
                <w:color w:val="auto"/>
              </w:rPr>
            </w:pPr>
            <w:r>
              <w:rPr>
                <w:rFonts w:ascii="Arial" w:cs="Arial" w:eastAsia="Arial" w:hAnsi="Arial"/>
                <w:sz w:val="20"/>
                <w:szCs w:val="20"/>
                <w:color w:val="auto"/>
              </w:rPr>
              <w:t>0</w:t>
            </w:r>
          </w:p>
        </w:tc>
        <w:tc>
          <w:tcPr>
            <w:tcW w:w="720" w:type="dxa"/>
            <w:vAlign w:val="bottom"/>
          </w:tcPr>
          <w:p>
            <w:pPr>
              <w:ind w:left="24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6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480" w:type="dxa"/>
            <w:vAlign w:val="bottom"/>
          </w:tcPr>
          <w:p>
            <w:pPr>
              <w:jc w:val="right"/>
              <w:spacing w:after="0"/>
              <w:rPr>
                <w:sz w:val="20"/>
                <w:szCs w:val="20"/>
                <w:color w:val="auto"/>
              </w:rPr>
            </w:pPr>
            <w:r>
              <w:rPr>
                <w:rFonts w:ascii="Arial" w:cs="Arial" w:eastAsia="Arial" w:hAnsi="Arial"/>
                <w:sz w:val="20"/>
                <w:szCs w:val="20"/>
                <w:color w:val="auto"/>
              </w:rPr>
              <w:t>0</w:t>
            </w:r>
          </w:p>
        </w:tc>
        <w:tc>
          <w:tcPr>
            <w:tcW w:w="10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52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rPr>
              <w:t>Environmental</w:t>
            </w:r>
          </w:p>
        </w:tc>
        <w:tc>
          <w:tcPr>
            <w:tcW w:w="9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520" w:type="dxa"/>
            <w:vAlign w:val="bottom"/>
            <w:shd w:val="clear" w:color="auto" w:fill="CFF0FC"/>
          </w:tcPr>
          <w:p>
            <w:pPr>
              <w:spacing w:after="0"/>
              <w:rPr>
                <w:sz w:val="20"/>
                <w:szCs w:val="20"/>
                <w:color w:val="auto"/>
              </w:rPr>
            </w:pPr>
            <w:r>
              <w:rPr>
                <w:rFonts w:ascii="Arial" w:cs="Arial" w:eastAsia="Arial" w:hAnsi="Arial"/>
                <w:sz w:val="20"/>
                <w:szCs w:val="20"/>
                <w:color w:val="auto"/>
                <w:w w:val="99"/>
              </w:rPr>
              <w:t>Crew (Plant 854)</w:t>
            </w:r>
          </w:p>
        </w:tc>
        <w:tc>
          <w:tcPr>
            <w:tcW w:w="9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w w:val="97"/>
              </w:rPr>
              <w:t>1302126</w:t>
            </w:r>
          </w:p>
        </w:tc>
        <w:tc>
          <w:tcPr>
            <w:tcW w:w="700" w:type="dxa"/>
            <w:vAlign w:val="bottom"/>
            <w:shd w:val="clear" w:color="auto" w:fill="CFF0FC"/>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shd w:val="clear" w:color="auto" w:fill="CFF0FC"/>
          </w:tcPr>
          <w:p>
            <w:pPr>
              <w:jc w:val="right"/>
              <w:ind w:right="28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8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6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10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520" w:type="dxa"/>
            <w:vAlign w:val="bottom"/>
          </w:tcPr>
          <w:p>
            <w:pPr>
              <w:spacing w:after="0"/>
              <w:rPr>
                <w:sz w:val="20"/>
                <w:szCs w:val="20"/>
                <w:color w:val="auto"/>
              </w:rPr>
            </w:pPr>
            <w:r>
              <w:rPr>
                <w:rFonts w:ascii="Arial" w:cs="Arial" w:eastAsia="Arial" w:hAnsi="Arial"/>
                <w:sz w:val="20"/>
                <w:szCs w:val="20"/>
                <w:color w:val="auto"/>
                <w:w w:val="99"/>
              </w:rPr>
              <w:t>Ferguson Quarry</w:t>
            </w:r>
          </w:p>
        </w:tc>
        <w:tc>
          <w:tcPr>
            <w:tcW w:w="960" w:type="dxa"/>
            <w:vAlign w:val="bottom"/>
          </w:tcPr>
          <w:p>
            <w:pPr>
              <w:jc w:val="right"/>
              <w:ind w:right="81"/>
              <w:spacing w:after="0"/>
              <w:rPr>
                <w:sz w:val="20"/>
                <w:szCs w:val="20"/>
                <w:color w:val="auto"/>
              </w:rPr>
            </w:pPr>
            <w:r>
              <w:rPr>
                <w:rFonts w:ascii="Arial" w:cs="Arial" w:eastAsia="Arial" w:hAnsi="Arial"/>
                <w:sz w:val="20"/>
                <w:szCs w:val="20"/>
                <w:color w:val="auto"/>
                <w:w w:val="97"/>
              </w:rPr>
              <w:t>1300124</w:t>
            </w:r>
          </w:p>
        </w:tc>
        <w:tc>
          <w:tcPr>
            <w:tcW w:w="700" w:type="dxa"/>
            <w:vAlign w:val="bottom"/>
          </w:tcPr>
          <w:p>
            <w:pPr>
              <w:jc w:val="right"/>
              <w:ind w:right="301"/>
              <w:spacing w:after="0"/>
              <w:rPr>
                <w:sz w:val="20"/>
                <w:szCs w:val="20"/>
                <w:color w:val="auto"/>
              </w:rPr>
            </w:pPr>
            <w:r>
              <w:rPr>
                <w:rFonts w:ascii="Arial" w:cs="Arial" w:eastAsia="Arial" w:hAnsi="Arial"/>
                <w:sz w:val="20"/>
                <w:szCs w:val="20"/>
                <w:color w:val="auto"/>
              </w:rPr>
              <w:t>1</w:t>
            </w:r>
          </w:p>
        </w:tc>
        <w:tc>
          <w:tcPr>
            <w:tcW w:w="880" w:type="dxa"/>
            <w:vAlign w:val="bottom"/>
          </w:tcPr>
          <w:p>
            <w:pPr>
              <w:jc w:val="right"/>
              <w:ind w:right="281"/>
              <w:spacing w:after="0"/>
              <w:rPr>
                <w:sz w:val="20"/>
                <w:szCs w:val="20"/>
                <w:color w:val="auto"/>
              </w:rPr>
            </w:pPr>
            <w:r>
              <w:rPr>
                <w:rFonts w:ascii="Arial" w:cs="Arial" w:eastAsia="Arial" w:hAnsi="Arial"/>
                <w:sz w:val="20"/>
                <w:szCs w:val="20"/>
                <w:color w:val="auto"/>
              </w:rPr>
              <w:t>0</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340" w:type="dxa"/>
            <w:vAlign w:val="bottom"/>
          </w:tcPr>
          <w:p>
            <w:pPr>
              <w:jc w:val="right"/>
              <w:spacing w:after="0"/>
              <w:rPr>
                <w:sz w:val="20"/>
                <w:szCs w:val="20"/>
                <w:color w:val="auto"/>
              </w:rPr>
            </w:pPr>
            <w:r>
              <w:rPr>
                <w:rFonts w:ascii="Arial" w:cs="Arial" w:eastAsia="Arial" w:hAnsi="Arial"/>
                <w:sz w:val="20"/>
                <w:szCs w:val="20"/>
                <w:color w:val="auto"/>
              </w:rPr>
              <w:t>$</w:t>
            </w:r>
          </w:p>
        </w:tc>
        <w:tc>
          <w:tcPr>
            <w:tcW w:w="680" w:type="dxa"/>
            <w:vAlign w:val="bottom"/>
          </w:tcPr>
          <w:p>
            <w:pPr>
              <w:jc w:val="right"/>
              <w:ind w:right="41"/>
              <w:spacing w:after="0"/>
              <w:rPr>
                <w:sz w:val="20"/>
                <w:szCs w:val="20"/>
                <w:color w:val="auto"/>
              </w:rPr>
            </w:pPr>
            <w:r>
              <w:rPr>
                <w:rFonts w:ascii="Arial" w:cs="Arial" w:eastAsia="Arial" w:hAnsi="Arial"/>
                <w:sz w:val="20"/>
                <w:szCs w:val="20"/>
                <w:color w:val="auto"/>
              </w:rPr>
              <w:t>699</w:t>
            </w:r>
          </w:p>
        </w:tc>
        <w:tc>
          <w:tcPr>
            <w:tcW w:w="480" w:type="dxa"/>
            <w:vAlign w:val="bottom"/>
          </w:tcPr>
          <w:p>
            <w:pPr>
              <w:jc w:val="right"/>
              <w:ind w:right="121"/>
              <w:spacing w:after="0"/>
              <w:rPr>
                <w:sz w:val="20"/>
                <w:szCs w:val="20"/>
                <w:color w:val="auto"/>
              </w:rPr>
            </w:pPr>
            <w:r>
              <w:rPr>
                <w:rFonts w:ascii="Arial" w:cs="Arial" w:eastAsia="Arial" w:hAnsi="Arial"/>
                <w:sz w:val="20"/>
                <w:szCs w:val="20"/>
                <w:color w:val="auto"/>
              </w:rPr>
              <w:t>0</w:t>
            </w:r>
          </w:p>
        </w:tc>
        <w:tc>
          <w:tcPr>
            <w:tcW w:w="720" w:type="dxa"/>
            <w:vAlign w:val="bottom"/>
          </w:tcPr>
          <w:p>
            <w:pPr>
              <w:ind w:left="24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6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480" w:type="dxa"/>
            <w:vAlign w:val="bottom"/>
          </w:tcPr>
          <w:p>
            <w:pPr>
              <w:jc w:val="right"/>
              <w:spacing w:after="0"/>
              <w:rPr>
                <w:sz w:val="20"/>
                <w:szCs w:val="20"/>
                <w:color w:val="auto"/>
              </w:rPr>
            </w:pPr>
            <w:r>
              <w:rPr>
                <w:rFonts w:ascii="Arial" w:cs="Arial" w:eastAsia="Arial" w:hAnsi="Arial"/>
                <w:sz w:val="20"/>
                <w:szCs w:val="20"/>
                <w:color w:val="auto"/>
              </w:rPr>
              <w:t>0</w:t>
            </w:r>
          </w:p>
        </w:tc>
        <w:tc>
          <w:tcPr>
            <w:tcW w:w="10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520" w:type="dxa"/>
            <w:vAlign w:val="bottom"/>
            <w:shd w:val="clear" w:color="auto" w:fill="CFF0FC"/>
          </w:tcPr>
          <w:p>
            <w:pPr>
              <w:spacing w:after="0"/>
              <w:rPr>
                <w:sz w:val="20"/>
                <w:szCs w:val="20"/>
                <w:color w:val="auto"/>
              </w:rPr>
            </w:pPr>
            <w:r>
              <w:rPr>
                <w:rFonts w:ascii="Arial" w:cs="Arial" w:eastAsia="Arial" w:hAnsi="Arial"/>
                <w:sz w:val="20"/>
                <w:szCs w:val="20"/>
                <w:color w:val="auto"/>
              </w:rPr>
              <w:t>Fort Calhoun</w:t>
            </w:r>
          </w:p>
        </w:tc>
        <w:tc>
          <w:tcPr>
            <w:tcW w:w="9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w w:val="97"/>
              </w:rPr>
              <w:t>2500006</w:t>
            </w:r>
          </w:p>
        </w:tc>
        <w:tc>
          <w:tcPr>
            <w:tcW w:w="700" w:type="dxa"/>
            <w:vAlign w:val="bottom"/>
            <w:shd w:val="clear" w:color="auto" w:fill="CFF0FC"/>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shd w:val="clear" w:color="auto" w:fill="CFF0FC"/>
          </w:tcPr>
          <w:p>
            <w:pPr>
              <w:jc w:val="right"/>
              <w:ind w:right="28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8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262</w:t>
            </w:r>
          </w:p>
        </w:tc>
        <w:tc>
          <w:tcPr>
            <w:tcW w:w="4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6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10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520" w:type="dxa"/>
            <w:vAlign w:val="bottom"/>
          </w:tcPr>
          <w:p>
            <w:pPr>
              <w:spacing w:after="0"/>
              <w:rPr>
                <w:sz w:val="20"/>
                <w:szCs w:val="20"/>
                <w:color w:val="auto"/>
              </w:rPr>
            </w:pPr>
            <w:r>
              <w:rPr>
                <w:rFonts w:ascii="Arial" w:cs="Arial" w:eastAsia="Arial" w:hAnsi="Arial"/>
                <w:sz w:val="20"/>
                <w:szCs w:val="20"/>
                <w:color w:val="auto"/>
              </w:rPr>
              <w:t>Fort Dodge Mine</w:t>
            </w:r>
          </w:p>
        </w:tc>
        <w:tc>
          <w:tcPr>
            <w:tcW w:w="960" w:type="dxa"/>
            <w:vAlign w:val="bottom"/>
          </w:tcPr>
          <w:p>
            <w:pPr>
              <w:jc w:val="right"/>
              <w:ind w:right="81"/>
              <w:spacing w:after="0"/>
              <w:rPr>
                <w:sz w:val="20"/>
                <w:szCs w:val="20"/>
                <w:color w:val="auto"/>
              </w:rPr>
            </w:pPr>
            <w:r>
              <w:rPr>
                <w:rFonts w:ascii="Arial" w:cs="Arial" w:eastAsia="Arial" w:hAnsi="Arial"/>
                <w:sz w:val="20"/>
                <w:szCs w:val="20"/>
                <w:color w:val="auto"/>
                <w:w w:val="97"/>
              </w:rPr>
              <w:t>1300032</w:t>
            </w:r>
          </w:p>
        </w:tc>
        <w:tc>
          <w:tcPr>
            <w:tcW w:w="700" w:type="dxa"/>
            <w:vAlign w:val="bottom"/>
          </w:tcPr>
          <w:p>
            <w:pPr>
              <w:jc w:val="right"/>
              <w:ind w:right="301"/>
              <w:spacing w:after="0"/>
              <w:rPr>
                <w:sz w:val="20"/>
                <w:szCs w:val="20"/>
                <w:color w:val="auto"/>
              </w:rPr>
            </w:pPr>
            <w:r>
              <w:rPr>
                <w:rFonts w:ascii="Arial" w:cs="Arial" w:eastAsia="Arial" w:hAnsi="Arial"/>
                <w:sz w:val="20"/>
                <w:szCs w:val="20"/>
                <w:color w:val="auto"/>
              </w:rPr>
              <w:t>1</w:t>
            </w:r>
          </w:p>
        </w:tc>
        <w:tc>
          <w:tcPr>
            <w:tcW w:w="880" w:type="dxa"/>
            <w:vAlign w:val="bottom"/>
          </w:tcPr>
          <w:p>
            <w:pPr>
              <w:jc w:val="right"/>
              <w:ind w:right="281"/>
              <w:spacing w:after="0"/>
              <w:rPr>
                <w:sz w:val="20"/>
                <w:szCs w:val="20"/>
                <w:color w:val="auto"/>
              </w:rPr>
            </w:pPr>
            <w:r>
              <w:rPr>
                <w:rFonts w:ascii="Arial" w:cs="Arial" w:eastAsia="Arial" w:hAnsi="Arial"/>
                <w:sz w:val="20"/>
                <w:szCs w:val="20"/>
                <w:color w:val="auto"/>
              </w:rPr>
              <w:t>0</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340" w:type="dxa"/>
            <w:vAlign w:val="bottom"/>
          </w:tcPr>
          <w:p>
            <w:pPr>
              <w:jc w:val="right"/>
              <w:spacing w:after="0"/>
              <w:rPr>
                <w:sz w:val="20"/>
                <w:szCs w:val="20"/>
                <w:color w:val="auto"/>
              </w:rPr>
            </w:pPr>
            <w:r>
              <w:rPr>
                <w:rFonts w:ascii="Arial" w:cs="Arial" w:eastAsia="Arial" w:hAnsi="Arial"/>
                <w:sz w:val="20"/>
                <w:szCs w:val="20"/>
                <w:color w:val="auto"/>
              </w:rPr>
              <w:t>$</w:t>
            </w:r>
          </w:p>
        </w:tc>
        <w:tc>
          <w:tcPr>
            <w:tcW w:w="680" w:type="dxa"/>
            <w:vAlign w:val="bottom"/>
          </w:tcPr>
          <w:p>
            <w:pPr>
              <w:jc w:val="right"/>
              <w:ind w:right="41"/>
              <w:spacing w:after="0"/>
              <w:rPr>
                <w:sz w:val="20"/>
                <w:szCs w:val="20"/>
                <w:color w:val="auto"/>
              </w:rPr>
            </w:pPr>
            <w:r>
              <w:rPr>
                <w:rFonts w:ascii="Arial" w:cs="Arial" w:eastAsia="Arial" w:hAnsi="Arial"/>
                <w:sz w:val="20"/>
                <w:szCs w:val="20"/>
                <w:color w:val="auto"/>
              </w:rPr>
              <w:t>1,183</w:t>
            </w:r>
          </w:p>
        </w:tc>
        <w:tc>
          <w:tcPr>
            <w:tcW w:w="480" w:type="dxa"/>
            <w:vAlign w:val="bottom"/>
          </w:tcPr>
          <w:p>
            <w:pPr>
              <w:jc w:val="right"/>
              <w:ind w:right="121"/>
              <w:spacing w:after="0"/>
              <w:rPr>
                <w:sz w:val="20"/>
                <w:szCs w:val="20"/>
                <w:color w:val="auto"/>
              </w:rPr>
            </w:pPr>
            <w:r>
              <w:rPr>
                <w:rFonts w:ascii="Arial" w:cs="Arial" w:eastAsia="Arial" w:hAnsi="Arial"/>
                <w:sz w:val="20"/>
                <w:szCs w:val="20"/>
                <w:color w:val="auto"/>
              </w:rPr>
              <w:t>0</w:t>
            </w:r>
          </w:p>
        </w:tc>
        <w:tc>
          <w:tcPr>
            <w:tcW w:w="720" w:type="dxa"/>
            <w:vAlign w:val="bottom"/>
          </w:tcPr>
          <w:p>
            <w:pPr>
              <w:ind w:left="24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6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480" w:type="dxa"/>
            <w:vAlign w:val="bottom"/>
          </w:tcPr>
          <w:p>
            <w:pPr>
              <w:jc w:val="right"/>
              <w:spacing w:after="0"/>
              <w:rPr>
                <w:sz w:val="20"/>
                <w:szCs w:val="20"/>
                <w:color w:val="auto"/>
              </w:rPr>
            </w:pPr>
            <w:r>
              <w:rPr>
                <w:rFonts w:ascii="Arial" w:cs="Arial" w:eastAsia="Arial" w:hAnsi="Arial"/>
                <w:sz w:val="20"/>
                <w:szCs w:val="20"/>
                <w:color w:val="auto"/>
              </w:rPr>
              <w:t>0</w:t>
            </w:r>
          </w:p>
        </w:tc>
        <w:tc>
          <w:tcPr>
            <w:tcW w:w="10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520" w:type="dxa"/>
            <w:vAlign w:val="bottom"/>
            <w:shd w:val="clear" w:color="auto" w:fill="CFF0FC"/>
          </w:tcPr>
          <w:p>
            <w:pPr>
              <w:spacing w:after="0"/>
              <w:rPr>
                <w:sz w:val="20"/>
                <w:szCs w:val="20"/>
                <w:color w:val="auto"/>
              </w:rPr>
            </w:pPr>
            <w:r>
              <w:rPr>
                <w:rFonts w:ascii="Arial" w:cs="Arial" w:eastAsia="Arial" w:hAnsi="Arial"/>
                <w:sz w:val="20"/>
                <w:szCs w:val="20"/>
                <w:color w:val="auto"/>
              </w:rPr>
              <w:t>Greenwood</w:t>
            </w:r>
          </w:p>
        </w:tc>
        <w:tc>
          <w:tcPr>
            <w:tcW w:w="9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w w:val="97"/>
              </w:rPr>
              <w:t>2300141</w:t>
            </w:r>
          </w:p>
        </w:tc>
        <w:tc>
          <w:tcPr>
            <w:tcW w:w="700" w:type="dxa"/>
            <w:vAlign w:val="bottom"/>
            <w:shd w:val="clear" w:color="auto" w:fill="CFF0FC"/>
          </w:tcPr>
          <w:p>
            <w:pPr>
              <w:jc w:val="right"/>
              <w:ind w:right="301"/>
              <w:spacing w:after="0"/>
              <w:rPr>
                <w:sz w:val="20"/>
                <w:szCs w:val="20"/>
                <w:color w:val="auto"/>
              </w:rPr>
            </w:pPr>
            <w:r>
              <w:rPr>
                <w:rFonts w:ascii="Arial" w:cs="Arial" w:eastAsia="Arial" w:hAnsi="Arial"/>
                <w:sz w:val="20"/>
                <w:szCs w:val="20"/>
                <w:color w:val="auto"/>
              </w:rPr>
              <w:t>1</w:t>
            </w:r>
          </w:p>
        </w:tc>
        <w:tc>
          <w:tcPr>
            <w:tcW w:w="880" w:type="dxa"/>
            <w:vAlign w:val="bottom"/>
            <w:shd w:val="clear" w:color="auto" w:fill="CFF0FC"/>
          </w:tcPr>
          <w:p>
            <w:pPr>
              <w:jc w:val="right"/>
              <w:ind w:right="28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8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974</w:t>
            </w:r>
          </w:p>
        </w:tc>
        <w:tc>
          <w:tcPr>
            <w:tcW w:w="4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6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10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520" w:type="dxa"/>
            <w:vAlign w:val="bottom"/>
          </w:tcPr>
          <w:p>
            <w:pPr>
              <w:spacing w:after="0"/>
              <w:rPr>
                <w:sz w:val="20"/>
                <w:szCs w:val="20"/>
                <w:color w:val="auto"/>
              </w:rPr>
            </w:pPr>
            <w:r>
              <w:rPr>
                <w:rFonts w:ascii="Arial" w:cs="Arial" w:eastAsia="Arial" w:hAnsi="Arial"/>
                <w:sz w:val="20"/>
                <w:szCs w:val="20"/>
                <w:color w:val="auto"/>
              </w:rPr>
              <w:t>Iowa Grading</w:t>
            </w:r>
          </w:p>
        </w:tc>
        <w:tc>
          <w:tcPr>
            <w:tcW w:w="960" w:type="dxa"/>
            <w:vAlign w:val="bottom"/>
          </w:tcPr>
          <w:p>
            <w:pPr>
              <w:jc w:val="right"/>
              <w:ind w:right="81"/>
              <w:spacing w:after="0"/>
              <w:rPr>
                <w:sz w:val="20"/>
                <w:szCs w:val="20"/>
                <w:color w:val="auto"/>
              </w:rPr>
            </w:pPr>
            <w:r>
              <w:rPr>
                <w:rFonts w:ascii="Arial" w:cs="Arial" w:eastAsia="Arial" w:hAnsi="Arial"/>
                <w:sz w:val="20"/>
                <w:szCs w:val="20"/>
                <w:color w:val="auto"/>
                <w:w w:val="97"/>
              </w:rPr>
              <w:t>1302316</w:t>
            </w:r>
          </w:p>
        </w:tc>
        <w:tc>
          <w:tcPr>
            <w:tcW w:w="700" w:type="dxa"/>
            <w:vAlign w:val="bottom"/>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tcPr>
          <w:p>
            <w:pPr>
              <w:jc w:val="right"/>
              <w:ind w:right="281"/>
              <w:spacing w:after="0"/>
              <w:rPr>
                <w:sz w:val="20"/>
                <w:szCs w:val="20"/>
                <w:color w:val="auto"/>
              </w:rPr>
            </w:pPr>
            <w:r>
              <w:rPr>
                <w:rFonts w:ascii="Arial" w:cs="Arial" w:eastAsia="Arial" w:hAnsi="Arial"/>
                <w:sz w:val="20"/>
                <w:szCs w:val="20"/>
                <w:color w:val="auto"/>
              </w:rPr>
              <w:t>0</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340" w:type="dxa"/>
            <w:vAlign w:val="bottom"/>
          </w:tcPr>
          <w:p>
            <w:pPr>
              <w:jc w:val="right"/>
              <w:spacing w:after="0"/>
              <w:rPr>
                <w:sz w:val="20"/>
                <w:szCs w:val="20"/>
                <w:color w:val="auto"/>
              </w:rPr>
            </w:pPr>
            <w:r>
              <w:rPr>
                <w:rFonts w:ascii="Arial" w:cs="Arial" w:eastAsia="Arial" w:hAnsi="Arial"/>
                <w:sz w:val="20"/>
                <w:szCs w:val="20"/>
                <w:color w:val="auto"/>
              </w:rPr>
              <w:t>$</w:t>
            </w:r>
          </w:p>
        </w:tc>
        <w:tc>
          <w:tcPr>
            <w:tcW w:w="68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480" w:type="dxa"/>
            <w:vAlign w:val="bottom"/>
          </w:tcPr>
          <w:p>
            <w:pPr>
              <w:jc w:val="right"/>
              <w:ind w:right="121"/>
              <w:spacing w:after="0"/>
              <w:rPr>
                <w:sz w:val="20"/>
                <w:szCs w:val="20"/>
                <w:color w:val="auto"/>
              </w:rPr>
            </w:pPr>
            <w:r>
              <w:rPr>
                <w:rFonts w:ascii="Arial" w:cs="Arial" w:eastAsia="Arial" w:hAnsi="Arial"/>
                <w:sz w:val="20"/>
                <w:szCs w:val="20"/>
                <w:color w:val="auto"/>
              </w:rPr>
              <w:t>0</w:t>
            </w:r>
          </w:p>
        </w:tc>
        <w:tc>
          <w:tcPr>
            <w:tcW w:w="720" w:type="dxa"/>
            <w:vAlign w:val="bottom"/>
          </w:tcPr>
          <w:p>
            <w:pPr>
              <w:ind w:left="24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6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480" w:type="dxa"/>
            <w:vAlign w:val="bottom"/>
          </w:tcPr>
          <w:p>
            <w:pPr>
              <w:jc w:val="right"/>
              <w:spacing w:after="0"/>
              <w:rPr>
                <w:sz w:val="20"/>
                <w:szCs w:val="20"/>
                <w:color w:val="auto"/>
              </w:rPr>
            </w:pPr>
            <w:r>
              <w:rPr>
                <w:rFonts w:ascii="Arial" w:cs="Arial" w:eastAsia="Arial" w:hAnsi="Arial"/>
                <w:sz w:val="20"/>
                <w:szCs w:val="20"/>
                <w:color w:val="auto"/>
              </w:rPr>
              <w:t>0</w:t>
            </w:r>
          </w:p>
        </w:tc>
        <w:tc>
          <w:tcPr>
            <w:tcW w:w="10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520" w:type="dxa"/>
            <w:vAlign w:val="bottom"/>
            <w:shd w:val="clear" w:color="auto" w:fill="CFF0FC"/>
          </w:tcPr>
          <w:p>
            <w:pPr>
              <w:spacing w:after="0"/>
              <w:rPr>
                <w:sz w:val="20"/>
                <w:szCs w:val="20"/>
                <w:color w:val="auto"/>
              </w:rPr>
            </w:pPr>
            <w:r>
              <w:rPr>
                <w:rFonts w:ascii="Arial" w:cs="Arial" w:eastAsia="Arial" w:hAnsi="Arial"/>
                <w:sz w:val="20"/>
                <w:szCs w:val="20"/>
                <w:color w:val="auto"/>
                <w:w w:val="94"/>
              </w:rPr>
              <w:t>LeGrand Portable</w:t>
            </w:r>
          </w:p>
        </w:tc>
        <w:tc>
          <w:tcPr>
            <w:tcW w:w="9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w w:val="97"/>
              </w:rPr>
              <w:t>1302317</w:t>
            </w:r>
          </w:p>
        </w:tc>
        <w:tc>
          <w:tcPr>
            <w:tcW w:w="700" w:type="dxa"/>
            <w:vAlign w:val="bottom"/>
            <w:shd w:val="clear" w:color="auto" w:fill="CFF0FC"/>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shd w:val="clear" w:color="auto" w:fill="CFF0FC"/>
          </w:tcPr>
          <w:p>
            <w:pPr>
              <w:jc w:val="right"/>
              <w:ind w:right="28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8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6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10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520" w:type="dxa"/>
            <w:vAlign w:val="bottom"/>
          </w:tcPr>
          <w:p>
            <w:pPr>
              <w:spacing w:after="0"/>
              <w:rPr>
                <w:sz w:val="20"/>
                <w:szCs w:val="20"/>
                <w:color w:val="auto"/>
              </w:rPr>
            </w:pPr>
            <w:r>
              <w:rPr>
                <w:rFonts w:ascii="Arial" w:cs="Arial" w:eastAsia="Arial" w:hAnsi="Arial"/>
                <w:sz w:val="20"/>
                <w:szCs w:val="20"/>
                <w:color w:val="auto"/>
                <w:w w:val="94"/>
              </w:rPr>
              <w:t>Linn County Sand</w:t>
            </w:r>
          </w:p>
        </w:tc>
        <w:tc>
          <w:tcPr>
            <w:tcW w:w="960" w:type="dxa"/>
            <w:vAlign w:val="bottom"/>
          </w:tcPr>
          <w:p>
            <w:pPr>
              <w:jc w:val="right"/>
              <w:ind w:right="81"/>
              <w:spacing w:after="0"/>
              <w:rPr>
                <w:sz w:val="20"/>
                <w:szCs w:val="20"/>
                <w:color w:val="auto"/>
              </w:rPr>
            </w:pPr>
            <w:r>
              <w:rPr>
                <w:rFonts w:ascii="Arial" w:cs="Arial" w:eastAsia="Arial" w:hAnsi="Arial"/>
                <w:sz w:val="20"/>
                <w:szCs w:val="20"/>
                <w:color w:val="auto"/>
                <w:w w:val="97"/>
              </w:rPr>
              <w:t>1302208</w:t>
            </w:r>
          </w:p>
        </w:tc>
        <w:tc>
          <w:tcPr>
            <w:tcW w:w="700" w:type="dxa"/>
            <w:vAlign w:val="bottom"/>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tcPr>
          <w:p>
            <w:pPr>
              <w:jc w:val="right"/>
              <w:ind w:right="281"/>
              <w:spacing w:after="0"/>
              <w:rPr>
                <w:sz w:val="20"/>
                <w:szCs w:val="20"/>
                <w:color w:val="auto"/>
              </w:rPr>
            </w:pPr>
            <w:r>
              <w:rPr>
                <w:rFonts w:ascii="Arial" w:cs="Arial" w:eastAsia="Arial" w:hAnsi="Arial"/>
                <w:sz w:val="20"/>
                <w:szCs w:val="20"/>
                <w:color w:val="auto"/>
              </w:rPr>
              <w:t>0</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340" w:type="dxa"/>
            <w:vAlign w:val="bottom"/>
          </w:tcPr>
          <w:p>
            <w:pPr>
              <w:jc w:val="right"/>
              <w:spacing w:after="0"/>
              <w:rPr>
                <w:sz w:val="20"/>
                <w:szCs w:val="20"/>
                <w:color w:val="auto"/>
              </w:rPr>
            </w:pPr>
            <w:r>
              <w:rPr>
                <w:rFonts w:ascii="Arial" w:cs="Arial" w:eastAsia="Arial" w:hAnsi="Arial"/>
                <w:sz w:val="20"/>
                <w:szCs w:val="20"/>
                <w:color w:val="auto"/>
              </w:rPr>
              <w:t>$</w:t>
            </w:r>
          </w:p>
        </w:tc>
        <w:tc>
          <w:tcPr>
            <w:tcW w:w="68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480" w:type="dxa"/>
            <w:vAlign w:val="bottom"/>
          </w:tcPr>
          <w:p>
            <w:pPr>
              <w:jc w:val="right"/>
              <w:ind w:right="121"/>
              <w:spacing w:after="0"/>
              <w:rPr>
                <w:sz w:val="20"/>
                <w:szCs w:val="20"/>
                <w:color w:val="auto"/>
              </w:rPr>
            </w:pPr>
            <w:r>
              <w:rPr>
                <w:rFonts w:ascii="Arial" w:cs="Arial" w:eastAsia="Arial" w:hAnsi="Arial"/>
                <w:sz w:val="20"/>
                <w:szCs w:val="20"/>
                <w:color w:val="auto"/>
              </w:rPr>
              <w:t>0</w:t>
            </w:r>
          </w:p>
        </w:tc>
        <w:tc>
          <w:tcPr>
            <w:tcW w:w="720" w:type="dxa"/>
            <w:vAlign w:val="bottom"/>
          </w:tcPr>
          <w:p>
            <w:pPr>
              <w:ind w:left="24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6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480" w:type="dxa"/>
            <w:vAlign w:val="bottom"/>
          </w:tcPr>
          <w:p>
            <w:pPr>
              <w:jc w:val="right"/>
              <w:spacing w:after="0"/>
              <w:rPr>
                <w:sz w:val="20"/>
                <w:szCs w:val="20"/>
                <w:color w:val="auto"/>
              </w:rPr>
            </w:pPr>
            <w:r>
              <w:rPr>
                <w:rFonts w:ascii="Arial" w:cs="Arial" w:eastAsia="Arial" w:hAnsi="Arial"/>
                <w:sz w:val="20"/>
                <w:szCs w:val="20"/>
                <w:color w:val="auto"/>
              </w:rPr>
              <w:t>0</w:t>
            </w:r>
          </w:p>
        </w:tc>
        <w:tc>
          <w:tcPr>
            <w:tcW w:w="10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520" w:type="dxa"/>
            <w:vAlign w:val="bottom"/>
            <w:shd w:val="clear" w:color="auto" w:fill="CFF0FC"/>
          </w:tcPr>
          <w:p>
            <w:pPr>
              <w:spacing w:after="0"/>
              <w:rPr>
                <w:sz w:val="20"/>
                <w:szCs w:val="20"/>
                <w:color w:val="auto"/>
              </w:rPr>
            </w:pPr>
            <w:r>
              <w:rPr>
                <w:rFonts w:ascii="Arial" w:cs="Arial" w:eastAsia="Arial" w:hAnsi="Arial"/>
                <w:sz w:val="20"/>
                <w:szCs w:val="20"/>
                <w:color w:val="auto"/>
              </w:rPr>
              <w:t>Malcom Mine</w:t>
            </w:r>
          </w:p>
        </w:tc>
        <w:tc>
          <w:tcPr>
            <w:tcW w:w="9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w w:val="97"/>
              </w:rPr>
              <w:t>1300112</w:t>
            </w:r>
          </w:p>
        </w:tc>
        <w:tc>
          <w:tcPr>
            <w:tcW w:w="700" w:type="dxa"/>
            <w:vAlign w:val="bottom"/>
            <w:shd w:val="clear" w:color="auto" w:fill="CFF0FC"/>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shd w:val="clear" w:color="auto" w:fill="CFF0FC"/>
          </w:tcPr>
          <w:p>
            <w:pPr>
              <w:jc w:val="right"/>
              <w:ind w:right="28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8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138</w:t>
            </w:r>
          </w:p>
        </w:tc>
        <w:tc>
          <w:tcPr>
            <w:tcW w:w="4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6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10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80" w:type="dxa"/>
            <w:vAlign w:val="bottom"/>
            <w:gridSpan w:val="2"/>
          </w:tcPr>
          <w:p>
            <w:pPr>
              <w:spacing w:after="0"/>
              <w:rPr>
                <w:sz w:val="20"/>
                <w:szCs w:val="20"/>
                <w:color w:val="auto"/>
              </w:rPr>
            </w:pPr>
            <w:r>
              <w:rPr>
                <w:rFonts w:ascii="Arial" w:cs="Arial" w:eastAsia="Arial" w:hAnsi="Arial"/>
                <w:sz w:val="20"/>
                <w:szCs w:val="20"/>
                <w:color w:val="auto"/>
                <w:w w:val="97"/>
              </w:rPr>
              <w:t>Marshalltown Sand 1300718</w:t>
            </w:r>
          </w:p>
        </w:tc>
        <w:tc>
          <w:tcPr>
            <w:tcW w:w="700" w:type="dxa"/>
            <w:vAlign w:val="bottom"/>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tcPr>
          <w:p>
            <w:pPr>
              <w:jc w:val="right"/>
              <w:ind w:right="281"/>
              <w:spacing w:after="0"/>
              <w:rPr>
                <w:sz w:val="20"/>
                <w:szCs w:val="20"/>
                <w:color w:val="auto"/>
              </w:rPr>
            </w:pPr>
            <w:r>
              <w:rPr>
                <w:rFonts w:ascii="Arial" w:cs="Arial" w:eastAsia="Arial" w:hAnsi="Arial"/>
                <w:sz w:val="20"/>
                <w:szCs w:val="20"/>
                <w:color w:val="auto"/>
              </w:rPr>
              <w:t>0</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340" w:type="dxa"/>
            <w:vAlign w:val="bottom"/>
          </w:tcPr>
          <w:p>
            <w:pPr>
              <w:jc w:val="right"/>
              <w:spacing w:after="0"/>
              <w:rPr>
                <w:sz w:val="20"/>
                <w:szCs w:val="20"/>
                <w:color w:val="auto"/>
              </w:rPr>
            </w:pPr>
            <w:r>
              <w:rPr>
                <w:rFonts w:ascii="Arial" w:cs="Arial" w:eastAsia="Arial" w:hAnsi="Arial"/>
                <w:sz w:val="20"/>
                <w:szCs w:val="20"/>
                <w:color w:val="auto"/>
              </w:rPr>
              <w:t>$</w:t>
            </w:r>
          </w:p>
        </w:tc>
        <w:tc>
          <w:tcPr>
            <w:tcW w:w="68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480" w:type="dxa"/>
            <w:vAlign w:val="bottom"/>
          </w:tcPr>
          <w:p>
            <w:pPr>
              <w:jc w:val="right"/>
              <w:ind w:right="121"/>
              <w:spacing w:after="0"/>
              <w:rPr>
                <w:sz w:val="20"/>
                <w:szCs w:val="20"/>
                <w:color w:val="auto"/>
              </w:rPr>
            </w:pPr>
            <w:r>
              <w:rPr>
                <w:rFonts w:ascii="Arial" w:cs="Arial" w:eastAsia="Arial" w:hAnsi="Arial"/>
                <w:sz w:val="20"/>
                <w:szCs w:val="20"/>
                <w:color w:val="auto"/>
              </w:rPr>
              <w:t>0</w:t>
            </w:r>
          </w:p>
        </w:tc>
        <w:tc>
          <w:tcPr>
            <w:tcW w:w="720" w:type="dxa"/>
            <w:vAlign w:val="bottom"/>
          </w:tcPr>
          <w:p>
            <w:pPr>
              <w:ind w:left="24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6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480" w:type="dxa"/>
            <w:vAlign w:val="bottom"/>
          </w:tcPr>
          <w:p>
            <w:pPr>
              <w:jc w:val="right"/>
              <w:spacing w:after="0"/>
              <w:rPr>
                <w:sz w:val="20"/>
                <w:szCs w:val="20"/>
                <w:color w:val="auto"/>
              </w:rPr>
            </w:pPr>
            <w:r>
              <w:rPr>
                <w:rFonts w:ascii="Arial" w:cs="Arial" w:eastAsia="Arial" w:hAnsi="Arial"/>
                <w:sz w:val="20"/>
                <w:szCs w:val="20"/>
                <w:color w:val="auto"/>
              </w:rPr>
              <w:t>0</w:t>
            </w:r>
          </w:p>
        </w:tc>
        <w:tc>
          <w:tcPr>
            <w:tcW w:w="10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520" w:type="dxa"/>
            <w:vAlign w:val="bottom"/>
            <w:shd w:val="clear" w:color="auto" w:fill="CFF0FC"/>
          </w:tcPr>
          <w:p>
            <w:pPr>
              <w:spacing w:after="0"/>
              <w:rPr>
                <w:sz w:val="20"/>
                <w:szCs w:val="20"/>
                <w:color w:val="auto"/>
              </w:rPr>
            </w:pPr>
            <w:r>
              <w:rPr>
                <w:rFonts w:ascii="Arial" w:cs="Arial" w:eastAsia="Arial" w:hAnsi="Arial"/>
                <w:sz w:val="20"/>
                <w:szCs w:val="20"/>
                <w:color w:val="auto"/>
              </w:rPr>
              <w:t>Moore Quarry</w:t>
            </w:r>
          </w:p>
        </w:tc>
        <w:tc>
          <w:tcPr>
            <w:tcW w:w="9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w w:val="97"/>
              </w:rPr>
              <w:t>1302188</w:t>
            </w:r>
          </w:p>
        </w:tc>
        <w:tc>
          <w:tcPr>
            <w:tcW w:w="700" w:type="dxa"/>
            <w:vAlign w:val="bottom"/>
            <w:shd w:val="clear" w:color="auto" w:fill="CFF0FC"/>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shd w:val="clear" w:color="auto" w:fill="CFF0FC"/>
          </w:tcPr>
          <w:p>
            <w:pPr>
              <w:jc w:val="right"/>
              <w:ind w:right="28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8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100</w:t>
            </w:r>
          </w:p>
        </w:tc>
        <w:tc>
          <w:tcPr>
            <w:tcW w:w="4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6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10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520" w:type="dxa"/>
            <w:vAlign w:val="bottom"/>
          </w:tcPr>
          <w:p>
            <w:pPr>
              <w:spacing w:after="0"/>
              <w:rPr>
                <w:sz w:val="20"/>
                <w:szCs w:val="20"/>
                <w:color w:val="auto"/>
              </w:rPr>
            </w:pPr>
            <w:r>
              <w:rPr>
                <w:rFonts w:ascii="Arial" w:cs="Arial" w:eastAsia="Arial" w:hAnsi="Arial"/>
                <w:sz w:val="20"/>
                <w:szCs w:val="20"/>
                <w:color w:val="auto"/>
                <w:w w:val="93"/>
              </w:rPr>
              <w:t>New Harvey Sand</w:t>
            </w:r>
          </w:p>
        </w:tc>
        <w:tc>
          <w:tcPr>
            <w:tcW w:w="960" w:type="dxa"/>
            <w:vAlign w:val="bottom"/>
          </w:tcPr>
          <w:p>
            <w:pPr>
              <w:jc w:val="right"/>
              <w:ind w:right="81"/>
              <w:spacing w:after="0"/>
              <w:rPr>
                <w:sz w:val="20"/>
                <w:szCs w:val="20"/>
                <w:color w:val="auto"/>
              </w:rPr>
            </w:pPr>
            <w:r>
              <w:rPr>
                <w:rFonts w:ascii="Arial" w:cs="Arial" w:eastAsia="Arial" w:hAnsi="Arial"/>
                <w:sz w:val="20"/>
                <w:szCs w:val="20"/>
                <w:color w:val="auto"/>
                <w:w w:val="97"/>
              </w:rPr>
              <w:t>1301778</w:t>
            </w:r>
          </w:p>
        </w:tc>
        <w:tc>
          <w:tcPr>
            <w:tcW w:w="700" w:type="dxa"/>
            <w:vAlign w:val="bottom"/>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tcPr>
          <w:p>
            <w:pPr>
              <w:jc w:val="right"/>
              <w:ind w:right="281"/>
              <w:spacing w:after="0"/>
              <w:rPr>
                <w:sz w:val="20"/>
                <w:szCs w:val="20"/>
                <w:color w:val="auto"/>
              </w:rPr>
            </w:pPr>
            <w:r>
              <w:rPr>
                <w:rFonts w:ascii="Arial" w:cs="Arial" w:eastAsia="Arial" w:hAnsi="Arial"/>
                <w:sz w:val="20"/>
                <w:szCs w:val="20"/>
                <w:color w:val="auto"/>
              </w:rPr>
              <w:t>0</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340" w:type="dxa"/>
            <w:vAlign w:val="bottom"/>
          </w:tcPr>
          <w:p>
            <w:pPr>
              <w:jc w:val="right"/>
              <w:spacing w:after="0"/>
              <w:rPr>
                <w:sz w:val="20"/>
                <w:szCs w:val="20"/>
                <w:color w:val="auto"/>
              </w:rPr>
            </w:pPr>
            <w:r>
              <w:rPr>
                <w:rFonts w:ascii="Arial" w:cs="Arial" w:eastAsia="Arial" w:hAnsi="Arial"/>
                <w:sz w:val="20"/>
                <w:szCs w:val="20"/>
                <w:color w:val="auto"/>
              </w:rPr>
              <w:t>$</w:t>
            </w:r>
          </w:p>
        </w:tc>
        <w:tc>
          <w:tcPr>
            <w:tcW w:w="68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480" w:type="dxa"/>
            <w:vAlign w:val="bottom"/>
          </w:tcPr>
          <w:p>
            <w:pPr>
              <w:jc w:val="right"/>
              <w:ind w:right="121"/>
              <w:spacing w:after="0"/>
              <w:rPr>
                <w:sz w:val="20"/>
                <w:szCs w:val="20"/>
                <w:color w:val="auto"/>
              </w:rPr>
            </w:pPr>
            <w:r>
              <w:rPr>
                <w:rFonts w:ascii="Arial" w:cs="Arial" w:eastAsia="Arial" w:hAnsi="Arial"/>
                <w:sz w:val="20"/>
                <w:szCs w:val="20"/>
                <w:color w:val="auto"/>
              </w:rPr>
              <w:t>0</w:t>
            </w:r>
          </w:p>
        </w:tc>
        <w:tc>
          <w:tcPr>
            <w:tcW w:w="720" w:type="dxa"/>
            <w:vAlign w:val="bottom"/>
          </w:tcPr>
          <w:p>
            <w:pPr>
              <w:ind w:left="24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6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480" w:type="dxa"/>
            <w:vAlign w:val="bottom"/>
          </w:tcPr>
          <w:p>
            <w:pPr>
              <w:jc w:val="right"/>
              <w:spacing w:after="0"/>
              <w:rPr>
                <w:sz w:val="20"/>
                <w:szCs w:val="20"/>
                <w:color w:val="auto"/>
              </w:rPr>
            </w:pPr>
            <w:r>
              <w:rPr>
                <w:rFonts w:ascii="Arial" w:cs="Arial" w:eastAsia="Arial" w:hAnsi="Arial"/>
                <w:sz w:val="20"/>
                <w:szCs w:val="20"/>
                <w:color w:val="auto"/>
              </w:rPr>
              <w:t>0</w:t>
            </w:r>
          </w:p>
        </w:tc>
        <w:tc>
          <w:tcPr>
            <w:tcW w:w="10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52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rPr>
              <w:t>Northwest</w:t>
            </w:r>
          </w:p>
        </w:tc>
        <w:tc>
          <w:tcPr>
            <w:tcW w:w="9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520" w:type="dxa"/>
            <w:vAlign w:val="bottom"/>
            <w:shd w:val="clear" w:color="auto" w:fill="CFF0FC"/>
          </w:tcPr>
          <w:p>
            <w:pPr>
              <w:spacing w:after="0"/>
              <w:rPr>
                <w:sz w:val="20"/>
                <w:szCs w:val="20"/>
                <w:color w:val="auto"/>
              </w:rPr>
            </w:pPr>
            <w:r>
              <w:rPr>
                <w:rFonts w:ascii="Arial" w:cs="Arial" w:eastAsia="Arial" w:hAnsi="Arial"/>
                <w:sz w:val="20"/>
                <w:szCs w:val="20"/>
                <w:color w:val="auto"/>
              </w:rPr>
              <w:t>Division OH</w:t>
            </w:r>
          </w:p>
        </w:tc>
        <w:tc>
          <w:tcPr>
            <w:tcW w:w="9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A2354</w:t>
            </w:r>
          </w:p>
        </w:tc>
        <w:tc>
          <w:tcPr>
            <w:tcW w:w="700" w:type="dxa"/>
            <w:vAlign w:val="bottom"/>
            <w:shd w:val="clear" w:color="auto" w:fill="CFF0FC"/>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shd w:val="clear" w:color="auto" w:fill="CFF0FC"/>
          </w:tcPr>
          <w:p>
            <w:pPr>
              <w:jc w:val="right"/>
              <w:ind w:right="28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8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6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10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520" w:type="dxa"/>
            <w:vAlign w:val="bottom"/>
          </w:tcPr>
          <w:p>
            <w:pPr>
              <w:spacing w:after="0"/>
              <w:rPr>
                <w:sz w:val="20"/>
                <w:szCs w:val="20"/>
                <w:color w:val="auto"/>
              </w:rPr>
            </w:pPr>
            <w:r>
              <w:rPr>
                <w:rFonts w:ascii="Arial" w:cs="Arial" w:eastAsia="Arial" w:hAnsi="Arial"/>
                <w:sz w:val="20"/>
                <w:szCs w:val="20"/>
                <w:color w:val="auto"/>
              </w:rPr>
              <w:t>Ottawa Quarry</w:t>
            </w:r>
          </w:p>
        </w:tc>
        <w:tc>
          <w:tcPr>
            <w:tcW w:w="960" w:type="dxa"/>
            <w:vAlign w:val="bottom"/>
          </w:tcPr>
          <w:p>
            <w:pPr>
              <w:jc w:val="right"/>
              <w:ind w:right="81"/>
              <w:spacing w:after="0"/>
              <w:rPr>
                <w:sz w:val="20"/>
                <w:szCs w:val="20"/>
                <w:color w:val="auto"/>
              </w:rPr>
            </w:pPr>
            <w:r>
              <w:rPr>
                <w:rFonts w:ascii="Arial" w:cs="Arial" w:eastAsia="Arial" w:hAnsi="Arial"/>
                <w:sz w:val="20"/>
                <w:szCs w:val="20"/>
                <w:color w:val="auto"/>
                <w:w w:val="97"/>
              </w:rPr>
              <w:t>1401590</w:t>
            </w:r>
          </w:p>
        </w:tc>
        <w:tc>
          <w:tcPr>
            <w:tcW w:w="700" w:type="dxa"/>
            <w:vAlign w:val="bottom"/>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tcPr>
          <w:p>
            <w:pPr>
              <w:jc w:val="right"/>
              <w:ind w:right="281"/>
              <w:spacing w:after="0"/>
              <w:rPr>
                <w:sz w:val="20"/>
                <w:szCs w:val="20"/>
                <w:color w:val="auto"/>
              </w:rPr>
            </w:pPr>
            <w:r>
              <w:rPr>
                <w:rFonts w:ascii="Arial" w:cs="Arial" w:eastAsia="Arial" w:hAnsi="Arial"/>
                <w:sz w:val="20"/>
                <w:szCs w:val="20"/>
                <w:color w:val="auto"/>
              </w:rPr>
              <w:t>0</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340" w:type="dxa"/>
            <w:vAlign w:val="bottom"/>
          </w:tcPr>
          <w:p>
            <w:pPr>
              <w:jc w:val="right"/>
              <w:spacing w:after="0"/>
              <w:rPr>
                <w:sz w:val="20"/>
                <w:szCs w:val="20"/>
                <w:color w:val="auto"/>
              </w:rPr>
            </w:pPr>
            <w:r>
              <w:rPr>
                <w:rFonts w:ascii="Arial" w:cs="Arial" w:eastAsia="Arial" w:hAnsi="Arial"/>
                <w:sz w:val="20"/>
                <w:szCs w:val="20"/>
                <w:color w:val="auto"/>
              </w:rPr>
              <w:t>$</w:t>
            </w:r>
          </w:p>
        </w:tc>
        <w:tc>
          <w:tcPr>
            <w:tcW w:w="68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480" w:type="dxa"/>
            <w:vAlign w:val="bottom"/>
          </w:tcPr>
          <w:p>
            <w:pPr>
              <w:jc w:val="right"/>
              <w:ind w:right="121"/>
              <w:spacing w:after="0"/>
              <w:rPr>
                <w:sz w:val="20"/>
                <w:szCs w:val="20"/>
                <w:color w:val="auto"/>
              </w:rPr>
            </w:pPr>
            <w:r>
              <w:rPr>
                <w:rFonts w:ascii="Arial" w:cs="Arial" w:eastAsia="Arial" w:hAnsi="Arial"/>
                <w:sz w:val="20"/>
                <w:szCs w:val="20"/>
                <w:color w:val="auto"/>
              </w:rPr>
              <w:t>0</w:t>
            </w:r>
          </w:p>
        </w:tc>
        <w:tc>
          <w:tcPr>
            <w:tcW w:w="720" w:type="dxa"/>
            <w:vAlign w:val="bottom"/>
          </w:tcPr>
          <w:p>
            <w:pPr>
              <w:ind w:left="24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6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480" w:type="dxa"/>
            <w:vAlign w:val="bottom"/>
          </w:tcPr>
          <w:p>
            <w:pPr>
              <w:jc w:val="right"/>
              <w:spacing w:after="0"/>
              <w:rPr>
                <w:sz w:val="20"/>
                <w:szCs w:val="20"/>
                <w:color w:val="auto"/>
              </w:rPr>
            </w:pPr>
            <w:r>
              <w:rPr>
                <w:rFonts w:ascii="Arial" w:cs="Arial" w:eastAsia="Arial" w:hAnsi="Arial"/>
                <w:sz w:val="20"/>
                <w:szCs w:val="20"/>
                <w:color w:val="auto"/>
              </w:rPr>
              <w:t>0</w:t>
            </w:r>
          </w:p>
        </w:tc>
        <w:tc>
          <w:tcPr>
            <w:tcW w:w="10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520" w:type="dxa"/>
            <w:vAlign w:val="bottom"/>
            <w:shd w:val="clear" w:color="auto" w:fill="CFF0FC"/>
          </w:tcPr>
          <w:p>
            <w:pPr>
              <w:spacing w:after="0"/>
              <w:rPr>
                <w:sz w:val="20"/>
                <w:szCs w:val="20"/>
                <w:color w:val="auto"/>
              </w:rPr>
            </w:pPr>
            <w:r>
              <w:rPr>
                <w:rFonts w:ascii="Arial" w:cs="Arial" w:eastAsia="Arial" w:hAnsi="Arial"/>
                <w:sz w:val="20"/>
                <w:szCs w:val="20"/>
                <w:color w:val="auto"/>
              </w:rPr>
              <w:t>Pacific Quarry</w:t>
            </w:r>
          </w:p>
        </w:tc>
        <w:tc>
          <w:tcPr>
            <w:tcW w:w="9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w w:val="97"/>
              </w:rPr>
              <w:t>4500844</w:t>
            </w:r>
          </w:p>
        </w:tc>
        <w:tc>
          <w:tcPr>
            <w:tcW w:w="700" w:type="dxa"/>
            <w:vAlign w:val="bottom"/>
            <w:shd w:val="clear" w:color="auto" w:fill="CFF0FC"/>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shd w:val="clear" w:color="auto" w:fill="CFF0FC"/>
          </w:tcPr>
          <w:p>
            <w:pPr>
              <w:jc w:val="right"/>
              <w:ind w:right="28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8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6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10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520" w:type="dxa"/>
            <w:vAlign w:val="bottom"/>
          </w:tcPr>
          <w:p>
            <w:pPr>
              <w:spacing w:after="0"/>
              <w:rPr>
                <w:sz w:val="20"/>
                <w:szCs w:val="20"/>
                <w:color w:val="auto"/>
              </w:rPr>
            </w:pPr>
            <w:r>
              <w:rPr>
                <w:rFonts w:ascii="Arial" w:cs="Arial" w:eastAsia="Arial" w:hAnsi="Arial"/>
                <w:sz w:val="20"/>
                <w:szCs w:val="20"/>
                <w:color w:val="auto"/>
              </w:rPr>
              <w:t>Parkville Mine</w:t>
            </w:r>
          </w:p>
        </w:tc>
        <w:tc>
          <w:tcPr>
            <w:tcW w:w="960" w:type="dxa"/>
            <w:vAlign w:val="bottom"/>
          </w:tcPr>
          <w:p>
            <w:pPr>
              <w:jc w:val="right"/>
              <w:ind w:right="81"/>
              <w:spacing w:after="0"/>
              <w:rPr>
                <w:sz w:val="20"/>
                <w:szCs w:val="20"/>
                <w:color w:val="auto"/>
              </w:rPr>
            </w:pPr>
            <w:r>
              <w:rPr>
                <w:rFonts w:ascii="Arial" w:cs="Arial" w:eastAsia="Arial" w:hAnsi="Arial"/>
                <w:sz w:val="20"/>
                <w:szCs w:val="20"/>
                <w:color w:val="auto"/>
                <w:w w:val="97"/>
              </w:rPr>
              <w:t>2301883</w:t>
            </w:r>
          </w:p>
        </w:tc>
        <w:tc>
          <w:tcPr>
            <w:tcW w:w="700" w:type="dxa"/>
            <w:vAlign w:val="bottom"/>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tcPr>
          <w:p>
            <w:pPr>
              <w:jc w:val="right"/>
              <w:ind w:right="281"/>
              <w:spacing w:after="0"/>
              <w:rPr>
                <w:sz w:val="20"/>
                <w:szCs w:val="20"/>
                <w:color w:val="auto"/>
              </w:rPr>
            </w:pPr>
            <w:r>
              <w:rPr>
                <w:rFonts w:ascii="Arial" w:cs="Arial" w:eastAsia="Arial" w:hAnsi="Arial"/>
                <w:sz w:val="20"/>
                <w:szCs w:val="20"/>
                <w:color w:val="auto"/>
              </w:rPr>
              <w:t>0</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340" w:type="dxa"/>
            <w:vAlign w:val="bottom"/>
          </w:tcPr>
          <w:p>
            <w:pPr>
              <w:jc w:val="right"/>
              <w:spacing w:after="0"/>
              <w:rPr>
                <w:sz w:val="20"/>
                <w:szCs w:val="20"/>
                <w:color w:val="auto"/>
              </w:rPr>
            </w:pPr>
            <w:r>
              <w:rPr>
                <w:rFonts w:ascii="Arial" w:cs="Arial" w:eastAsia="Arial" w:hAnsi="Arial"/>
                <w:sz w:val="20"/>
                <w:szCs w:val="20"/>
                <w:color w:val="auto"/>
              </w:rPr>
              <w:t>$</w:t>
            </w:r>
          </w:p>
        </w:tc>
        <w:tc>
          <w:tcPr>
            <w:tcW w:w="680" w:type="dxa"/>
            <w:vAlign w:val="bottom"/>
          </w:tcPr>
          <w:p>
            <w:pPr>
              <w:jc w:val="right"/>
              <w:ind w:right="41"/>
              <w:spacing w:after="0"/>
              <w:rPr>
                <w:sz w:val="20"/>
                <w:szCs w:val="20"/>
                <w:color w:val="auto"/>
              </w:rPr>
            </w:pPr>
            <w:r>
              <w:rPr>
                <w:rFonts w:ascii="Arial" w:cs="Arial" w:eastAsia="Arial" w:hAnsi="Arial"/>
                <w:sz w:val="20"/>
                <w:szCs w:val="20"/>
                <w:color w:val="auto"/>
              </w:rPr>
              <w:t>100</w:t>
            </w:r>
          </w:p>
        </w:tc>
        <w:tc>
          <w:tcPr>
            <w:tcW w:w="480" w:type="dxa"/>
            <w:vAlign w:val="bottom"/>
          </w:tcPr>
          <w:p>
            <w:pPr>
              <w:jc w:val="right"/>
              <w:ind w:right="121"/>
              <w:spacing w:after="0"/>
              <w:rPr>
                <w:sz w:val="20"/>
                <w:szCs w:val="20"/>
                <w:color w:val="auto"/>
              </w:rPr>
            </w:pPr>
            <w:r>
              <w:rPr>
                <w:rFonts w:ascii="Arial" w:cs="Arial" w:eastAsia="Arial" w:hAnsi="Arial"/>
                <w:sz w:val="20"/>
                <w:szCs w:val="20"/>
                <w:color w:val="auto"/>
              </w:rPr>
              <w:t>0</w:t>
            </w:r>
          </w:p>
        </w:tc>
        <w:tc>
          <w:tcPr>
            <w:tcW w:w="720" w:type="dxa"/>
            <w:vAlign w:val="bottom"/>
          </w:tcPr>
          <w:p>
            <w:pPr>
              <w:ind w:left="24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6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480" w:type="dxa"/>
            <w:vAlign w:val="bottom"/>
          </w:tcPr>
          <w:p>
            <w:pPr>
              <w:jc w:val="right"/>
              <w:spacing w:after="0"/>
              <w:rPr>
                <w:sz w:val="20"/>
                <w:szCs w:val="20"/>
                <w:color w:val="auto"/>
              </w:rPr>
            </w:pPr>
            <w:r>
              <w:rPr>
                <w:rFonts w:ascii="Arial" w:cs="Arial" w:eastAsia="Arial" w:hAnsi="Arial"/>
                <w:sz w:val="20"/>
                <w:szCs w:val="20"/>
                <w:color w:val="auto"/>
              </w:rPr>
              <w:t>0</w:t>
            </w:r>
          </w:p>
        </w:tc>
        <w:tc>
          <w:tcPr>
            <w:tcW w:w="10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520" w:type="dxa"/>
            <w:vAlign w:val="bottom"/>
            <w:shd w:val="clear" w:color="auto" w:fill="CFF0FC"/>
          </w:tcPr>
          <w:p>
            <w:pPr>
              <w:spacing w:after="0"/>
              <w:rPr>
                <w:sz w:val="20"/>
                <w:szCs w:val="20"/>
                <w:color w:val="auto"/>
              </w:rPr>
            </w:pPr>
            <w:r>
              <w:rPr>
                <w:rFonts w:ascii="Arial" w:cs="Arial" w:eastAsia="Arial" w:hAnsi="Arial"/>
                <w:sz w:val="20"/>
                <w:szCs w:val="20"/>
                <w:color w:val="auto"/>
                <w:w w:val="98"/>
              </w:rPr>
              <w:t>Pederson Quarry</w:t>
            </w:r>
          </w:p>
        </w:tc>
        <w:tc>
          <w:tcPr>
            <w:tcW w:w="9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w w:val="97"/>
              </w:rPr>
              <w:t>1302192</w:t>
            </w:r>
          </w:p>
        </w:tc>
        <w:tc>
          <w:tcPr>
            <w:tcW w:w="700" w:type="dxa"/>
            <w:vAlign w:val="bottom"/>
            <w:shd w:val="clear" w:color="auto" w:fill="CFF0FC"/>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shd w:val="clear" w:color="auto" w:fill="CFF0FC"/>
          </w:tcPr>
          <w:p>
            <w:pPr>
              <w:jc w:val="right"/>
              <w:ind w:right="28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8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6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10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520" w:type="dxa"/>
            <w:vAlign w:val="bottom"/>
          </w:tcPr>
          <w:p>
            <w:pPr>
              <w:spacing w:after="0" w:line="227" w:lineRule="exact"/>
              <w:rPr>
                <w:sz w:val="20"/>
                <w:szCs w:val="20"/>
                <w:color w:val="auto"/>
              </w:rPr>
            </w:pPr>
            <w:r>
              <w:rPr>
                <w:rFonts w:ascii="Arial" w:cs="Arial" w:eastAsia="Arial" w:hAnsi="Arial"/>
                <w:sz w:val="20"/>
                <w:szCs w:val="20"/>
                <w:color w:val="auto"/>
              </w:rPr>
              <w:t>Raccoon River</w:t>
            </w:r>
          </w:p>
        </w:tc>
        <w:tc>
          <w:tcPr>
            <w:tcW w:w="9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1540" w:type="dxa"/>
            <w:vAlign w:val="bottom"/>
            <w:gridSpan w:val="2"/>
          </w:tcPr>
          <w:p>
            <w:pPr>
              <w:spacing w:after="0"/>
              <w:rPr>
                <w:sz w:val="20"/>
                <w:szCs w:val="20"/>
                <w:color w:val="auto"/>
              </w:rPr>
            </w:pPr>
            <w:r>
              <w:rPr>
                <w:rFonts w:ascii="Arial" w:cs="Arial" w:eastAsia="Arial" w:hAnsi="Arial"/>
                <w:sz w:val="20"/>
                <w:szCs w:val="20"/>
                <w:color w:val="auto"/>
              </w:rPr>
              <w:t>Sand</w:t>
            </w:r>
          </w:p>
        </w:tc>
        <w:tc>
          <w:tcPr>
            <w:tcW w:w="960" w:type="dxa"/>
            <w:vAlign w:val="bottom"/>
          </w:tcPr>
          <w:p>
            <w:pPr>
              <w:jc w:val="right"/>
              <w:ind w:right="81"/>
              <w:spacing w:after="0"/>
              <w:rPr>
                <w:sz w:val="20"/>
                <w:szCs w:val="20"/>
                <w:color w:val="auto"/>
              </w:rPr>
            </w:pPr>
            <w:r>
              <w:rPr>
                <w:rFonts w:ascii="Arial" w:cs="Arial" w:eastAsia="Arial" w:hAnsi="Arial"/>
                <w:sz w:val="20"/>
                <w:szCs w:val="20"/>
                <w:color w:val="auto"/>
                <w:w w:val="97"/>
              </w:rPr>
              <w:t>1302315</w:t>
            </w:r>
          </w:p>
        </w:tc>
        <w:tc>
          <w:tcPr>
            <w:tcW w:w="700" w:type="dxa"/>
            <w:vAlign w:val="bottom"/>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tcPr>
          <w:p>
            <w:pPr>
              <w:jc w:val="right"/>
              <w:ind w:right="281"/>
              <w:spacing w:after="0"/>
              <w:rPr>
                <w:sz w:val="20"/>
                <w:szCs w:val="20"/>
                <w:color w:val="auto"/>
              </w:rPr>
            </w:pPr>
            <w:r>
              <w:rPr>
                <w:rFonts w:ascii="Arial" w:cs="Arial" w:eastAsia="Arial" w:hAnsi="Arial"/>
                <w:sz w:val="20"/>
                <w:szCs w:val="20"/>
                <w:color w:val="auto"/>
              </w:rPr>
              <w:t>0</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340" w:type="dxa"/>
            <w:vAlign w:val="bottom"/>
          </w:tcPr>
          <w:p>
            <w:pPr>
              <w:jc w:val="right"/>
              <w:spacing w:after="0"/>
              <w:rPr>
                <w:sz w:val="20"/>
                <w:szCs w:val="20"/>
                <w:color w:val="auto"/>
              </w:rPr>
            </w:pPr>
            <w:r>
              <w:rPr>
                <w:rFonts w:ascii="Arial" w:cs="Arial" w:eastAsia="Arial" w:hAnsi="Arial"/>
                <w:sz w:val="20"/>
                <w:szCs w:val="20"/>
                <w:color w:val="auto"/>
              </w:rPr>
              <w:t>$</w:t>
            </w:r>
          </w:p>
        </w:tc>
        <w:tc>
          <w:tcPr>
            <w:tcW w:w="68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480" w:type="dxa"/>
            <w:vAlign w:val="bottom"/>
          </w:tcPr>
          <w:p>
            <w:pPr>
              <w:jc w:val="right"/>
              <w:ind w:right="121"/>
              <w:spacing w:after="0"/>
              <w:rPr>
                <w:sz w:val="20"/>
                <w:szCs w:val="20"/>
                <w:color w:val="auto"/>
              </w:rPr>
            </w:pPr>
            <w:r>
              <w:rPr>
                <w:rFonts w:ascii="Arial" w:cs="Arial" w:eastAsia="Arial" w:hAnsi="Arial"/>
                <w:sz w:val="20"/>
                <w:szCs w:val="20"/>
                <w:color w:val="auto"/>
              </w:rPr>
              <w:t>0</w:t>
            </w:r>
          </w:p>
        </w:tc>
        <w:tc>
          <w:tcPr>
            <w:tcW w:w="720" w:type="dxa"/>
            <w:vAlign w:val="bottom"/>
          </w:tcPr>
          <w:p>
            <w:pPr>
              <w:ind w:left="24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6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480" w:type="dxa"/>
            <w:vAlign w:val="bottom"/>
          </w:tcPr>
          <w:p>
            <w:pPr>
              <w:jc w:val="right"/>
              <w:spacing w:after="0"/>
              <w:rPr>
                <w:sz w:val="20"/>
                <w:szCs w:val="20"/>
                <w:color w:val="auto"/>
              </w:rPr>
            </w:pPr>
            <w:r>
              <w:rPr>
                <w:rFonts w:ascii="Arial" w:cs="Arial" w:eastAsia="Arial" w:hAnsi="Arial"/>
                <w:sz w:val="20"/>
                <w:szCs w:val="20"/>
                <w:color w:val="auto"/>
              </w:rPr>
              <w:t>0</w:t>
            </w:r>
          </w:p>
        </w:tc>
        <w:tc>
          <w:tcPr>
            <w:tcW w:w="10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52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rPr>
              <w:t>Randolph Deep</w:t>
            </w:r>
          </w:p>
        </w:tc>
        <w:tc>
          <w:tcPr>
            <w:tcW w:w="9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520" w:type="dxa"/>
            <w:vAlign w:val="bottom"/>
            <w:shd w:val="clear" w:color="auto" w:fill="CFF0FC"/>
          </w:tcPr>
          <w:p>
            <w:pPr>
              <w:spacing w:after="0"/>
              <w:rPr>
                <w:sz w:val="20"/>
                <w:szCs w:val="20"/>
                <w:color w:val="auto"/>
              </w:rPr>
            </w:pPr>
            <w:r>
              <w:rPr>
                <w:rFonts w:ascii="Arial" w:cs="Arial" w:eastAsia="Arial" w:hAnsi="Arial"/>
                <w:sz w:val="20"/>
                <w:szCs w:val="20"/>
                <w:color w:val="auto"/>
              </w:rPr>
              <w:t>Mine</w:t>
            </w:r>
          </w:p>
        </w:tc>
        <w:tc>
          <w:tcPr>
            <w:tcW w:w="9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w w:val="97"/>
              </w:rPr>
              <w:t>2302308</w:t>
            </w:r>
          </w:p>
        </w:tc>
        <w:tc>
          <w:tcPr>
            <w:tcW w:w="700" w:type="dxa"/>
            <w:vAlign w:val="bottom"/>
            <w:shd w:val="clear" w:color="auto" w:fill="CFF0FC"/>
          </w:tcPr>
          <w:p>
            <w:pPr>
              <w:jc w:val="right"/>
              <w:ind w:right="301"/>
              <w:spacing w:after="0"/>
              <w:rPr>
                <w:sz w:val="20"/>
                <w:szCs w:val="20"/>
                <w:color w:val="auto"/>
              </w:rPr>
            </w:pPr>
            <w:r>
              <w:rPr>
                <w:rFonts w:ascii="Arial" w:cs="Arial" w:eastAsia="Arial" w:hAnsi="Arial"/>
                <w:sz w:val="20"/>
                <w:szCs w:val="20"/>
                <w:color w:val="auto"/>
              </w:rPr>
              <w:t>1</w:t>
            </w:r>
          </w:p>
        </w:tc>
        <w:tc>
          <w:tcPr>
            <w:tcW w:w="880" w:type="dxa"/>
            <w:vAlign w:val="bottom"/>
            <w:shd w:val="clear" w:color="auto" w:fill="CFF0FC"/>
          </w:tcPr>
          <w:p>
            <w:pPr>
              <w:jc w:val="right"/>
              <w:ind w:right="28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8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1,111</w:t>
            </w:r>
          </w:p>
        </w:tc>
        <w:tc>
          <w:tcPr>
            <w:tcW w:w="4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6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10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520" w:type="dxa"/>
            <w:vAlign w:val="bottom"/>
          </w:tcPr>
          <w:p>
            <w:pPr>
              <w:spacing w:after="0"/>
              <w:rPr>
                <w:sz w:val="20"/>
                <w:szCs w:val="20"/>
                <w:color w:val="auto"/>
              </w:rPr>
            </w:pPr>
            <w:r>
              <w:rPr>
                <w:rFonts w:ascii="Arial" w:cs="Arial" w:eastAsia="Arial" w:hAnsi="Arial"/>
                <w:sz w:val="20"/>
                <w:szCs w:val="20"/>
                <w:color w:val="auto"/>
              </w:rPr>
              <w:t>Reasnor Sand</w:t>
            </w:r>
          </w:p>
        </w:tc>
        <w:tc>
          <w:tcPr>
            <w:tcW w:w="960" w:type="dxa"/>
            <w:vAlign w:val="bottom"/>
          </w:tcPr>
          <w:p>
            <w:pPr>
              <w:jc w:val="right"/>
              <w:ind w:right="81"/>
              <w:spacing w:after="0"/>
              <w:rPr>
                <w:sz w:val="20"/>
                <w:szCs w:val="20"/>
                <w:color w:val="auto"/>
              </w:rPr>
            </w:pPr>
            <w:r>
              <w:rPr>
                <w:rFonts w:ascii="Arial" w:cs="Arial" w:eastAsia="Arial" w:hAnsi="Arial"/>
                <w:sz w:val="20"/>
                <w:szCs w:val="20"/>
                <w:color w:val="auto"/>
                <w:w w:val="97"/>
              </w:rPr>
              <w:t>1300814</w:t>
            </w:r>
          </w:p>
        </w:tc>
        <w:tc>
          <w:tcPr>
            <w:tcW w:w="700" w:type="dxa"/>
            <w:vAlign w:val="bottom"/>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tcPr>
          <w:p>
            <w:pPr>
              <w:jc w:val="right"/>
              <w:ind w:right="281"/>
              <w:spacing w:after="0"/>
              <w:rPr>
                <w:sz w:val="20"/>
                <w:szCs w:val="20"/>
                <w:color w:val="auto"/>
              </w:rPr>
            </w:pPr>
            <w:r>
              <w:rPr>
                <w:rFonts w:ascii="Arial" w:cs="Arial" w:eastAsia="Arial" w:hAnsi="Arial"/>
                <w:sz w:val="20"/>
                <w:szCs w:val="20"/>
                <w:color w:val="auto"/>
              </w:rPr>
              <w:t>0</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340" w:type="dxa"/>
            <w:vAlign w:val="bottom"/>
          </w:tcPr>
          <w:p>
            <w:pPr>
              <w:jc w:val="right"/>
              <w:spacing w:after="0"/>
              <w:rPr>
                <w:sz w:val="20"/>
                <w:szCs w:val="20"/>
                <w:color w:val="auto"/>
              </w:rPr>
            </w:pPr>
            <w:r>
              <w:rPr>
                <w:rFonts w:ascii="Arial" w:cs="Arial" w:eastAsia="Arial" w:hAnsi="Arial"/>
                <w:sz w:val="20"/>
                <w:szCs w:val="20"/>
                <w:color w:val="auto"/>
              </w:rPr>
              <w:t>$</w:t>
            </w:r>
          </w:p>
        </w:tc>
        <w:tc>
          <w:tcPr>
            <w:tcW w:w="68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480" w:type="dxa"/>
            <w:vAlign w:val="bottom"/>
          </w:tcPr>
          <w:p>
            <w:pPr>
              <w:jc w:val="right"/>
              <w:ind w:right="121"/>
              <w:spacing w:after="0"/>
              <w:rPr>
                <w:sz w:val="20"/>
                <w:szCs w:val="20"/>
                <w:color w:val="auto"/>
              </w:rPr>
            </w:pPr>
            <w:r>
              <w:rPr>
                <w:rFonts w:ascii="Arial" w:cs="Arial" w:eastAsia="Arial" w:hAnsi="Arial"/>
                <w:sz w:val="20"/>
                <w:szCs w:val="20"/>
                <w:color w:val="auto"/>
              </w:rPr>
              <w:t>0</w:t>
            </w:r>
          </w:p>
        </w:tc>
        <w:tc>
          <w:tcPr>
            <w:tcW w:w="720" w:type="dxa"/>
            <w:vAlign w:val="bottom"/>
          </w:tcPr>
          <w:p>
            <w:pPr>
              <w:ind w:left="24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6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480" w:type="dxa"/>
            <w:vAlign w:val="bottom"/>
          </w:tcPr>
          <w:p>
            <w:pPr>
              <w:jc w:val="right"/>
              <w:spacing w:after="0"/>
              <w:rPr>
                <w:sz w:val="20"/>
                <w:szCs w:val="20"/>
                <w:color w:val="auto"/>
              </w:rPr>
            </w:pPr>
            <w:r>
              <w:rPr>
                <w:rFonts w:ascii="Arial" w:cs="Arial" w:eastAsia="Arial" w:hAnsi="Arial"/>
                <w:sz w:val="20"/>
                <w:szCs w:val="20"/>
                <w:color w:val="auto"/>
              </w:rPr>
              <w:t>0</w:t>
            </w:r>
          </w:p>
        </w:tc>
        <w:tc>
          <w:tcPr>
            <w:tcW w:w="10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40"/>
        </w:trPr>
        <w:tc>
          <w:tcPr>
            <w:tcW w:w="2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252"/>
        </w:trPr>
        <w:tc>
          <w:tcPr>
            <w:tcW w:w="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20" w:type="dxa"/>
            <w:vAlign w:val="bottom"/>
            <w:gridSpan w:val="2"/>
          </w:tcPr>
          <w:p>
            <w:pPr>
              <w:ind w:left="80"/>
              <w:spacing w:after="0"/>
              <w:rPr>
                <w:sz w:val="20"/>
                <w:szCs w:val="20"/>
                <w:color w:val="auto"/>
              </w:rPr>
            </w:pPr>
            <w:r>
              <w:rPr>
                <w:rFonts w:ascii="Arial" w:cs="Arial" w:eastAsia="Arial" w:hAnsi="Arial"/>
                <w:sz w:val="20"/>
                <w:szCs w:val="20"/>
                <w:color w:val="auto"/>
                <w:w w:val="91"/>
              </w:rPr>
              <w:t>Appendix 1</w:t>
            </w:r>
          </w:p>
        </w:tc>
        <w:tc>
          <w:tcPr>
            <w:tcW w:w="0" w:type="dxa"/>
            <w:vAlign w:val="bottom"/>
          </w:tcPr>
          <w:p>
            <w:pPr>
              <w:spacing w:after="0"/>
              <w:rPr>
                <w:sz w:val="1"/>
                <w:szCs w:val="1"/>
                <w:color w:val="auto"/>
              </w:rPr>
            </w:pPr>
          </w:p>
        </w:tc>
      </w:tr>
      <w:tr>
        <w:trPr>
          <w:trHeight w:val="226"/>
        </w:trPr>
        <w:tc>
          <w:tcPr>
            <w:tcW w:w="20" w:type="dxa"/>
            <w:vAlign w:val="bottom"/>
            <w:vMerge w:val="restart"/>
          </w:tcPr>
          <w:p>
            <w:pPr>
              <w:spacing w:after="0"/>
              <w:rPr>
                <w:sz w:val="19"/>
                <w:szCs w:val="19"/>
                <w:color w:val="auto"/>
              </w:rPr>
            </w:pPr>
          </w:p>
        </w:tc>
        <w:tc>
          <w:tcPr>
            <w:tcW w:w="15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1560" w:type="dxa"/>
            <w:vAlign w:val="bottom"/>
            <w:shd w:val="clear" w:color="auto" w:fill="CFF0FC"/>
          </w:tcPr>
          <w:p>
            <w:pPr>
              <w:spacing w:after="0"/>
              <w:rPr>
                <w:sz w:val="20"/>
                <w:szCs w:val="20"/>
                <w:color w:val="auto"/>
              </w:rPr>
            </w:pPr>
            <w:r>
              <w:rPr>
                <w:rFonts w:ascii="Arial" w:cs="Arial" w:eastAsia="Arial" w:hAnsi="Arial"/>
                <w:sz w:val="20"/>
                <w:szCs w:val="20"/>
                <w:color w:val="auto"/>
              </w:rPr>
              <w:t>Saylorville Sand</w:t>
            </w:r>
          </w:p>
        </w:tc>
        <w:tc>
          <w:tcPr>
            <w:tcW w:w="92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w w:val="92"/>
              </w:rPr>
              <w:t>1302290</w:t>
            </w:r>
          </w:p>
        </w:tc>
        <w:tc>
          <w:tcPr>
            <w:tcW w:w="700" w:type="dxa"/>
            <w:vAlign w:val="bottom"/>
            <w:shd w:val="clear" w:color="auto" w:fill="CFF0FC"/>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shd w:val="clear" w:color="auto" w:fill="CFF0FC"/>
          </w:tcPr>
          <w:p>
            <w:pPr>
              <w:jc w:val="right"/>
              <w:ind w:right="28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60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6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1000" w:type="dxa"/>
            <w:vAlign w:val="bottom"/>
            <w:shd w:val="clear" w:color="auto" w:fill="CFF0FC"/>
          </w:tcPr>
          <w:p>
            <w:pPr>
              <w:jc w:val="center"/>
              <w:ind w:left="161"/>
              <w:spacing w:after="0"/>
              <w:rPr>
                <w:sz w:val="20"/>
                <w:szCs w:val="20"/>
                <w:color w:val="auto"/>
              </w:rPr>
            </w:pPr>
            <w:r>
              <w:rPr>
                <w:rFonts w:ascii="Arial" w:cs="Arial" w:eastAsia="Arial" w:hAnsi="Arial"/>
                <w:sz w:val="20"/>
                <w:szCs w:val="20"/>
                <w:color w:val="auto"/>
                <w:w w:val="89"/>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560" w:type="dxa"/>
            <w:vAlign w:val="bottom"/>
          </w:tcPr>
          <w:p>
            <w:pPr>
              <w:spacing w:after="0"/>
              <w:rPr>
                <w:sz w:val="20"/>
                <w:szCs w:val="20"/>
                <w:color w:val="auto"/>
              </w:rPr>
            </w:pPr>
            <w:r>
              <w:rPr>
                <w:rFonts w:ascii="Arial" w:cs="Arial" w:eastAsia="Arial" w:hAnsi="Arial"/>
                <w:sz w:val="20"/>
                <w:szCs w:val="20"/>
                <w:color w:val="auto"/>
                <w:w w:val="95"/>
              </w:rPr>
              <w:t>Springfield Quarry</w:t>
            </w:r>
          </w:p>
        </w:tc>
        <w:tc>
          <w:tcPr>
            <w:tcW w:w="920" w:type="dxa"/>
            <w:vAlign w:val="bottom"/>
          </w:tcPr>
          <w:p>
            <w:pPr>
              <w:jc w:val="right"/>
              <w:ind w:right="81"/>
              <w:spacing w:after="0"/>
              <w:rPr>
                <w:sz w:val="20"/>
                <w:szCs w:val="20"/>
                <w:color w:val="auto"/>
              </w:rPr>
            </w:pPr>
            <w:r>
              <w:rPr>
                <w:rFonts w:ascii="Arial" w:cs="Arial" w:eastAsia="Arial" w:hAnsi="Arial"/>
                <w:sz w:val="20"/>
                <w:szCs w:val="20"/>
                <w:color w:val="auto"/>
                <w:w w:val="92"/>
              </w:rPr>
              <w:t>2501103</w:t>
            </w:r>
          </w:p>
        </w:tc>
        <w:tc>
          <w:tcPr>
            <w:tcW w:w="700" w:type="dxa"/>
            <w:vAlign w:val="bottom"/>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tcPr>
          <w:p>
            <w:pPr>
              <w:jc w:val="right"/>
              <w:ind w:right="281"/>
              <w:spacing w:after="0"/>
              <w:rPr>
                <w:sz w:val="20"/>
                <w:szCs w:val="20"/>
                <w:color w:val="auto"/>
              </w:rPr>
            </w:pPr>
            <w:r>
              <w:rPr>
                <w:rFonts w:ascii="Arial" w:cs="Arial" w:eastAsia="Arial" w:hAnsi="Arial"/>
                <w:sz w:val="20"/>
                <w:szCs w:val="20"/>
                <w:color w:val="auto"/>
              </w:rPr>
              <w:t>0</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42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60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480" w:type="dxa"/>
            <w:vAlign w:val="bottom"/>
          </w:tcPr>
          <w:p>
            <w:pPr>
              <w:jc w:val="right"/>
              <w:ind w:right="121"/>
              <w:spacing w:after="0"/>
              <w:rPr>
                <w:sz w:val="20"/>
                <w:szCs w:val="20"/>
                <w:color w:val="auto"/>
              </w:rPr>
            </w:pPr>
            <w:r>
              <w:rPr>
                <w:rFonts w:ascii="Arial" w:cs="Arial" w:eastAsia="Arial" w:hAnsi="Arial"/>
                <w:sz w:val="20"/>
                <w:szCs w:val="20"/>
                <w:color w:val="auto"/>
              </w:rPr>
              <w:t>0</w:t>
            </w:r>
          </w:p>
        </w:tc>
        <w:tc>
          <w:tcPr>
            <w:tcW w:w="720" w:type="dxa"/>
            <w:vAlign w:val="bottom"/>
          </w:tcPr>
          <w:p>
            <w:pPr>
              <w:ind w:left="24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6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480" w:type="dxa"/>
            <w:vAlign w:val="bottom"/>
          </w:tcPr>
          <w:p>
            <w:pPr>
              <w:jc w:val="right"/>
              <w:spacing w:after="0"/>
              <w:rPr>
                <w:sz w:val="20"/>
                <w:szCs w:val="20"/>
                <w:color w:val="auto"/>
              </w:rPr>
            </w:pPr>
            <w:r>
              <w:rPr>
                <w:rFonts w:ascii="Arial" w:cs="Arial" w:eastAsia="Arial" w:hAnsi="Arial"/>
                <w:sz w:val="20"/>
                <w:szCs w:val="20"/>
                <w:color w:val="auto"/>
              </w:rPr>
              <w:t>0</w:t>
            </w:r>
          </w:p>
        </w:tc>
        <w:tc>
          <w:tcPr>
            <w:tcW w:w="1000" w:type="dxa"/>
            <w:vAlign w:val="bottom"/>
          </w:tcPr>
          <w:p>
            <w:pPr>
              <w:jc w:val="center"/>
              <w:ind w:left="161"/>
              <w:spacing w:after="0"/>
              <w:rPr>
                <w:sz w:val="20"/>
                <w:szCs w:val="20"/>
                <w:color w:val="auto"/>
              </w:rPr>
            </w:pPr>
            <w:r>
              <w:rPr>
                <w:rFonts w:ascii="Arial" w:cs="Arial" w:eastAsia="Arial" w:hAnsi="Arial"/>
                <w:sz w:val="20"/>
                <w:szCs w:val="20"/>
                <w:color w:val="auto"/>
                <w:w w:val="89"/>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560" w:type="dxa"/>
            <w:vAlign w:val="bottom"/>
            <w:shd w:val="clear" w:color="auto" w:fill="CFF0FC"/>
          </w:tcPr>
          <w:p>
            <w:pPr>
              <w:spacing w:after="0"/>
              <w:rPr>
                <w:sz w:val="20"/>
                <w:szCs w:val="20"/>
                <w:color w:val="auto"/>
              </w:rPr>
            </w:pPr>
            <w:r>
              <w:rPr>
                <w:rFonts w:ascii="Arial" w:cs="Arial" w:eastAsia="Arial" w:hAnsi="Arial"/>
                <w:sz w:val="20"/>
                <w:szCs w:val="20"/>
                <w:color w:val="auto"/>
              </w:rPr>
              <w:t>St Cloud Quarry</w:t>
            </w:r>
          </w:p>
        </w:tc>
        <w:tc>
          <w:tcPr>
            <w:tcW w:w="92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w w:val="92"/>
              </w:rPr>
              <w:t>2100081</w:t>
            </w:r>
          </w:p>
        </w:tc>
        <w:tc>
          <w:tcPr>
            <w:tcW w:w="700" w:type="dxa"/>
            <w:vAlign w:val="bottom"/>
            <w:shd w:val="clear" w:color="auto" w:fill="CFF0FC"/>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shd w:val="clear" w:color="auto" w:fill="CFF0FC"/>
          </w:tcPr>
          <w:p>
            <w:pPr>
              <w:jc w:val="right"/>
              <w:ind w:right="28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60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6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1000" w:type="dxa"/>
            <w:vAlign w:val="bottom"/>
            <w:shd w:val="clear" w:color="auto" w:fill="CFF0FC"/>
          </w:tcPr>
          <w:p>
            <w:pPr>
              <w:jc w:val="center"/>
              <w:ind w:left="161"/>
              <w:spacing w:after="0"/>
              <w:rPr>
                <w:sz w:val="20"/>
                <w:szCs w:val="20"/>
                <w:color w:val="auto"/>
              </w:rPr>
            </w:pPr>
            <w:r>
              <w:rPr>
                <w:rFonts w:ascii="Arial" w:cs="Arial" w:eastAsia="Arial" w:hAnsi="Arial"/>
                <w:sz w:val="20"/>
                <w:szCs w:val="20"/>
                <w:color w:val="auto"/>
                <w:w w:val="89"/>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560" w:type="dxa"/>
            <w:vAlign w:val="bottom"/>
          </w:tcPr>
          <w:p>
            <w:pPr>
              <w:spacing w:after="0"/>
              <w:rPr>
                <w:sz w:val="20"/>
                <w:szCs w:val="20"/>
                <w:color w:val="auto"/>
              </w:rPr>
            </w:pPr>
            <w:r>
              <w:rPr>
                <w:rFonts w:ascii="Arial" w:cs="Arial" w:eastAsia="Arial" w:hAnsi="Arial"/>
                <w:sz w:val="20"/>
                <w:szCs w:val="20"/>
                <w:color w:val="auto"/>
              </w:rPr>
              <w:t>Stamper Mine</w:t>
            </w:r>
          </w:p>
        </w:tc>
        <w:tc>
          <w:tcPr>
            <w:tcW w:w="920" w:type="dxa"/>
            <w:vAlign w:val="bottom"/>
          </w:tcPr>
          <w:p>
            <w:pPr>
              <w:jc w:val="right"/>
              <w:ind w:right="81"/>
              <w:spacing w:after="0"/>
              <w:rPr>
                <w:sz w:val="20"/>
                <w:szCs w:val="20"/>
                <w:color w:val="auto"/>
              </w:rPr>
            </w:pPr>
            <w:r>
              <w:rPr>
                <w:rFonts w:ascii="Arial" w:cs="Arial" w:eastAsia="Arial" w:hAnsi="Arial"/>
                <w:sz w:val="20"/>
                <w:szCs w:val="20"/>
                <w:color w:val="auto"/>
                <w:w w:val="92"/>
              </w:rPr>
              <w:t>2302232</w:t>
            </w:r>
          </w:p>
        </w:tc>
        <w:tc>
          <w:tcPr>
            <w:tcW w:w="700" w:type="dxa"/>
            <w:vAlign w:val="bottom"/>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tcPr>
          <w:p>
            <w:pPr>
              <w:jc w:val="right"/>
              <w:ind w:right="281"/>
              <w:spacing w:after="0"/>
              <w:rPr>
                <w:sz w:val="20"/>
                <w:szCs w:val="20"/>
                <w:color w:val="auto"/>
              </w:rPr>
            </w:pPr>
            <w:r>
              <w:rPr>
                <w:rFonts w:ascii="Arial" w:cs="Arial" w:eastAsia="Arial" w:hAnsi="Arial"/>
                <w:sz w:val="20"/>
                <w:szCs w:val="20"/>
                <w:color w:val="auto"/>
              </w:rPr>
              <w:t>0</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42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60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480" w:type="dxa"/>
            <w:vAlign w:val="bottom"/>
          </w:tcPr>
          <w:p>
            <w:pPr>
              <w:jc w:val="right"/>
              <w:ind w:right="121"/>
              <w:spacing w:after="0"/>
              <w:rPr>
                <w:sz w:val="20"/>
                <w:szCs w:val="20"/>
                <w:color w:val="auto"/>
              </w:rPr>
            </w:pPr>
            <w:r>
              <w:rPr>
                <w:rFonts w:ascii="Arial" w:cs="Arial" w:eastAsia="Arial" w:hAnsi="Arial"/>
                <w:sz w:val="20"/>
                <w:szCs w:val="20"/>
                <w:color w:val="auto"/>
              </w:rPr>
              <w:t>0</w:t>
            </w:r>
          </w:p>
        </w:tc>
        <w:tc>
          <w:tcPr>
            <w:tcW w:w="720" w:type="dxa"/>
            <w:vAlign w:val="bottom"/>
          </w:tcPr>
          <w:p>
            <w:pPr>
              <w:ind w:left="24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60" w:type="dxa"/>
            <w:vAlign w:val="bottom"/>
          </w:tcPr>
          <w:p>
            <w:pPr>
              <w:jc w:val="right"/>
              <w:ind w:right="221"/>
              <w:spacing w:after="0"/>
              <w:rPr>
                <w:sz w:val="20"/>
                <w:szCs w:val="20"/>
                <w:color w:val="auto"/>
              </w:rPr>
            </w:pPr>
            <w:r>
              <w:rPr>
                <w:rFonts w:ascii="Arial" w:cs="Arial" w:eastAsia="Arial" w:hAnsi="Arial"/>
                <w:sz w:val="20"/>
                <w:szCs w:val="20"/>
                <w:color w:val="auto"/>
              </w:rPr>
              <w:t>1</w:t>
            </w:r>
          </w:p>
        </w:tc>
        <w:tc>
          <w:tcPr>
            <w:tcW w:w="480" w:type="dxa"/>
            <w:vAlign w:val="bottom"/>
          </w:tcPr>
          <w:p>
            <w:pPr>
              <w:jc w:val="right"/>
              <w:spacing w:after="0"/>
              <w:rPr>
                <w:sz w:val="20"/>
                <w:szCs w:val="20"/>
                <w:color w:val="auto"/>
              </w:rPr>
            </w:pPr>
            <w:r>
              <w:rPr>
                <w:rFonts w:ascii="Arial" w:cs="Arial" w:eastAsia="Arial" w:hAnsi="Arial"/>
                <w:sz w:val="20"/>
                <w:szCs w:val="20"/>
                <w:color w:val="auto"/>
              </w:rPr>
              <w:t>0</w:t>
            </w:r>
          </w:p>
        </w:tc>
        <w:tc>
          <w:tcPr>
            <w:tcW w:w="1000" w:type="dxa"/>
            <w:vAlign w:val="bottom"/>
          </w:tcPr>
          <w:p>
            <w:pPr>
              <w:jc w:val="center"/>
              <w:ind w:left="161"/>
              <w:spacing w:after="0"/>
              <w:rPr>
                <w:sz w:val="20"/>
                <w:szCs w:val="20"/>
                <w:color w:val="auto"/>
              </w:rPr>
            </w:pPr>
            <w:r>
              <w:rPr>
                <w:rFonts w:ascii="Arial" w:cs="Arial" w:eastAsia="Arial" w:hAnsi="Arial"/>
                <w:sz w:val="20"/>
                <w:szCs w:val="20"/>
                <w:color w:val="auto"/>
                <w:w w:val="89"/>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560" w:type="dxa"/>
            <w:vAlign w:val="bottom"/>
            <w:shd w:val="clear" w:color="auto" w:fill="CFF0FC"/>
          </w:tcPr>
          <w:p>
            <w:pPr>
              <w:spacing w:after="0"/>
              <w:rPr>
                <w:sz w:val="20"/>
                <w:szCs w:val="20"/>
                <w:color w:val="auto"/>
              </w:rPr>
            </w:pPr>
            <w:r>
              <w:rPr>
                <w:rFonts w:ascii="Arial" w:cs="Arial" w:eastAsia="Arial" w:hAnsi="Arial"/>
                <w:sz w:val="20"/>
                <w:szCs w:val="20"/>
                <w:color w:val="auto"/>
              </w:rPr>
              <w:t>Sully Mine</w:t>
            </w:r>
          </w:p>
        </w:tc>
        <w:tc>
          <w:tcPr>
            <w:tcW w:w="92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w w:val="92"/>
              </w:rPr>
              <w:t>1300063</w:t>
            </w:r>
          </w:p>
        </w:tc>
        <w:tc>
          <w:tcPr>
            <w:tcW w:w="700" w:type="dxa"/>
            <w:vAlign w:val="bottom"/>
            <w:shd w:val="clear" w:color="auto" w:fill="CFF0FC"/>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shd w:val="clear" w:color="auto" w:fill="CFF0FC"/>
          </w:tcPr>
          <w:p>
            <w:pPr>
              <w:jc w:val="right"/>
              <w:ind w:right="28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60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200</w:t>
            </w:r>
          </w:p>
        </w:tc>
        <w:tc>
          <w:tcPr>
            <w:tcW w:w="4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6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1000" w:type="dxa"/>
            <w:vAlign w:val="bottom"/>
            <w:shd w:val="clear" w:color="auto" w:fill="CFF0FC"/>
          </w:tcPr>
          <w:p>
            <w:pPr>
              <w:jc w:val="center"/>
              <w:ind w:left="161"/>
              <w:spacing w:after="0"/>
              <w:rPr>
                <w:sz w:val="20"/>
                <w:szCs w:val="20"/>
                <w:color w:val="auto"/>
              </w:rPr>
            </w:pPr>
            <w:r>
              <w:rPr>
                <w:rFonts w:ascii="Arial" w:cs="Arial" w:eastAsia="Arial" w:hAnsi="Arial"/>
                <w:sz w:val="20"/>
                <w:szCs w:val="20"/>
                <w:color w:val="auto"/>
                <w:w w:val="89"/>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560" w:type="dxa"/>
            <w:vAlign w:val="bottom"/>
          </w:tcPr>
          <w:p>
            <w:pPr>
              <w:spacing w:after="0"/>
              <w:rPr>
                <w:sz w:val="20"/>
                <w:szCs w:val="20"/>
                <w:color w:val="auto"/>
              </w:rPr>
            </w:pPr>
            <w:r>
              <w:rPr>
                <w:rFonts w:ascii="Arial" w:cs="Arial" w:eastAsia="Arial" w:hAnsi="Arial"/>
                <w:sz w:val="20"/>
                <w:szCs w:val="20"/>
                <w:color w:val="auto"/>
              </w:rPr>
              <w:t>Sunflower</w:t>
            </w:r>
          </w:p>
        </w:tc>
        <w:tc>
          <w:tcPr>
            <w:tcW w:w="920" w:type="dxa"/>
            <w:vAlign w:val="bottom"/>
          </w:tcPr>
          <w:p>
            <w:pPr>
              <w:jc w:val="right"/>
              <w:ind w:right="81"/>
              <w:spacing w:after="0"/>
              <w:rPr>
                <w:sz w:val="20"/>
                <w:szCs w:val="20"/>
                <w:color w:val="auto"/>
              </w:rPr>
            </w:pPr>
            <w:r>
              <w:rPr>
                <w:rFonts w:ascii="Arial" w:cs="Arial" w:eastAsia="Arial" w:hAnsi="Arial"/>
                <w:sz w:val="20"/>
                <w:szCs w:val="20"/>
                <w:color w:val="auto"/>
                <w:w w:val="92"/>
              </w:rPr>
              <w:t>1401556</w:t>
            </w:r>
          </w:p>
        </w:tc>
        <w:tc>
          <w:tcPr>
            <w:tcW w:w="700" w:type="dxa"/>
            <w:vAlign w:val="bottom"/>
          </w:tcPr>
          <w:p>
            <w:pPr>
              <w:jc w:val="right"/>
              <w:ind w:right="301"/>
              <w:spacing w:after="0"/>
              <w:rPr>
                <w:sz w:val="20"/>
                <w:szCs w:val="20"/>
                <w:color w:val="auto"/>
              </w:rPr>
            </w:pPr>
            <w:r>
              <w:rPr>
                <w:rFonts w:ascii="Arial" w:cs="Arial" w:eastAsia="Arial" w:hAnsi="Arial"/>
                <w:sz w:val="20"/>
                <w:szCs w:val="20"/>
                <w:color w:val="auto"/>
              </w:rPr>
              <w:t>1</w:t>
            </w:r>
          </w:p>
        </w:tc>
        <w:tc>
          <w:tcPr>
            <w:tcW w:w="880" w:type="dxa"/>
            <w:vAlign w:val="bottom"/>
          </w:tcPr>
          <w:p>
            <w:pPr>
              <w:jc w:val="right"/>
              <w:ind w:right="281"/>
              <w:spacing w:after="0"/>
              <w:rPr>
                <w:sz w:val="20"/>
                <w:szCs w:val="20"/>
                <w:color w:val="auto"/>
              </w:rPr>
            </w:pPr>
            <w:r>
              <w:rPr>
                <w:rFonts w:ascii="Arial" w:cs="Arial" w:eastAsia="Arial" w:hAnsi="Arial"/>
                <w:sz w:val="20"/>
                <w:szCs w:val="20"/>
                <w:color w:val="auto"/>
              </w:rPr>
              <w:t>0</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42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60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480" w:type="dxa"/>
            <w:vAlign w:val="bottom"/>
          </w:tcPr>
          <w:p>
            <w:pPr>
              <w:jc w:val="right"/>
              <w:ind w:right="121"/>
              <w:spacing w:after="0"/>
              <w:rPr>
                <w:sz w:val="20"/>
                <w:szCs w:val="20"/>
                <w:color w:val="auto"/>
              </w:rPr>
            </w:pPr>
            <w:r>
              <w:rPr>
                <w:rFonts w:ascii="Arial" w:cs="Arial" w:eastAsia="Arial" w:hAnsi="Arial"/>
                <w:sz w:val="20"/>
                <w:szCs w:val="20"/>
                <w:color w:val="auto"/>
              </w:rPr>
              <w:t>0</w:t>
            </w:r>
          </w:p>
        </w:tc>
        <w:tc>
          <w:tcPr>
            <w:tcW w:w="720" w:type="dxa"/>
            <w:vAlign w:val="bottom"/>
          </w:tcPr>
          <w:p>
            <w:pPr>
              <w:ind w:left="24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6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480" w:type="dxa"/>
            <w:vAlign w:val="bottom"/>
          </w:tcPr>
          <w:p>
            <w:pPr>
              <w:jc w:val="right"/>
              <w:spacing w:after="0"/>
              <w:rPr>
                <w:sz w:val="20"/>
                <w:szCs w:val="20"/>
                <w:color w:val="auto"/>
              </w:rPr>
            </w:pPr>
            <w:r>
              <w:rPr>
                <w:rFonts w:ascii="Arial" w:cs="Arial" w:eastAsia="Arial" w:hAnsi="Arial"/>
                <w:sz w:val="20"/>
                <w:szCs w:val="20"/>
                <w:color w:val="auto"/>
              </w:rPr>
              <w:t>0</w:t>
            </w:r>
          </w:p>
        </w:tc>
        <w:tc>
          <w:tcPr>
            <w:tcW w:w="1000" w:type="dxa"/>
            <w:vAlign w:val="bottom"/>
          </w:tcPr>
          <w:p>
            <w:pPr>
              <w:jc w:val="center"/>
              <w:ind w:left="161"/>
              <w:spacing w:after="0"/>
              <w:rPr>
                <w:sz w:val="20"/>
                <w:szCs w:val="20"/>
                <w:color w:val="auto"/>
              </w:rPr>
            </w:pPr>
            <w:r>
              <w:rPr>
                <w:rFonts w:ascii="Arial" w:cs="Arial" w:eastAsia="Arial" w:hAnsi="Arial"/>
                <w:sz w:val="20"/>
                <w:szCs w:val="20"/>
                <w:color w:val="auto"/>
                <w:w w:val="89"/>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56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rPr>
              <w:t>Weeping Water</w:t>
            </w:r>
          </w:p>
        </w:tc>
        <w:tc>
          <w:tcPr>
            <w:tcW w:w="9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560" w:type="dxa"/>
            <w:vAlign w:val="bottom"/>
            <w:shd w:val="clear" w:color="auto" w:fill="CFF0FC"/>
          </w:tcPr>
          <w:p>
            <w:pPr>
              <w:spacing w:after="0"/>
              <w:rPr>
                <w:sz w:val="20"/>
                <w:szCs w:val="20"/>
                <w:color w:val="auto"/>
              </w:rPr>
            </w:pPr>
            <w:r>
              <w:rPr>
                <w:rFonts w:ascii="Arial" w:cs="Arial" w:eastAsia="Arial" w:hAnsi="Arial"/>
                <w:sz w:val="20"/>
                <w:szCs w:val="20"/>
                <w:color w:val="auto"/>
              </w:rPr>
              <w:t>Mine</w:t>
            </w:r>
          </w:p>
        </w:tc>
        <w:tc>
          <w:tcPr>
            <w:tcW w:w="92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w w:val="92"/>
              </w:rPr>
              <w:t>2500998</w:t>
            </w:r>
          </w:p>
        </w:tc>
        <w:tc>
          <w:tcPr>
            <w:tcW w:w="700" w:type="dxa"/>
            <w:vAlign w:val="bottom"/>
            <w:shd w:val="clear" w:color="auto" w:fill="CFF0FC"/>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shd w:val="clear" w:color="auto" w:fill="CFF0FC"/>
          </w:tcPr>
          <w:p>
            <w:pPr>
              <w:jc w:val="right"/>
              <w:ind w:right="28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60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6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2</w:t>
            </w:r>
          </w:p>
        </w:tc>
        <w:tc>
          <w:tcPr>
            <w:tcW w:w="4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w:t>
            </w:r>
          </w:p>
        </w:tc>
        <w:tc>
          <w:tcPr>
            <w:tcW w:w="1000" w:type="dxa"/>
            <w:vAlign w:val="bottom"/>
            <w:shd w:val="clear" w:color="auto" w:fill="CFF0FC"/>
          </w:tcPr>
          <w:p>
            <w:pPr>
              <w:jc w:val="center"/>
              <w:ind w:left="141"/>
              <w:spacing w:after="0"/>
              <w:rPr>
                <w:sz w:val="20"/>
                <w:szCs w:val="20"/>
                <w:color w:val="auto"/>
              </w:rPr>
            </w:pPr>
            <w:r>
              <w:rPr>
                <w:rFonts w:ascii="Arial" w:cs="Arial" w:eastAsia="Arial" w:hAnsi="Arial"/>
                <w:sz w:val="20"/>
                <w:szCs w:val="20"/>
                <w:color w:val="auto"/>
                <w:w w:val="89"/>
              </w:rPr>
              <w:t>12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560" w:type="dxa"/>
            <w:vAlign w:val="bottom"/>
          </w:tcPr>
          <w:p>
            <w:pPr>
              <w:spacing w:after="0" w:line="227" w:lineRule="exact"/>
              <w:rPr>
                <w:sz w:val="20"/>
                <w:szCs w:val="20"/>
                <w:color w:val="auto"/>
              </w:rPr>
            </w:pPr>
            <w:r>
              <w:rPr>
                <w:rFonts w:ascii="Arial" w:cs="Arial" w:eastAsia="Arial" w:hAnsi="Arial"/>
                <w:sz w:val="20"/>
                <w:szCs w:val="20"/>
                <w:color w:val="auto"/>
              </w:rPr>
              <w:t>Yellow Medicine</w:t>
            </w: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1580" w:type="dxa"/>
            <w:vAlign w:val="bottom"/>
            <w:gridSpan w:val="2"/>
          </w:tcPr>
          <w:p>
            <w:pPr>
              <w:spacing w:after="0"/>
              <w:rPr>
                <w:sz w:val="20"/>
                <w:szCs w:val="20"/>
                <w:color w:val="auto"/>
              </w:rPr>
            </w:pPr>
            <w:r>
              <w:rPr>
                <w:rFonts w:ascii="Arial" w:cs="Arial" w:eastAsia="Arial" w:hAnsi="Arial"/>
                <w:sz w:val="20"/>
                <w:szCs w:val="20"/>
                <w:color w:val="auto"/>
              </w:rPr>
              <w:t>Quarry</w:t>
            </w:r>
          </w:p>
        </w:tc>
        <w:tc>
          <w:tcPr>
            <w:tcW w:w="920" w:type="dxa"/>
            <w:vAlign w:val="bottom"/>
          </w:tcPr>
          <w:p>
            <w:pPr>
              <w:jc w:val="right"/>
              <w:ind w:right="81"/>
              <w:spacing w:after="0"/>
              <w:rPr>
                <w:sz w:val="20"/>
                <w:szCs w:val="20"/>
                <w:color w:val="auto"/>
              </w:rPr>
            </w:pPr>
            <w:r>
              <w:rPr>
                <w:rFonts w:ascii="Arial" w:cs="Arial" w:eastAsia="Arial" w:hAnsi="Arial"/>
                <w:sz w:val="20"/>
                <w:szCs w:val="20"/>
                <w:color w:val="auto"/>
                <w:w w:val="92"/>
              </w:rPr>
              <w:t>2100033</w:t>
            </w:r>
          </w:p>
        </w:tc>
        <w:tc>
          <w:tcPr>
            <w:tcW w:w="700" w:type="dxa"/>
            <w:vAlign w:val="bottom"/>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tcPr>
          <w:p>
            <w:pPr>
              <w:jc w:val="right"/>
              <w:ind w:right="281"/>
              <w:spacing w:after="0"/>
              <w:rPr>
                <w:sz w:val="20"/>
                <w:szCs w:val="20"/>
                <w:color w:val="auto"/>
              </w:rPr>
            </w:pPr>
            <w:r>
              <w:rPr>
                <w:rFonts w:ascii="Arial" w:cs="Arial" w:eastAsia="Arial" w:hAnsi="Arial"/>
                <w:sz w:val="20"/>
                <w:szCs w:val="20"/>
                <w:color w:val="auto"/>
              </w:rPr>
              <w:t>0</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42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60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480" w:type="dxa"/>
            <w:vAlign w:val="bottom"/>
          </w:tcPr>
          <w:p>
            <w:pPr>
              <w:jc w:val="right"/>
              <w:ind w:right="121"/>
              <w:spacing w:after="0"/>
              <w:rPr>
                <w:sz w:val="20"/>
                <w:szCs w:val="20"/>
                <w:color w:val="auto"/>
              </w:rPr>
            </w:pPr>
            <w:r>
              <w:rPr>
                <w:rFonts w:ascii="Arial" w:cs="Arial" w:eastAsia="Arial" w:hAnsi="Arial"/>
                <w:sz w:val="20"/>
                <w:szCs w:val="20"/>
                <w:color w:val="auto"/>
              </w:rPr>
              <w:t>0</w:t>
            </w:r>
          </w:p>
        </w:tc>
        <w:tc>
          <w:tcPr>
            <w:tcW w:w="720" w:type="dxa"/>
            <w:vAlign w:val="bottom"/>
          </w:tcPr>
          <w:p>
            <w:pPr>
              <w:ind w:left="24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6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480" w:type="dxa"/>
            <w:vAlign w:val="bottom"/>
          </w:tcPr>
          <w:p>
            <w:pPr>
              <w:jc w:val="right"/>
              <w:spacing w:after="0"/>
              <w:rPr>
                <w:sz w:val="20"/>
                <w:szCs w:val="20"/>
                <w:color w:val="auto"/>
              </w:rPr>
            </w:pPr>
            <w:r>
              <w:rPr>
                <w:rFonts w:ascii="Arial" w:cs="Arial" w:eastAsia="Arial" w:hAnsi="Arial"/>
                <w:sz w:val="20"/>
                <w:szCs w:val="20"/>
                <w:color w:val="auto"/>
              </w:rPr>
              <w:t>0</w:t>
            </w:r>
          </w:p>
        </w:tc>
        <w:tc>
          <w:tcPr>
            <w:tcW w:w="1000" w:type="dxa"/>
            <w:vAlign w:val="bottom"/>
          </w:tcPr>
          <w:p>
            <w:pPr>
              <w:jc w:val="center"/>
              <w:ind w:left="161"/>
              <w:spacing w:after="0"/>
              <w:rPr>
                <w:sz w:val="20"/>
                <w:szCs w:val="20"/>
                <w:color w:val="auto"/>
              </w:rPr>
            </w:pPr>
            <w:r>
              <w:rPr>
                <w:rFonts w:ascii="Arial" w:cs="Arial" w:eastAsia="Arial" w:hAnsi="Arial"/>
                <w:sz w:val="20"/>
                <w:szCs w:val="20"/>
                <w:color w:val="auto"/>
                <w:w w:val="89"/>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560" w:type="dxa"/>
            <w:vAlign w:val="bottom"/>
            <w:shd w:val="clear" w:color="auto" w:fill="CFF0FC"/>
          </w:tcPr>
          <w:p>
            <w:pPr>
              <w:spacing w:after="0"/>
              <w:rPr>
                <w:sz w:val="20"/>
                <w:szCs w:val="20"/>
                <w:color w:val="auto"/>
              </w:rPr>
            </w:pPr>
            <w:r>
              <w:rPr>
                <w:rFonts w:ascii="Arial" w:cs="Arial" w:eastAsia="Arial" w:hAnsi="Arial"/>
                <w:sz w:val="20"/>
                <w:szCs w:val="20"/>
                <w:color w:val="auto"/>
              </w:rPr>
              <w:t>211 Quarry</w:t>
            </w:r>
          </w:p>
        </w:tc>
        <w:tc>
          <w:tcPr>
            <w:tcW w:w="92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w w:val="92"/>
              </w:rPr>
              <w:t>4103829</w:t>
            </w:r>
          </w:p>
        </w:tc>
        <w:tc>
          <w:tcPr>
            <w:tcW w:w="700" w:type="dxa"/>
            <w:vAlign w:val="bottom"/>
            <w:shd w:val="clear" w:color="auto" w:fill="CFF0FC"/>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shd w:val="clear" w:color="auto" w:fill="CFF0FC"/>
          </w:tcPr>
          <w:p>
            <w:pPr>
              <w:jc w:val="right"/>
              <w:ind w:right="28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60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6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1000" w:type="dxa"/>
            <w:vAlign w:val="bottom"/>
            <w:shd w:val="clear" w:color="auto" w:fill="CFF0FC"/>
          </w:tcPr>
          <w:p>
            <w:pPr>
              <w:jc w:val="center"/>
              <w:ind w:left="161"/>
              <w:spacing w:after="0"/>
              <w:rPr>
                <w:sz w:val="20"/>
                <w:szCs w:val="20"/>
                <w:color w:val="auto"/>
              </w:rPr>
            </w:pPr>
            <w:r>
              <w:rPr>
                <w:rFonts w:ascii="Arial" w:cs="Arial" w:eastAsia="Arial" w:hAnsi="Arial"/>
                <w:sz w:val="20"/>
                <w:szCs w:val="20"/>
                <w:color w:val="auto"/>
                <w:w w:val="89"/>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560" w:type="dxa"/>
            <w:vAlign w:val="bottom"/>
          </w:tcPr>
          <w:p>
            <w:pPr>
              <w:spacing w:after="0" w:line="227" w:lineRule="exact"/>
              <w:rPr>
                <w:sz w:val="20"/>
                <w:szCs w:val="20"/>
                <w:color w:val="auto"/>
              </w:rPr>
            </w:pPr>
            <w:r>
              <w:rPr>
                <w:rFonts w:ascii="Arial" w:cs="Arial" w:eastAsia="Arial" w:hAnsi="Arial"/>
                <w:sz w:val="20"/>
                <w:szCs w:val="20"/>
                <w:color w:val="auto"/>
              </w:rPr>
              <w:t>Augusta Quarry-</w:t>
            </w: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1580" w:type="dxa"/>
            <w:vAlign w:val="bottom"/>
            <w:gridSpan w:val="2"/>
          </w:tcPr>
          <w:p>
            <w:pPr>
              <w:spacing w:after="0"/>
              <w:rPr>
                <w:sz w:val="20"/>
                <w:szCs w:val="20"/>
                <w:color w:val="auto"/>
              </w:rPr>
            </w:pPr>
            <w:r>
              <w:rPr>
                <w:rFonts w:ascii="Arial" w:cs="Arial" w:eastAsia="Arial" w:hAnsi="Arial"/>
                <w:sz w:val="20"/>
                <w:szCs w:val="20"/>
                <w:color w:val="auto"/>
              </w:rPr>
              <w:t>KS</w:t>
            </w:r>
          </w:p>
        </w:tc>
        <w:tc>
          <w:tcPr>
            <w:tcW w:w="920" w:type="dxa"/>
            <w:vAlign w:val="bottom"/>
          </w:tcPr>
          <w:p>
            <w:pPr>
              <w:jc w:val="right"/>
              <w:ind w:right="81"/>
              <w:spacing w:after="0"/>
              <w:rPr>
                <w:sz w:val="20"/>
                <w:szCs w:val="20"/>
                <w:color w:val="auto"/>
              </w:rPr>
            </w:pPr>
            <w:r>
              <w:rPr>
                <w:rFonts w:ascii="Arial" w:cs="Arial" w:eastAsia="Arial" w:hAnsi="Arial"/>
                <w:sz w:val="20"/>
                <w:szCs w:val="20"/>
                <w:color w:val="auto"/>
                <w:w w:val="92"/>
              </w:rPr>
              <w:t>1400126</w:t>
            </w:r>
          </w:p>
        </w:tc>
        <w:tc>
          <w:tcPr>
            <w:tcW w:w="700" w:type="dxa"/>
            <w:vAlign w:val="bottom"/>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tcPr>
          <w:p>
            <w:pPr>
              <w:jc w:val="right"/>
              <w:ind w:right="281"/>
              <w:spacing w:after="0"/>
              <w:rPr>
                <w:sz w:val="20"/>
                <w:szCs w:val="20"/>
                <w:color w:val="auto"/>
              </w:rPr>
            </w:pPr>
            <w:r>
              <w:rPr>
                <w:rFonts w:ascii="Arial" w:cs="Arial" w:eastAsia="Arial" w:hAnsi="Arial"/>
                <w:sz w:val="20"/>
                <w:szCs w:val="20"/>
                <w:color w:val="auto"/>
              </w:rPr>
              <w:t>0</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42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60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480" w:type="dxa"/>
            <w:vAlign w:val="bottom"/>
          </w:tcPr>
          <w:p>
            <w:pPr>
              <w:jc w:val="right"/>
              <w:ind w:right="121"/>
              <w:spacing w:after="0"/>
              <w:rPr>
                <w:sz w:val="20"/>
                <w:szCs w:val="20"/>
                <w:color w:val="auto"/>
              </w:rPr>
            </w:pPr>
            <w:r>
              <w:rPr>
                <w:rFonts w:ascii="Arial" w:cs="Arial" w:eastAsia="Arial" w:hAnsi="Arial"/>
                <w:sz w:val="20"/>
                <w:szCs w:val="20"/>
                <w:color w:val="auto"/>
              </w:rPr>
              <w:t>0</w:t>
            </w:r>
          </w:p>
        </w:tc>
        <w:tc>
          <w:tcPr>
            <w:tcW w:w="720" w:type="dxa"/>
            <w:vAlign w:val="bottom"/>
          </w:tcPr>
          <w:p>
            <w:pPr>
              <w:ind w:left="24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6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480" w:type="dxa"/>
            <w:vAlign w:val="bottom"/>
          </w:tcPr>
          <w:p>
            <w:pPr>
              <w:jc w:val="right"/>
              <w:spacing w:after="0"/>
              <w:rPr>
                <w:sz w:val="20"/>
                <w:szCs w:val="20"/>
                <w:color w:val="auto"/>
              </w:rPr>
            </w:pPr>
            <w:r>
              <w:rPr>
                <w:rFonts w:ascii="Arial" w:cs="Arial" w:eastAsia="Arial" w:hAnsi="Arial"/>
                <w:sz w:val="20"/>
                <w:szCs w:val="20"/>
                <w:color w:val="auto"/>
              </w:rPr>
              <w:t>0</w:t>
            </w:r>
          </w:p>
        </w:tc>
        <w:tc>
          <w:tcPr>
            <w:tcW w:w="1000" w:type="dxa"/>
            <w:vAlign w:val="bottom"/>
          </w:tcPr>
          <w:p>
            <w:pPr>
              <w:jc w:val="center"/>
              <w:ind w:left="161"/>
              <w:spacing w:after="0"/>
              <w:rPr>
                <w:sz w:val="20"/>
                <w:szCs w:val="20"/>
                <w:color w:val="auto"/>
              </w:rPr>
            </w:pPr>
            <w:r>
              <w:rPr>
                <w:rFonts w:ascii="Arial" w:cs="Arial" w:eastAsia="Arial" w:hAnsi="Arial"/>
                <w:sz w:val="20"/>
                <w:szCs w:val="20"/>
                <w:color w:val="auto"/>
                <w:w w:val="89"/>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560" w:type="dxa"/>
            <w:vAlign w:val="bottom"/>
            <w:shd w:val="clear" w:color="auto" w:fill="CFF0FC"/>
          </w:tcPr>
          <w:p>
            <w:pPr>
              <w:spacing w:after="0"/>
              <w:rPr>
                <w:sz w:val="20"/>
                <w:szCs w:val="20"/>
                <w:color w:val="auto"/>
              </w:rPr>
            </w:pPr>
            <w:r>
              <w:rPr>
                <w:rFonts w:ascii="Arial" w:cs="Arial" w:eastAsia="Arial" w:hAnsi="Arial"/>
                <w:sz w:val="20"/>
                <w:szCs w:val="20"/>
                <w:color w:val="auto"/>
              </w:rPr>
              <w:t>Beckman Quarry</w:t>
            </w:r>
          </w:p>
        </w:tc>
        <w:tc>
          <w:tcPr>
            <w:tcW w:w="92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w w:val="92"/>
              </w:rPr>
              <w:t>4101335</w:t>
            </w:r>
          </w:p>
        </w:tc>
        <w:tc>
          <w:tcPr>
            <w:tcW w:w="700" w:type="dxa"/>
            <w:vAlign w:val="bottom"/>
            <w:shd w:val="clear" w:color="auto" w:fill="CFF0FC"/>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shd w:val="clear" w:color="auto" w:fill="CFF0FC"/>
          </w:tcPr>
          <w:p>
            <w:pPr>
              <w:jc w:val="right"/>
              <w:ind w:right="28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60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6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1000" w:type="dxa"/>
            <w:vAlign w:val="bottom"/>
            <w:shd w:val="clear" w:color="auto" w:fill="CFF0FC"/>
          </w:tcPr>
          <w:p>
            <w:pPr>
              <w:jc w:val="center"/>
              <w:ind w:left="161"/>
              <w:spacing w:after="0"/>
              <w:rPr>
                <w:sz w:val="20"/>
                <w:szCs w:val="20"/>
                <w:color w:val="auto"/>
              </w:rPr>
            </w:pPr>
            <w:r>
              <w:rPr>
                <w:rFonts w:ascii="Arial" w:cs="Arial" w:eastAsia="Arial" w:hAnsi="Arial"/>
                <w:sz w:val="20"/>
                <w:szCs w:val="20"/>
                <w:color w:val="auto"/>
                <w:w w:val="89"/>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560" w:type="dxa"/>
            <w:vAlign w:val="bottom"/>
          </w:tcPr>
          <w:p>
            <w:pPr>
              <w:spacing w:after="0"/>
              <w:rPr>
                <w:sz w:val="20"/>
                <w:szCs w:val="20"/>
                <w:color w:val="auto"/>
              </w:rPr>
            </w:pPr>
            <w:r>
              <w:rPr>
                <w:rFonts w:ascii="Arial" w:cs="Arial" w:eastAsia="Arial" w:hAnsi="Arial"/>
                <w:sz w:val="20"/>
                <w:szCs w:val="20"/>
                <w:color w:val="auto"/>
              </w:rPr>
              <w:t>Bedrock Plant</w:t>
            </w:r>
          </w:p>
        </w:tc>
        <w:tc>
          <w:tcPr>
            <w:tcW w:w="920" w:type="dxa"/>
            <w:vAlign w:val="bottom"/>
          </w:tcPr>
          <w:p>
            <w:pPr>
              <w:jc w:val="right"/>
              <w:ind w:right="81"/>
              <w:spacing w:after="0"/>
              <w:rPr>
                <w:sz w:val="20"/>
                <w:szCs w:val="20"/>
                <w:color w:val="auto"/>
              </w:rPr>
            </w:pPr>
            <w:r>
              <w:rPr>
                <w:rFonts w:ascii="Arial" w:cs="Arial" w:eastAsia="Arial" w:hAnsi="Arial"/>
                <w:sz w:val="20"/>
                <w:szCs w:val="20"/>
                <w:color w:val="auto"/>
                <w:w w:val="92"/>
              </w:rPr>
              <w:t>4103283</w:t>
            </w:r>
          </w:p>
        </w:tc>
        <w:tc>
          <w:tcPr>
            <w:tcW w:w="700" w:type="dxa"/>
            <w:vAlign w:val="bottom"/>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tcPr>
          <w:p>
            <w:pPr>
              <w:jc w:val="right"/>
              <w:ind w:right="281"/>
              <w:spacing w:after="0"/>
              <w:rPr>
                <w:sz w:val="20"/>
                <w:szCs w:val="20"/>
                <w:color w:val="auto"/>
              </w:rPr>
            </w:pPr>
            <w:r>
              <w:rPr>
                <w:rFonts w:ascii="Arial" w:cs="Arial" w:eastAsia="Arial" w:hAnsi="Arial"/>
                <w:sz w:val="20"/>
                <w:szCs w:val="20"/>
                <w:color w:val="auto"/>
              </w:rPr>
              <w:t>0</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42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60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480" w:type="dxa"/>
            <w:vAlign w:val="bottom"/>
          </w:tcPr>
          <w:p>
            <w:pPr>
              <w:jc w:val="right"/>
              <w:ind w:right="121"/>
              <w:spacing w:after="0"/>
              <w:rPr>
                <w:sz w:val="20"/>
                <w:szCs w:val="20"/>
                <w:color w:val="auto"/>
              </w:rPr>
            </w:pPr>
            <w:r>
              <w:rPr>
                <w:rFonts w:ascii="Arial" w:cs="Arial" w:eastAsia="Arial" w:hAnsi="Arial"/>
                <w:sz w:val="20"/>
                <w:szCs w:val="20"/>
                <w:color w:val="auto"/>
              </w:rPr>
              <w:t>0</w:t>
            </w:r>
          </w:p>
        </w:tc>
        <w:tc>
          <w:tcPr>
            <w:tcW w:w="720" w:type="dxa"/>
            <w:vAlign w:val="bottom"/>
          </w:tcPr>
          <w:p>
            <w:pPr>
              <w:ind w:left="24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6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480" w:type="dxa"/>
            <w:vAlign w:val="bottom"/>
          </w:tcPr>
          <w:p>
            <w:pPr>
              <w:jc w:val="right"/>
              <w:spacing w:after="0"/>
              <w:rPr>
                <w:sz w:val="20"/>
                <w:szCs w:val="20"/>
                <w:color w:val="auto"/>
              </w:rPr>
            </w:pPr>
            <w:r>
              <w:rPr>
                <w:rFonts w:ascii="Arial" w:cs="Arial" w:eastAsia="Arial" w:hAnsi="Arial"/>
                <w:sz w:val="20"/>
                <w:szCs w:val="20"/>
                <w:color w:val="auto"/>
              </w:rPr>
              <w:t>0</w:t>
            </w:r>
          </w:p>
        </w:tc>
        <w:tc>
          <w:tcPr>
            <w:tcW w:w="1000" w:type="dxa"/>
            <w:vAlign w:val="bottom"/>
          </w:tcPr>
          <w:p>
            <w:pPr>
              <w:jc w:val="center"/>
              <w:ind w:left="161"/>
              <w:spacing w:after="0"/>
              <w:rPr>
                <w:sz w:val="20"/>
                <w:szCs w:val="20"/>
                <w:color w:val="auto"/>
              </w:rPr>
            </w:pPr>
            <w:r>
              <w:rPr>
                <w:rFonts w:ascii="Arial" w:cs="Arial" w:eastAsia="Arial" w:hAnsi="Arial"/>
                <w:sz w:val="20"/>
                <w:szCs w:val="20"/>
                <w:color w:val="auto"/>
                <w:w w:val="89"/>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56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rPr>
              <w:t>Bells Savoy SG</w:t>
            </w:r>
          </w:p>
        </w:tc>
        <w:tc>
          <w:tcPr>
            <w:tcW w:w="9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560" w:type="dxa"/>
            <w:vAlign w:val="bottom"/>
            <w:shd w:val="clear" w:color="auto" w:fill="CFF0FC"/>
          </w:tcPr>
          <w:p>
            <w:pPr>
              <w:spacing w:after="0"/>
              <w:rPr>
                <w:sz w:val="20"/>
                <w:szCs w:val="20"/>
                <w:color w:val="auto"/>
              </w:rPr>
            </w:pPr>
            <w:r>
              <w:rPr>
                <w:rFonts w:ascii="Arial" w:cs="Arial" w:eastAsia="Arial" w:hAnsi="Arial"/>
                <w:sz w:val="20"/>
                <w:szCs w:val="20"/>
                <w:color w:val="auto"/>
              </w:rPr>
              <w:t>TXI</w:t>
            </w:r>
          </w:p>
        </w:tc>
        <w:tc>
          <w:tcPr>
            <w:tcW w:w="92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w w:val="92"/>
              </w:rPr>
              <w:t>4104019</w:t>
            </w:r>
          </w:p>
        </w:tc>
        <w:tc>
          <w:tcPr>
            <w:tcW w:w="700" w:type="dxa"/>
            <w:vAlign w:val="bottom"/>
            <w:shd w:val="clear" w:color="auto" w:fill="CFF0FC"/>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shd w:val="clear" w:color="auto" w:fill="CFF0FC"/>
          </w:tcPr>
          <w:p>
            <w:pPr>
              <w:jc w:val="right"/>
              <w:ind w:right="28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60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6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1000" w:type="dxa"/>
            <w:vAlign w:val="bottom"/>
            <w:shd w:val="clear" w:color="auto" w:fill="CFF0FC"/>
          </w:tcPr>
          <w:p>
            <w:pPr>
              <w:jc w:val="center"/>
              <w:ind w:left="161"/>
              <w:spacing w:after="0"/>
              <w:rPr>
                <w:sz w:val="20"/>
                <w:szCs w:val="20"/>
                <w:color w:val="auto"/>
              </w:rPr>
            </w:pPr>
            <w:r>
              <w:rPr>
                <w:rFonts w:ascii="Arial" w:cs="Arial" w:eastAsia="Arial" w:hAnsi="Arial"/>
                <w:sz w:val="20"/>
                <w:szCs w:val="20"/>
                <w:color w:val="auto"/>
                <w:w w:val="89"/>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560" w:type="dxa"/>
            <w:vAlign w:val="bottom"/>
          </w:tcPr>
          <w:p>
            <w:pPr>
              <w:spacing w:after="0"/>
              <w:rPr>
                <w:sz w:val="20"/>
                <w:szCs w:val="20"/>
                <w:color w:val="auto"/>
              </w:rPr>
            </w:pPr>
            <w:r>
              <w:rPr>
                <w:rFonts w:ascii="Arial" w:cs="Arial" w:eastAsia="Arial" w:hAnsi="Arial"/>
                <w:sz w:val="20"/>
                <w:szCs w:val="20"/>
                <w:color w:val="auto"/>
                <w:w w:val="92"/>
              </w:rPr>
              <w:t>Black Rock Quarry</w:t>
            </w:r>
          </w:p>
        </w:tc>
        <w:tc>
          <w:tcPr>
            <w:tcW w:w="920" w:type="dxa"/>
            <w:vAlign w:val="bottom"/>
          </w:tcPr>
          <w:p>
            <w:pPr>
              <w:jc w:val="right"/>
              <w:ind w:right="81"/>
              <w:spacing w:after="0"/>
              <w:rPr>
                <w:sz w:val="20"/>
                <w:szCs w:val="20"/>
                <w:color w:val="auto"/>
              </w:rPr>
            </w:pPr>
            <w:r>
              <w:rPr>
                <w:rFonts w:ascii="Arial" w:cs="Arial" w:eastAsia="Arial" w:hAnsi="Arial"/>
                <w:sz w:val="20"/>
                <w:szCs w:val="20"/>
                <w:color w:val="auto"/>
              </w:rPr>
              <w:t>300011</w:t>
            </w:r>
          </w:p>
        </w:tc>
        <w:tc>
          <w:tcPr>
            <w:tcW w:w="700" w:type="dxa"/>
            <w:vAlign w:val="bottom"/>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tcPr>
          <w:p>
            <w:pPr>
              <w:jc w:val="right"/>
              <w:ind w:right="281"/>
              <w:spacing w:after="0"/>
              <w:rPr>
                <w:sz w:val="20"/>
                <w:szCs w:val="20"/>
                <w:color w:val="auto"/>
              </w:rPr>
            </w:pPr>
            <w:r>
              <w:rPr>
                <w:rFonts w:ascii="Arial" w:cs="Arial" w:eastAsia="Arial" w:hAnsi="Arial"/>
                <w:sz w:val="20"/>
                <w:szCs w:val="20"/>
                <w:color w:val="auto"/>
              </w:rPr>
              <w:t>0</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42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60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480" w:type="dxa"/>
            <w:vAlign w:val="bottom"/>
          </w:tcPr>
          <w:p>
            <w:pPr>
              <w:jc w:val="right"/>
              <w:ind w:right="121"/>
              <w:spacing w:after="0"/>
              <w:rPr>
                <w:sz w:val="20"/>
                <w:szCs w:val="20"/>
                <w:color w:val="auto"/>
              </w:rPr>
            </w:pPr>
            <w:r>
              <w:rPr>
                <w:rFonts w:ascii="Arial" w:cs="Arial" w:eastAsia="Arial" w:hAnsi="Arial"/>
                <w:sz w:val="20"/>
                <w:szCs w:val="20"/>
                <w:color w:val="auto"/>
              </w:rPr>
              <w:t>0</w:t>
            </w:r>
          </w:p>
        </w:tc>
        <w:tc>
          <w:tcPr>
            <w:tcW w:w="720" w:type="dxa"/>
            <w:vAlign w:val="bottom"/>
          </w:tcPr>
          <w:p>
            <w:pPr>
              <w:ind w:left="24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6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480" w:type="dxa"/>
            <w:vAlign w:val="bottom"/>
          </w:tcPr>
          <w:p>
            <w:pPr>
              <w:jc w:val="right"/>
              <w:spacing w:after="0"/>
              <w:rPr>
                <w:sz w:val="20"/>
                <w:szCs w:val="20"/>
                <w:color w:val="auto"/>
              </w:rPr>
            </w:pPr>
            <w:r>
              <w:rPr>
                <w:rFonts w:ascii="Arial" w:cs="Arial" w:eastAsia="Arial" w:hAnsi="Arial"/>
                <w:sz w:val="20"/>
                <w:szCs w:val="20"/>
                <w:color w:val="auto"/>
              </w:rPr>
              <w:t>0</w:t>
            </w:r>
          </w:p>
        </w:tc>
        <w:tc>
          <w:tcPr>
            <w:tcW w:w="1000" w:type="dxa"/>
            <w:vAlign w:val="bottom"/>
          </w:tcPr>
          <w:p>
            <w:pPr>
              <w:jc w:val="center"/>
              <w:ind w:left="161"/>
              <w:spacing w:after="0"/>
              <w:rPr>
                <w:sz w:val="20"/>
                <w:szCs w:val="20"/>
                <w:color w:val="auto"/>
              </w:rPr>
            </w:pPr>
            <w:r>
              <w:rPr>
                <w:rFonts w:ascii="Arial" w:cs="Arial" w:eastAsia="Arial" w:hAnsi="Arial"/>
                <w:sz w:val="20"/>
                <w:szCs w:val="20"/>
                <w:color w:val="auto"/>
                <w:w w:val="89"/>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560" w:type="dxa"/>
            <w:vAlign w:val="bottom"/>
            <w:shd w:val="clear" w:color="auto" w:fill="CFF0FC"/>
          </w:tcPr>
          <w:p>
            <w:pPr>
              <w:spacing w:after="0"/>
              <w:rPr>
                <w:sz w:val="20"/>
                <w:szCs w:val="20"/>
                <w:color w:val="auto"/>
              </w:rPr>
            </w:pPr>
            <w:r>
              <w:rPr>
                <w:rFonts w:ascii="Arial" w:cs="Arial" w:eastAsia="Arial" w:hAnsi="Arial"/>
                <w:sz w:val="20"/>
                <w:szCs w:val="20"/>
                <w:color w:val="auto"/>
                <w:w w:val="94"/>
              </w:rPr>
              <w:t>Black Spur Quarry</w:t>
            </w:r>
          </w:p>
        </w:tc>
        <w:tc>
          <w:tcPr>
            <w:tcW w:w="92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w w:val="92"/>
              </w:rPr>
              <w:t>4104159</w:t>
            </w:r>
          </w:p>
        </w:tc>
        <w:tc>
          <w:tcPr>
            <w:tcW w:w="700" w:type="dxa"/>
            <w:vAlign w:val="bottom"/>
            <w:shd w:val="clear" w:color="auto" w:fill="CFF0FC"/>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shd w:val="clear" w:color="auto" w:fill="CFF0FC"/>
          </w:tcPr>
          <w:p>
            <w:pPr>
              <w:jc w:val="right"/>
              <w:ind w:right="28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60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6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1000" w:type="dxa"/>
            <w:vAlign w:val="bottom"/>
            <w:shd w:val="clear" w:color="auto" w:fill="CFF0FC"/>
          </w:tcPr>
          <w:p>
            <w:pPr>
              <w:jc w:val="center"/>
              <w:ind w:left="161"/>
              <w:spacing w:after="0"/>
              <w:rPr>
                <w:sz w:val="20"/>
                <w:szCs w:val="20"/>
                <w:color w:val="auto"/>
              </w:rPr>
            </w:pPr>
            <w:r>
              <w:rPr>
                <w:rFonts w:ascii="Arial" w:cs="Arial" w:eastAsia="Arial" w:hAnsi="Arial"/>
                <w:sz w:val="20"/>
                <w:szCs w:val="20"/>
                <w:color w:val="auto"/>
                <w:w w:val="89"/>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560" w:type="dxa"/>
            <w:vAlign w:val="bottom"/>
          </w:tcPr>
          <w:p>
            <w:pPr>
              <w:spacing w:after="0"/>
              <w:rPr>
                <w:sz w:val="20"/>
                <w:szCs w:val="20"/>
                <w:color w:val="auto"/>
              </w:rPr>
            </w:pPr>
            <w:r>
              <w:rPr>
                <w:rFonts w:ascii="Arial" w:cs="Arial" w:eastAsia="Arial" w:hAnsi="Arial"/>
                <w:sz w:val="20"/>
                <w:szCs w:val="20"/>
                <w:color w:val="auto"/>
              </w:rPr>
              <w:t>Blake Quarry</w:t>
            </w:r>
          </w:p>
        </w:tc>
        <w:tc>
          <w:tcPr>
            <w:tcW w:w="920" w:type="dxa"/>
            <w:vAlign w:val="bottom"/>
          </w:tcPr>
          <w:p>
            <w:pPr>
              <w:jc w:val="right"/>
              <w:ind w:right="81"/>
              <w:spacing w:after="0"/>
              <w:rPr>
                <w:sz w:val="20"/>
                <w:szCs w:val="20"/>
                <w:color w:val="auto"/>
              </w:rPr>
            </w:pPr>
            <w:r>
              <w:rPr>
                <w:rFonts w:ascii="Arial" w:cs="Arial" w:eastAsia="Arial" w:hAnsi="Arial"/>
                <w:sz w:val="20"/>
                <w:szCs w:val="20"/>
                <w:color w:val="auto"/>
                <w:w w:val="92"/>
              </w:rPr>
              <w:t>1401584</w:t>
            </w:r>
          </w:p>
        </w:tc>
        <w:tc>
          <w:tcPr>
            <w:tcW w:w="700" w:type="dxa"/>
            <w:vAlign w:val="bottom"/>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tcPr>
          <w:p>
            <w:pPr>
              <w:jc w:val="right"/>
              <w:ind w:right="281"/>
              <w:spacing w:after="0"/>
              <w:rPr>
                <w:sz w:val="20"/>
                <w:szCs w:val="20"/>
                <w:color w:val="auto"/>
              </w:rPr>
            </w:pPr>
            <w:r>
              <w:rPr>
                <w:rFonts w:ascii="Arial" w:cs="Arial" w:eastAsia="Arial" w:hAnsi="Arial"/>
                <w:sz w:val="20"/>
                <w:szCs w:val="20"/>
                <w:color w:val="auto"/>
              </w:rPr>
              <w:t>0</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42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60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480" w:type="dxa"/>
            <w:vAlign w:val="bottom"/>
          </w:tcPr>
          <w:p>
            <w:pPr>
              <w:jc w:val="right"/>
              <w:ind w:right="121"/>
              <w:spacing w:after="0"/>
              <w:rPr>
                <w:sz w:val="20"/>
                <w:szCs w:val="20"/>
                <w:color w:val="auto"/>
              </w:rPr>
            </w:pPr>
            <w:r>
              <w:rPr>
                <w:rFonts w:ascii="Arial" w:cs="Arial" w:eastAsia="Arial" w:hAnsi="Arial"/>
                <w:sz w:val="20"/>
                <w:szCs w:val="20"/>
                <w:color w:val="auto"/>
              </w:rPr>
              <w:t>0</w:t>
            </w:r>
          </w:p>
        </w:tc>
        <w:tc>
          <w:tcPr>
            <w:tcW w:w="720" w:type="dxa"/>
            <w:vAlign w:val="bottom"/>
          </w:tcPr>
          <w:p>
            <w:pPr>
              <w:ind w:left="24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6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480" w:type="dxa"/>
            <w:vAlign w:val="bottom"/>
          </w:tcPr>
          <w:p>
            <w:pPr>
              <w:jc w:val="right"/>
              <w:spacing w:after="0"/>
              <w:rPr>
                <w:sz w:val="20"/>
                <w:szCs w:val="20"/>
                <w:color w:val="auto"/>
              </w:rPr>
            </w:pPr>
            <w:r>
              <w:rPr>
                <w:rFonts w:ascii="Arial" w:cs="Arial" w:eastAsia="Arial" w:hAnsi="Arial"/>
                <w:sz w:val="20"/>
                <w:szCs w:val="20"/>
                <w:color w:val="auto"/>
              </w:rPr>
              <w:t>0</w:t>
            </w:r>
          </w:p>
        </w:tc>
        <w:tc>
          <w:tcPr>
            <w:tcW w:w="1000" w:type="dxa"/>
            <w:vAlign w:val="bottom"/>
          </w:tcPr>
          <w:p>
            <w:pPr>
              <w:jc w:val="center"/>
              <w:ind w:left="161"/>
              <w:spacing w:after="0"/>
              <w:rPr>
                <w:sz w:val="20"/>
                <w:szCs w:val="20"/>
                <w:color w:val="auto"/>
              </w:rPr>
            </w:pPr>
            <w:r>
              <w:rPr>
                <w:rFonts w:ascii="Arial" w:cs="Arial" w:eastAsia="Arial" w:hAnsi="Arial"/>
                <w:sz w:val="20"/>
                <w:szCs w:val="20"/>
                <w:color w:val="auto"/>
                <w:w w:val="89"/>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56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rPr>
              <w:t>Bridgeport Stone</w:t>
            </w:r>
          </w:p>
        </w:tc>
        <w:tc>
          <w:tcPr>
            <w:tcW w:w="9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560" w:type="dxa"/>
            <w:vAlign w:val="bottom"/>
            <w:shd w:val="clear" w:color="auto" w:fill="CFF0FC"/>
          </w:tcPr>
          <w:p>
            <w:pPr>
              <w:spacing w:after="0"/>
              <w:rPr>
                <w:sz w:val="20"/>
                <w:szCs w:val="20"/>
                <w:color w:val="auto"/>
              </w:rPr>
            </w:pPr>
            <w:r>
              <w:rPr>
                <w:rFonts w:ascii="Arial" w:cs="Arial" w:eastAsia="Arial" w:hAnsi="Arial"/>
                <w:sz w:val="20"/>
                <w:szCs w:val="20"/>
                <w:color w:val="auto"/>
              </w:rPr>
              <w:t>TXI</w:t>
            </w:r>
          </w:p>
        </w:tc>
        <w:tc>
          <w:tcPr>
            <w:tcW w:w="92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w w:val="92"/>
              </w:rPr>
              <w:t>4100007</w:t>
            </w:r>
          </w:p>
        </w:tc>
        <w:tc>
          <w:tcPr>
            <w:tcW w:w="700" w:type="dxa"/>
            <w:vAlign w:val="bottom"/>
            <w:shd w:val="clear" w:color="auto" w:fill="CFF0FC"/>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shd w:val="clear" w:color="auto" w:fill="CFF0FC"/>
          </w:tcPr>
          <w:p>
            <w:pPr>
              <w:jc w:val="right"/>
              <w:ind w:right="28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60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616</w:t>
            </w:r>
          </w:p>
        </w:tc>
        <w:tc>
          <w:tcPr>
            <w:tcW w:w="4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6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1000" w:type="dxa"/>
            <w:vAlign w:val="bottom"/>
            <w:shd w:val="clear" w:color="auto" w:fill="CFF0FC"/>
          </w:tcPr>
          <w:p>
            <w:pPr>
              <w:jc w:val="center"/>
              <w:ind w:left="161"/>
              <w:spacing w:after="0"/>
              <w:rPr>
                <w:sz w:val="20"/>
                <w:szCs w:val="20"/>
                <w:color w:val="auto"/>
              </w:rPr>
            </w:pPr>
            <w:r>
              <w:rPr>
                <w:rFonts w:ascii="Arial" w:cs="Arial" w:eastAsia="Arial" w:hAnsi="Arial"/>
                <w:sz w:val="20"/>
                <w:szCs w:val="20"/>
                <w:color w:val="auto"/>
                <w:w w:val="89"/>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560" w:type="dxa"/>
            <w:vAlign w:val="bottom"/>
          </w:tcPr>
          <w:p>
            <w:pPr>
              <w:spacing w:after="0" w:line="227" w:lineRule="exact"/>
              <w:rPr>
                <w:sz w:val="20"/>
                <w:szCs w:val="20"/>
                <w:color w:val="auto"/>
              </w:rPr>
            </w:pPr>
            <w:r>
              <w:rPr>
                <w:rFonts w:ascii="Arial" w:cs="Arial" w:eastAsia="Arial" w:hAnsi="Arial"/>
                <w:sz w:val="20"/>
                <w:szCs w:val="20"/>
                <w:color w:val="auto"/>
              </w:rPr>
              <w:t>Broken Bow</w:t>
            </w: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1580" w:type="dxa"/>
            <w:vAlign w:val="bottom"/>
            <w:gridSpan w:val="2"/>
          </w:tcPr>
          <w:p>
            <w:pPr>
              <w:spacing w:after="0"/>
              <w:rPr>
                <w:sz w:val="20"/>
                <w:szCs w:val="20"/>
                <w:color w:val="auto"/>
              </w:rPr>
            </w:pPr>
            <w:r>
              <w:rPr>
                <w:rFonts w:ascii="Arial" w:cs="Arial" w:eastAsia="Arial" w:hAnsi="Arial"/>
                <w:sz w:val="20"/>
                <w:szCs w:val="20"/>
                <w:color w:val="auto"/>
              </w:rPr>
              <w:t>SandG</w:t>
            </w:r>
          </w:p>
        </w:tc>
        <w:tc>
          <w:tcPr>
            <w:tcW w:w="920" w:type="dxa"/>
            <w:vAlign w:val="bottom"/>
          </w:tcPr>
          <w:p>
            <w:pPr>
              <w:jc w:val="right"/>
              <w:ind w:right="81"/>
              <w:spacing w:after="0"/>
              <w:rPr>
                <w:sz w:val="20"/>
                <w:szCs w:val="20"/>
                <w:color w:val="auto"/>
              </w:rPr>
            </w:pPr>
            <w:r>
              <w:rPr>
                <w:rFonts w:ascii="Arial" w:cs="Arial" w:eastAsia="Arial" w:hAnsi="Arial"/>
                <w:sz w:val="20"/>
                <w:szCs w:val="20"/>
                <w:color w:val="auto"/>
                <w:w w:val="92"/>
              </w:rPr>
              <w:t>3400460</w:t>
            </w:r>
          </w:p>
        </w:tc>
        <w:tc>
          <w:tcPr>
            <w:tcW w:w="700" w:type="dxa"/>
            <w:vAlign w:val="bottom"/>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tcPr>
          <w:p>
            <w:pPr>
              <w:jc w:val="right"/>
              <w:ind w:right="281"/>
              <w:spacing w:after="0"/>
              <w:rPr>
                <w:sz w:val="20"/>
                <w:szCs w:val="20"/>
                <w:color w:val="auto"/>
              </w:rPr>
            </w:pPr>
            <w:r>
              <w:rPr>
                <w:rFonts w:ascii="Arial" w:cs="Arial" w:eastAsia="Arial" w:hAnsi="Arial"/>
                <w:sz w:val="20"/>
                <w:szCs w:val="20"/>
                <w:color w:val="auto"/>
              </w:rPr>
              <w:t>0</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42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60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480" w:type="dxa"/>
            <w:vAlign w:val="bottom"/>
          </w:tcPr>
          <w:p>
            <w:pPr>
              <w:jc w:val="right"/>
              <w:ind w:right="121"/>
              <w:spacing w:after="0"/>
              <w:rPr>
                <w:sz w:val="20"/>
                <w:szCs w:val="20"/>
                <w:color w:val="auto"/>
              </w:rPr>
            </w:pPr>
            <w:r>
              <w:rPr>
                <w:rFonts w:ascii="Arial" w:cs="Arial" w:eastAsia="Arial" w:hAnsi="Arial"/>
                <w:sz w:val="20"/>
                <w:szCs w:val="20"/>
                <w:color w:val="auto"/>
              </w:rPr>
              <w:t>0</w:t>
            </w:r>
          </w:p>
        </w:tc>
        <w:tc>
          <w:tcPr>
            <w:tcW w:w="720" w:type="dxa"/>
            <w:vAlign w:val="bottom"/>
          </w:tcPr>
          <w:p>
            <w:pPr>
              <w:ind w:left="24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6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480" w:type="dxa"/>
            <w:vAlign w:val="bottom"/>
          </w:tcPr>
          <w:p>
            <w:pPr>
              <w:jc w:val="right"/>
              <w:spacing w:after="0"/>
              <w:rPr>
                <w:sz w:val="20"/>
                <w:szCs w:val="20"/>
                <w:color w:val="auto"/>
              </w:rPr>
            </w:pPr>
            <w:r>
              <w:rPr>
                <w:rFonts w:ascii="Arial" w:cs="Arial" w:eastAsia="Arial" w:hAnsi="Arial"/>
                <w:sz w:val="20"/>
                <w:szCs w:val="20"/>
                <w:color w:val="auto"/>
              </w:rPr>
              <w:t>0</w:t>
            </w:r>
          </w:p>
        </w:tc>
        <w:tc>
          <w:tcPr>
            <w:tcW w:w="1000" w:type="dxa"/>
            <w:vAlign w:val="bottom"/>
          </w:tcPr>
          <w:p>
            <w:pPr>
              <w:jc w:val="center"/>
              <w:ind w:left="161"/>
              <w:spacing w:after="0"/>
              <w:rPr>
                <w:sz w:val="20"/>
                <w:szCs w:val="20"/>
                <w:color w:val="auto"/>
              </w:rPr>
            </w:pPr>
            <w:r>
              <w:rPr>
                <w:rFonts w:ascii="Arial" w:cs="Arial" w:eastAsia="Arial" w:hAnsi="Arial"/>
                <w:sz w:val="20"/>
                <w:szCs w:val="20"/>
                <w:color w:val="auto"/>
                <w:w w:val="89"/>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560" w:type="dxa"/>
            <w:vAlign w:val="bottom"/>
            <w:shd w:val="clear" w:color="auto" w:fill="CFF0FC"/>
          </w:tcPr>
          <w:p>
            <w:pPr>
              <w:spacing w:after="0"/>
              <w:rPr>
                <w:sz w:val="20"/>
                <w:szCs w:val="20"/>
                <w:color w:val="auto"/>
              </w:rPr>
            </w:pPr>
            <w:r>
              <w:rPr>
                <w:rFonts w:ascii="Arial" w:cs="Arial" w:eastAsia="Arial" w:hAnsi="Arial"/>
                <w:sz w:val="20"/>
                <w:szCs w:val="20"/>
                <w:color w:val="auto"/>
              </w:rPr>
              <w:t>Chico</w:t>
            </w:r>
          </w:p>
        </w:tc>
        <w:tc>
          <w:tcPr>
            <w:tcW w:w="92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w w:val="92"/>
              </w:rPr>
              <w:t>4103360</w:t>
            </w:r>
          </w:p>
        </w:tc>
        <w:tc>
          <w:tcPr>
            <w:tcW w:w="700" w:type="dxa"/>
            <w:vAlign w:val="bottom"/>
            <w:shd w:val="clear" w:color="auto" w:fill="CFF0FC"/>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shd w:val="clear" w:color="auto" w:fill="CFF0FC"/>
          </w:tcPr>
          <w:p>
            <w:pPr>
              <w:jc w:val="right"/>
              <w:ind w:right="28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60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6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1000" w:type="dxa"/>
            <w:vAlign w:val="bottom"/>
            <w:shd w:val="clear" w:color="auto" w:fill="CFF0FC"/>
          </w:tcPr>
          <w:p>
            <w:pPr>
              <w:jc w:val="center"/>
              <w:ind w:left="161"/>
              <w:spacing w:after="0"/>
              <w:rPr>
                <w:sz w:val="20"/>
                <w:szCs w:val="20"/>
                <w:color w:val="auto"/>
              </w:rPr>
            </w:pPr>
            <w:r>
              <w:rPr>
                <w:rFonts w:ascii="Arial" w:cs="Arial" w:eastAsia="Arial" w:hAnsi="Arial"/>
                <w:sz w:val="20"/>
                <w:szCs w:val="20"/>
                <w:color w:val="auto"/>
                <w:w w:val="89"/>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560" w:type="dxa"/>
            <w:vAlign w:val="bottom"/>
          </w:tcPr>
          <w:p>
            <w:pPr>
              <w:spacing w:after="0"/>
              <w:rPr>
                <w:sz w:val="20"/>
                <w:szCs w:val="20"/>
                <w:color w:val="auto"/>
              </w:rPr>
            </w:pPr>
            <w:r>
              <w:rPr>
                <w:rFonts w:ascii="Arial" w:cs="Arial" w:eastAsia="Arial" w:hAnsi="Arial"/>
                <w:sz w:val="20"/>
                <w:szCs w:val="20"/>
                <w:color w:val="auto"/>
              </w:rPr>
              <w:t>Cobey</w:t>
            </w:r>
          </w:p>
        </w:tc>
        <w:tc>
          <w:tcPr>
            <w:tcW w:w="920" w:type="dxa"/>
            <w:vAlign w:val="bottom"/>
          </w:tcPr>
          <w:p>
            <w:pPr>
              <w:jc w:val="right"/>
              <w:ind w:right="81"/>
              <w:spacing w:after="0"/>
              <w:rPr>
                <w:sz w:val="20"/>
                <w:szCs w:val="20"/>
                <w:color w:val="auto"/>
              </w:rPr>
            </w:pPr>
            <w:r>
              <w:rPr>
                <w:rFonts w:ascii="Arial" w:cs="Arial" w:eastAsia="Arial" w:hAnsi="Arial"/>
                <w:sz w:val="20"/>
                <w:szCs w:val="20"/>
                <w:color w:val="auto"/>
                <w:w w:val="92"/>
              </w:rPr>
              <w:t>4104140</w:t>
            </w:r>
          </w:p>
        </w:tc>
        <w:tc>
          <w:tcPr>
            <w:tcW w:w="700" w:type="dxa"/>
            <w:vAlign w:val="bottom"/>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tcPr>
          <w:p>
            <w:pPr>
              <w:jc w:val="right"/>
              <w:ind w:right="281"/>
              <w:spacing w:after="0"/>
              <w:rPr>
                <w:sz w:val="20"/>
                <w:szCs w:val="20"/>
                <w:color w:val="auto"/>
              </w:rPr>
            </w:pPr>
            <w:r>
              <w:rPr>
                <w:rFonts w:ascii="Arial" w:cs="Arial" w:eastAsia="Arial" w:hAnsi="Arial"/>
                <w:sz w:val="20"/>
                <w:szCs w:val="20"/>
                <w:color w:val="auto"/>
              </w:rPr>
              <w:t>0</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42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60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480" w:type="dxa"/>
            <w:vAlign w:val="bottom"/>
          </w:tcPr>
          <w:p>
            <w:pPr>
              <w:jc w:val="right"/>
              <w:ind w:right="121"/>
              <w:spacing w:after="0"/>
              <w:rPr>
                <w:sz w:val="20"/>
                <w:szCs w:val="20"/>
                <w:color w:val="auto"/>
              </w:rPr>
            </w:pPr>
            <w:r>
              <w:rPr>
                <w:rFonts w:ascii="Arial" w:cs="Arial" w:eastAsia="Arial" w:hAnsi="Arial"/>
                <w:sz w:val="20"/>
                <w:szCs w:val="20"/>
                <w:color w:val="auto"/>
              </w:rPr>
              <w:t>0</w:t>
            </w:r>
          </w:p>
        </w:tc>
        <w:tc>
          <w:tcPr>
            <w:tcW w:w="720" w:type="dxa"/>
            <w:vAlign w:val="bottom"/>
          </w:tcPr>
          <w:p>
            <w:pPr>
              <w:ind w:left="24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6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480" w:type="dxa"/>
            <w:vAlign w:val="bottom"/>
          </w:tcPr>
          <w:p>
            <w:pPr>
              <w:jc w:val="right"/>
              <w:spacing w:after="0"/>
              <w:rPr>
                <w:sz w:val="20"/>
                <w:szCs w:val="20"/>
                <w:color w:val="auto"/>
              </w:rPr>
            </w:pPr>
            <w:r>
              <w:rPr>
                <w:rFonts w:ascii="Arial" w:cs="Arial" w:eastAsia="Arial" w:hAnsi="Arial"/>
                <w:sz w:val="20"/>
                <w:szCs w:val="20"/>
                <w:color w:val="auto"/>
              </w:rPr>
              <w:t>0</w:t>
            </w:r>
          </w:p>
        </w:tc>
        <w:tc>
          <w:tcPr>
            <w:tcW w:w="1000" w:type="dxa"/>
            <w:vAlign w:val="bottom"/>
          </w:tcPr>
          <w:p>
            <w:pPr>
              <w:jc w:val="center"/>
              <w:ind w:left="161"/>
              <w:spacing w:after="0"/>
              <w:rPr>
                <w:sz w:val="20"/>
                <w:szCs w:val="20"/>
                <w:color w:val="auto"/>
              </w:rPr>
            </w:pPr>
            <w:r>
              <w:rPr>
                <w:rFonts w:ascii="Arial" w:cs="Arial" w:eastAsia="Arial" w:hAnsi="Arial"/>
                <w:sz w:val="20"/>
                <w:szCs w:val="20"/>
                <w:color w:val="auto"/>
                <w:w w:val="89"/>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560" w:type="dxa"/>
            <w:vAlign w:val="bottom"/>
            <w:shd w:val="clear" w:color="auto" w:fill="CFF0FC"/>
          </w:tcPr>
          <w:p>
            <w:pPr>
              <w:spacing w:after="0"/>
              <w:rPr>
                <w:sz w:val="20"/>
                <w:szCs w:val="20"/>
                <w:color w:val="auto"/>
              </w:rPr>
            </w:pPr>
            <w:r>
              <w:rPr>
                <w:rFonts w:ascii="Arial" w:cs="Arial" w:eastAsia="Arial" w:hAnsi="Arial"/>
                <w:sz w:val="20"/>
                <w:szCs w:val="20"/>
                <w:color w:val="auto"/>
              </w:rPr>
              <w:t>Davis</w:t>
            </w:r>
          </w:p>
        </w:tc>
        <w:tc>
          <w:tcPr>
            <w:tcW w:w="92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w w:val="92"/>
              </w:rPr>
              <w:t>3401299</w:t>
            </w:r>
          </w:p>
        </w:tc>
        <w:tc>
          <w:tcPr>
            <w:tcW w:w="700" w:type="dxa"/>
            <w:vAlign w:val="bottom"/>
            <w:shd w:val="clear" w:color="auto" w:fill="CFF0FC"/>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shd w:val="clear" w:color="auto" w:fill="CFF0FC"/>
          </w:tcPr>
          <w:p>
            <w:pPr>
              <w:jc w:val="right"/>
              <w:ind w:right="28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60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6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2</w:t>
            </w:r>
          </w:p>
        </w:tc>
        <w:tc>
          <w:tcPr>
            <w:tcW w:w="4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w:t>
            </w:r>
          </w:p>
        </w:tc>
        <w:tc>
          <w:tcPr>
            <w:tcW w:w="1000" w:type="dxa"/>
            <w:vAlign w:val="bottom"/>
            <w:shd w:val="clear" w:color="auto" w:fill="CFF0FC"/>
          </w:tcPr>
          <w:p>
            <w:pPr>
              <w:jc w:val="center"/>
              <w:ind w:left="161"/>
              <w:spacing w:after="0"/>
              <w:rPr>
                <w:sz w:val="20"/>
                <w:szCs w:val="20"/>
                <w:color w:val="auto"/>
              </w:rPr>
            </w:pPr>
            <w:r>
              <w:rPr>
                <w:rFonts w:ascii="Arial" w:cs="Arial" w:eastAsia="Arial" w:hAnsi="Arial"/>
                <w:sz w:val="20"/>
                <w:szCs w:val="20"/>
                <w:color w:val="auto"/>
                <w:w w:val="89"/>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560" w:type="dxa"/>
            <w:vAlign w:val="bottom"/>
          </w:tcPr>
          <w:p>
            <w:pPr>
              <w:spacing w:after="0"/>
              <w:rPr>
                <w:sz w:val="20"/>
                <w:szCs w:val="20"/>
                <w:color w:val="auto"/>
              </w:rPr>
            </w:pPr>
            <w:r>
              <w:rPr>
                <w:rFonts w:ascii="Arial" w:cs="Arial" w:eastAsia="Arial" w:hAnsi="Arial"/>
                <w:sz w:val="20"/>
                <w:szCs w:val="20"/>
                <w:color w:val="auto"/>
              </w:rPr>
              <w:t>Garfield SG TXI</w:t>
            </w:r>
          </w:p>
        </w:tc>
        <w:tc>
          <w:tcPr>
            <w:tcW w:w="920" w:type="dxa"/>
            <w:vAlign w:val="bottom"/>
          </w:tcPr>
          <w:p>
            <w:pPr>
              <w:jc w:val="right"/>
              <w:ind w:right="81"/>
              <w:spacing w:after="0"/>
              <w:rPr>
                <w:sz w:val="20"/>
                <w:szCs w:val="20"/>
                <w:color w:val="auto"/>
              </w:rPr>
            </w:pPr>
            <w:r>
              <w:rPr>
                <w:rFonts w:ascii="Arial" w:cs="Arial" w:eastAsia="Arial" w:hAnsi="Arial"/>
                <w:sz w:val="20"/>
                <w:szCs w:val="20"/>
                <w:color w:val="auto"/>
                <w:w w:val="92"/>
              </w:rPr>
              <w:t>4103909</w:t>
            </w:r>
          </w:p>
        </w:tc>
        <w:tc>
          <w:tcPr>
            <w:tcW w:w="700" w:type="dxa"/>
            <w:vAlign w:val="bottom"/>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tcPr>
          <w:p>
            <w:pPr>
              <w:jc w:val="right"/>
              <w:ind w:right="281"/>
              <w:spacing w:after="0"/>
              <w:rPr>
                <w:sz w:val="20"/>
                <w:szCs w:val="20"/>
                <w:color w:val="auto"/>
              </w:rPr>
            </w:pPr>
            <w:r>
              <w:rPr>
                <w:rFonts w:ascii="Arial" w:cs="Arial" w:eastAsia="Arial" w:hAnsi="Arial"/>
                <w:sz w:val="20"/>
                <w:szCs w:val="20"/>
                <w:color w:val="auto"/>
              </w:rPr>
              <w:t>0</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42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60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480" w:type="dxa"/>
            <w:vAlign w:val="bottom"/>
          </w:tcPr>
          <w:p>
            <w:pPr>
              <w:jc w:val="right"/>
              <w:ind w:right="121"/>
              <w:spacing w:after="0"/>
              <w:rPr>
                <w:sz w:val="20"/>
                <w:szCs w:val="20"/>
                <w:color w:val="auto"/>
              </w:rPr>
            </w:pPr>
            <w:r>
              <w:rPr>
                <w:rFonts w:ascii="Arial" w:cs="Arial" w:eastAsia="Arial" w:hAnsi="Arial"/>
                <w:sz w:val="20"/>
                <w:szCs w:val="20"/>
                <w:color w:val="auto"/>
              </w:rPr>
              <w:t>0</w:t>
            </w:r>
          </w:p>
        </w:tc>
        <w:tc>
          <w:tcPr>
            <w:tcW w:w="720" w:type="dxa"/>
            <w:vAlign w:val="bottom"/>
          </w:tcPr>
          <w:p>
            <w:pPr>
              <w:ind w:left="24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6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480" w:type="dxa"/>
            <w:vAlign w:val="bottom"/>
          </w:tcPr>
          <w:p>
            <w:pPr>
              <w:jc w:val="right"/>
              <w:spacing w:after="0"/>
              <w:rPr>
                <w:sz w:val="20"/>
                <w:szCs w:val="20"/>
                <w:color w:val="auto"/>
              </w:rPr>
            </w:pPr>
            <w:r>
              <w:rPr>
                <w:rFonts w:ascii="Arial" w:cs="Arial" w:eastAsia="Arial" w:hAnsi="Arial"/>
                <w:sz w:val="20"/>
                <w:szCs w:val="20"/>
                <w:color w:val="auto"/>
              </w:rPr>
              <w:t>0</w:t>
            </w:r>
          </w:p>
        </w:tc>
        <w:tc>
          <w:tcPr>
            <w:tcW w:w="1000" w:type="dxa"/>
            <w:vAlign w:val="bottom"/>
          </w:tcPr>
          <w:p>
            <w:pPr>
              <w:jc w:val="center"/>
              <w:ind w:left="161"/>
              <w:spacing w:after="0"/>
              <w:rPr>
                <w:sz w:val="20"/>
                <w:szCs w:val="20"/>
                <w:color w:val="auto"/>
              </w:rPr>
            </w:pPr>
            <w:r>
              <w:rPr>
                <w:rFonts w:ascii="Arial" w:cs="Arial" w:eastAsia="Arial" w:hAnsi="Arial"/>
                <w:sz w:val="20"/>
                <w:szCs w:val="20"/>
                <w:color w:val="auto"/>
                <w:w w:val="89"/>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560" w:type="dxa"/>
            <w:vAlign w:val="bottom"/>
            <w:shd w:val="clear" w:color="auto" w:fill="CFF0FC"/>
          </w:tcPr>
          <w:p>
            <w:pPr>
              <w:spacing w:after="0"/>
              <w:rPr>
                <w:sz w:val="20"/>
                <w:szCs w:val="20"/>
                <w:color w:val="auto"/>
              </w:rPr>
            </w:pPr>
            <w:r>
              <w:rPr>
                <w:rFonts w:ascii="Arial" w:cs="Arial" w:eastAsia="Arial" w:hAnsi="Arial"/>
                <w:sz w:val="20"/>
                <w:szCs w:val="20"/>
                <w:color w:val="auto"/>
              </w:rPr>
              <w:t>Garwood</w:t>
            </w:r>
          </w:p>
        </w:tc>
        <w:tc>
          <w:tcPr>
            <w:tcW w:w="92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w w:val="92"/>
              </w:rPr>
              <w:t>4102886</w:t>
            </w:r>
          </w:p>
        </w:tc>
        <w:tc>
          <w:tcPr>
            <w:tcW w:w="700" w:type="dxa"/>
            <w:vAlign w:val="bottom"/>
            <w:shd w:val="clear" w:color="auto" w:fill="CFF0FC"/>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shd w:val="clear" w:color="auto" w:fill="CFF0FC"/>
          </w:tcPr>
          <w:p>
            <w:pPr>
              <w:jc w:val="right"/>
              <w:ind w:right="28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60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6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1000" w:type="dxa"/>
            <w:vAlign w:val="bottom"/>
            <w:shd w:val="clear" w:color="auto" w:fill="CFF0FC"/>
          </w:tcPr>
          <w:p>
            <w:pPr>
              <w:jc w:val="center"/>
              <w:ind w:left="161"/>
              <w:spacing w:after="0"/>
              <w:rPr>
                <w:sz w:val="20"/>
                <w:szCs w:val="20"/>
                <w:color w:val="auto"/>
              </w:rPr>
            </w:pPr>
            <w:r>
              <w:rPr>
                <w:rFonts w:ascii="Arial" w:cs="Arial" w:eastAsia="Arial" w:hAnsi="Arial"/>
                <w:sz w:val="20"/>
                <w:szCs w:val="20"/>
                <w:color w:val="auto"/>
                <w:w w:val="89"/>
              </w:rPr>
              <w:t>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560" w:type="dxa"/>
            <w:vAlign w:val="bottom"/>
          </w:tcPr>
          <w:p>
            <w:pPr>
              <w:spacing w:after="0"/>
              <w:rPr>
                <w:sz w:val="20"/>
                <w:szCs w:val="20"/>
                <w:color w:val="auto"/>
              </w:rPr>
            </w:pPr>
            <w:r>
              <w:rPr>
                <w:rFonts w:ascii="Arial" w:cs="Arial" w:eastAsia="Arial" w:hAnsi="Arial"/>
                <w:sz w:val="20"/>
                <w:szCs w:val="20"/>
                <w:color w:val="auto"/>
              </w:rPr>
              <w:t>GMS - TXI</w:t>
            </w:r>
          </w:p>
        </w:tc>
        <w:tc>
          <w:tcPr>
            <w:tcW w:w="920" w:type="dxa"/>
            <w:vAlign w:val="bottom"/>
          </w:tcPr>
          <w:p>
            <w:pPr>
              <w:jc w:val="right"/>
              <w:ind w:right="81"/>
              <w:spacing w:after="0"/>
              <w:rPr>
                <w:sz w:val="20"/>
                <w:szCs w:val="20"/>
                <w:color w:val="auto"/>
              </w:rPr>
            </w:pPr>
            <w:r>
              <w:rPr>
                <w:rFonts w:ascii="Arial" w:cs="Arial" w:eastAsia="Arial" w:hAnsi="Arial"/>
                <w:sz w:val="20"/>
                <w:szCs w:val="20"/>
                <w:color w:val="auto"/>
              </w:rPr>
              <w:t>C335</w:t>
            </w:r>
          </w:p>
        </w:tc>
        <w:tc>
          <w:tcPr>
            <w:tcW w:w="700" w:type="dxa"/>
            <w:vAlign w:val="bottom"/>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tcPr>
          <w:p>
            <w:pPr>
              <w:jc w:val="right"/>
              <w:ind w:right="281"/>
              <w:spacing w:after="0"/>
              <w:rPr>
                <w:sz w:val="20"/>
                <w:szCs w:val="20"/>
                <w:color w:val="auto"/>
              </w:rPr>
            </w:pPr>
            <w:r>
              <w:rPr>
                <w:rFonts w:ascii="Arial" w:cs="Arial" w:eastAsia="Arial" w:hAnsi="Arial"/>
                <w:sz w:val="20"/>
                <w:szCs w:val="20"/>
                <w:color w:val="auto"/>
              </w:rPr>
              <w:t>0</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42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60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480" w:type="dxa"/>
            <w:vAlign w:val="bottom"/>
          </w:tcPr>
          <w:p>
            <w:pPr>
              <w:jc w:val="right"/>
              <w:ind w:right="121"/>
              <w:spacing w:after="0"/>
              <w:rPr>
                <w:sz w:val="20"/>
                <w:szCs w:val="20"/>
                <w:color w:val="auto"/>
              </w:rPr>
            </w:pPr>
            <w:r>
              <w:rPr>
                <w:rFonts w:ascii="Arial" w:cs="Arial" w:eastAsia="Arial" w:hAnsi="Arial"/>
                <w:sz w:val="20"/>
                <w:szCs w:val="20"/>
                <w:color w:val="auto"/>
              </w:rPr>
              <w:t>0</w:t>
            </w:r>
          </w:p>
        </w:tc>
        <w:tc>
          <w:tcPr>
            <w:tcW w:w="720" w:type="dxa"/>
            <w:vAlign w:val="bottom"/>
          </w:tcPr>
          <w:p>
            <w:pPr>
              <w:ind w:left="24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6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480" w:type="dxa"/>
            <w:vAlign w:val="bottom"/>
          </w:tcPr>
          <w:p>
            <w:pPr>
              <w:jc w:val="right"/>
              <w:spacing w:after="0"/>
              <w:rPr>
                <w:sz w:val="20"/>
                <w:szCs w:val="20"/>
                <w:color w:val="auto"/>
              </w:rPr>
            </w:pPr>
            <w:r>
              <w:rPr>
                <w:rFonts w:ascii="Arial" w:cs="Arial" w:eastAsia="Arial" w:hAnsi="Arial"/>
                <w:sz w:val="20"/>
                <w:szCs w:val="20"/>
                <w:color w:val="auto"/>
              </w:rPr>
              <w:t>0</w:t>
            </w:r>
          </w:p>
        </w:tc>
        <w:tc>
          <w:tcPr>
            <w:tcW w:w="1000" w:type="dxa"/>
            <w:vAlign w:val="bottom"/>
          </w:tcPr>
          <w:p>
            <w:pPr>
              <w:jc w:val="center"/>
              <w:ind w:left="161"/>
              <w:spacing w:after="0"/>
              <w:rPr>
                <w:sz w:val="20"/>
                <w:szCs w:val="20"/>
                <w:color w:val="auto"/>
              </w:rPr>
            </w:pPr>
            <w:r>
              <w:rPr>
                <w:rFonts w:ascii="Arial" w:cs="Arial" w:eastAsia="Arial" w:hAnsi="Arial"/>
                <w:sz w:val="20"/>
                <w:szCs w:val="20"/>
                <w:color w:val="auto"/>
                <w:w w:val="89"/>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560" w:type="dxa"/>
            <w:vAlign w:val="bottom"/>
            <w:shd w:val="clear" w:color="auto" w:fill="CFF0FC"/>
          </w:tcPr>
          <w:p>
            <w:pPr>
              <w:spacing w:after="0"/>
              <w:rPr>
                <w:sz w:val="20"/>
                <w:szCs w:val="20"/>
                <w:color w:val="auto"/>
              </w:rPr>
            </w:pPr>
            <w:r>
              <w:rPr>
                <w:rFonts w:ascii="Arial" w:cs="Arial" w:eastAsia="Arial" w:hAnsi="Arial"/>
                <w:sz w:val="20"/>
                <w:szCs w:val="20"/>
                <w:color w:val="auto"/>
              </w:rPr>
              <w:t>Hatton Quarry</w:t>
            </w:r>
          </w:p>
        </w:tc>
        <w:tc>
          <w:tcPr>
            <w:tcW w:w="92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301614</w:t>
            </w:r>
          </w:p>
        </w:tc>
        <w:tc>
          <w:tcPr>
            <w:tcW w:w="700" w:type="dxa"/>
            <w:vAlign w:val="bottom"/>
            <w:shd w:val="clear" w:color="auto" w:fill="CFF0FC"/>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shd w:val="clear" w:color="auto" w:fill="CFF0FC"/>
          </w:tcPr>
          <w:p>
            <w:pPr>
              <w:jc w:val="right"/>
              <w:ind w:right="28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60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6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1000" w:type="dxa"/>
            <w:vAlign w:val="bottom"/>
            <w:shd w:val="clear" w:color="auto" w:fill="CFF0FC"/>
          </w:tcPr>
          <w:p>
            <w:pPr>
              <w:jc w:val="center"/>
              <w:ind w:left="161"/>
              <w:spacing w:after="0"/>
              <w:rPr>
                <w:sz w:val="20"/>
                <w:szCs w:val="20"/>
                <w:color w:val="auto"/>
              </w:rPr>
            </w:pPr>
            <w:r>
              <w:rPr>
                <w:rFonts w:ascii="Arial" w:cs="Arial" w:eastAsia="Arial" w:hAnsi="Arial"/>
                <w:sz w:val="20"/>
                <w:szCs w:val="20"/>
                <w:color w:val="auto"/>
                <w:w w:val="89"/>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560" w:type="dxa"/>
            <w:vAlign w:val="bottom"/>
          </w:tcPr>
          <w:p>
            <w:pPr>
              <w:spacing w:after="0"/>
              <w:rPr>
                <w:sz w:val="20"/>
                <w:szCs w:val="20"/>
                <w:color w:val="auto"/>
              </w:rPr>
            </w:pPr>
            <w:r>
              <w:rPr>
                <w:rFonts w:ascii="Arial" w:cs="Arial" w:eastAsia="Arial" w:hAnsi="Arial"/>
                <w:sz w:val="20"/>
                <w:szCs w:val="20"/>
                <w:color w:val="auto"/>
              </w:rPr>
              <w:t>Helotes</w:t>
            </w:r>
          </w:p>
        </w:tc>
        <w:tc>
          <w:tcPr>
            <w:tcW w:w="920" w:type="dxa"/>
            <w:vAlign w:val="bottom"/>
          </w:tcPr>
          <w:p>
            <w:pPr>
              <w:jc w:val="right"/>
              <w:ind w:right="81"/>
              <w:spacing w:after="0"/>
              <w:rPr>
                <w:sz w:val="20"/>
                <w:szCs w:val="20"/>
                <w:color w:val="auto"/>
              </w:rPr>
            </w:pPr>
            <w:r>
              <w:rPr>
                <w:rFonts w:ascii="Arial" w:cs="Arial" w:eastAsia="Arial" w:hAnsi="Arial"/>
                <w:sz w:val="20"/>
                <w:szCs w:val="20"/>
                <w:color w:val="auto"/>
                <w:w w:val="92"/>
              </w:rPr>
              <w:t>4103137</w:t>
            </w:r>
          </w:p>
        </w:tc>
        <w:tc>
          <w:tcPr>
            <w:tcW w:w="700" w:type="dxa"/>
            <w:vAlign w:val="bottom"/>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tcPr>
          <w:p>
            <w:pPr>
              <w:jc w:val="right"/>
              <w:ind w:right="281"/>
              <w:spacing w:after="0"/>
              <w:rPr>
                <w:sz w:val="20"/>
                <w:szCs w:val="20"/>
                <w:color w:val="auto"/>
              </w:rPr>
            </w:pPr>
            <w:r>
              <w:rPr>
                <w:rFonts w:ascii="Arial" w:cs="Arial" w:eastAsia="Arial" w:hAnsi="Arial"/>
                <w:sz w:val="20"/>
                <w:szCs w:val="20"/>
                <w:color w:val="auto"/>
              </w:rPr>
              <w:t>0</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42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60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480" w:type="dxa"/>
            <w:vAlign w:val="bottom"/>
          </w:tcPr>
          <w:p>
            <w:pPr>
              <w:jc w:val="right"/>
              <w:ind w:right="121"/>
              <w:spacing w:after="0"/>
              <w:rPr>
                <w:sz w:val="20"/>
                <w:szCs w:val="20"/>
                <w:color w:val="auto"/>
              </w:rPr>
            </w:pPr>
            <w:r>
              <w:rPr>
                <w:rFonts w:ascii="Arial" w:cs="Arial" w:eastAsia="Arial" w:hAnsi="Arial"/>
                <w:sz w:val="20"/>
                <w:szCs w:val="20"/>
                <w:color w:val="auto"/>
              </w:rPr>
              <w:t>0</w:t>
            </w:r>
          </w:p>
        </w:tc>
        <w:tc>
          <w:tcPr>
            <w:tcW w:w="720" w:type="dxa"/>
            <w:vAlign w:val="bottom"/>
          </w:tcPr>
          <w:p>
            <w:pPr>
              <w:ind w:left="24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6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480" w:type="dxa"/>
            <w:vAlign w:val="bottom"/>
          </w:tcPr>
          <w:p>
            <w:pPr>
              <w:jc w:val="right"/>
              <w:spacing w:after="0"/>
              <w:rPr>
                <w:sz w:val="20"/>
                <w:szCs w:val="20"/>
                <w:color w:val="auto"/>
              </w:rPr>
            </w:pPr>
            <w:r>
              <w:rPr>
                <w:rFonts w:ascii="Arial" w:cs="Arial" w:eastAsia="Arial" w:hAnsi="Arial"/>
                <w:sz w:val="20"/>
                <w:szCs w:val="20"/>
                <w:color w:val="auto"/>
              </w:rPr>
              <w:t>0</w:t>
            </w:r>
          </w:p>
        </w:tc>
        <w:tc>
          <w:tcPr>
            <w:tcW w:w="1000" w:type="dxa"/>
            <w:vAlign w:val="bottom"/>
          </w:tcPr>
          <w:p>
            <w:pPr>
              <w:jc w:val="center"/>
              <w:ind w:left="161"/>
              <w:spacing w:after="0"/>
              <w:rPr>
                <w:sz w:val="20"/>
                <w:szCs w:val="20"/>
                <w:color w:val="auto"/>
              </w:rPr>
            </w:pPr>
            <w:r>
              <w:rPr>
                <w:rFonts w:ascii="Arial" w:cs="Arial" w:eastAsia="Arial" w:hAnsi="Arial"/>
                <w:sz w:val="20"/>
                <w:szCs w:val="20"/>
                <w:color w:val="auto"/>
                <w:w w:val="89"/>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560" w:type="dxa"/>
            <w:vAlign w:val="bottom"/>
            <w:shd w:val="clear" w:color="auto" w:fill="CFF0FC"/>
          </w:tcPr>
          <w:p>
            <w:pPr>
              <w:spacing w:after="0"/>
              <w:rPr>
                <w:sz w:val="20"/>
                <w:szCs w:val="20"/>
                <w:color w:val="auto"/>
              </w:rPr>
            </w:pPr>
            <w:r>
              <w:rPr>
                <w:rFonts w:ascii="Arial" w:cs="Arial" w:eastAsia="Arial" w:hAnsi="Arial"/>
                <w:sz w:val="20"/>
                <w:szCs w:val="20"/>
                <w:color w:val="auto"/>
              </w:rPr>
              <w:t>Hondo</w:t>
            </w:r>
          </w:p>
        </w:tc>
        <w:tc>
          <w:tcPr>
            <w:tcW w:w="92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w w:val="92"/>
              </w:rPr>
              <w:t>4104708</w:t>
            </w:r>
          </w:p>
        </w:tc>
        <w:tc>
          <w:tcPr>
            <w:tcW w:w="700" w:type="dxa"/>
            <w:vAlign w:val="bottom"/>
            <w:shd w:val="clear" w:color="auto" w:fill="CFF0FC"/>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shd w:val="clear" w:color="auto" w:fill="CFF0FC"/>
          </w:tcPr>
          <w:p>
            <w:pPr>
              <w:jc w:val="right"/>
              <w:ind w:right="28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60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6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1000" w:type="dxa"/>
            <w:vAlign w:val="bottom"/>
            <w:shd w:val="clear" w:color="auto" w:fill="CFF0FC"/>
          </w:tcPr>
          <w:p>
            <w:pPr>
              <w:jc w:val="center"/>
              <w:ind w:left="161"/>
              <w:spacing w:after="0"/>
              <w:rPr>
                <w:sz w:val="20"/>
                <w:szCs w:val="20"/>
                <w:color w:val="auto"/>
              </w:rPr>
            </w:pPr>
            <w:r>
              <w:rPr>
                <w:rFonts w:ascii="Arial" w:cs="Arial" w:eastAsia="Arial" w:hAnsi="Arial"/>
                <w:sz w:val="20"/>
                <w:szCs w:val="20"/>
                <w:color w:val="auto"/>
                <w:w w:val="89"/>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560" w:type="dxa"/>
            <w:vAlign w:val="bottom"/>
          </w:tcPr>
          <w:p>
            <w:pPr>
              <w:spacing w:after="0"/>
              <w:rPr>
                <w:sz w:val="20"/>
                <w:szCs w:val="20"/>
                <w:color w:val="auto"/>
              </w:rPr>
            </w:pPr>
            <w:r>
              <w:rPr>
                <w:rFonts w:ascii="Arial" w:cs="Arial" w:eastAsia="Arial" w:hAnsi="Arial"/>
                <w:sz w:val="20"/>
                <w:szCs w:val="20"/>
                <w:color w:val="auto"/>
              </w:rPr>
              <w:t>Hondo-1</w:t>
            </w:r>
          </w:p>
        </w:tc>
        <w:tc>
          <w:tcPr>
            <w:tcW w:w="920" w:type="dxa"/>
            <w:vAlign w:val="bottom"/>
          </w:tcPr>
          <w:p>
            <w:pPr>
              <w:jc w:val="right"/>
              <w:ind w:right="81"/>
              <w:spacing w:after="0"/>
              <w:rPr>
                <w:sz w:val="20"/>
                <w:szCs w:val="20"/>
                <w:color w:val="auto"/>
              </w:rPr>
            </w:pPr>
            <w:r>
              <w:rPr>
                <w:rFonts w:ascii="Arial" w:cs="Arial" w:eastAsia="Arial" w:hAnsi="Arial"/>
                <w:sz w:val="20"/>
                <w:szCs w:val="20"/>
                <w:color w:val="auto"/>
                <w:w w:val="92"/>
              </w:rPr>
              <w:t>4104090</w:t>
            </w:r>
          </w:p>
        </w:tc>
        <w:tc>
          <w:tcPr>
            <w:tcW w:w="700" w:type="dxa"/>
            <w:vAlign w:val="bottom"/>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tcPr>
          <w:p>
            <w:pPr>
              <w:jc w:val="right"/>
              <w:ind w:right="281"/>
              <w:spacing w:after="0"/>
              <w:rPr>
                <w:sz w:val="20"/>
                <w:szCs w:val="20"/>
                <w:color w:val="auto"/>
              </w:rPr>
            </w:pPr>
            <w:r>
              <w:rPr>
                <w:rFonts w:ascii="Arial" w:cs="Arial" w:eastAsia="Arial" w:hAnsi="Arial"/>
                <w:sz w:val="20"/>
                <w:szCs w:val="20"/>
                <w:color w:val="auto"/>
              </w:rPr>
              <w:t>0</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42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60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480" w:type="dxa"/>
            <w:vAlign w:val="bottom"/>
          </w:tcPr>
          <w:p>
            <w:pPr>
              <w:jc w:val="right"/>
              <w:ind w:right="121"/>
              <w:spacing w:after="0"/>
              <w:rPr>
                <w:sz w:val="20"/>
                <w:szCs w:val="20"/>
                <w:color w:val="auto"/>
              </w:rPr>
            </w:pPr>
            <w:r>
              <w:rPr>
                <w:rFonts w:ascii="Arial" w:cs="Arial" w:eastAsia="Arial" w:hAnsi="Arial"/>
                <w:sz w:val="20"/>
                <w:szCs w:val="20"/>
                <w:color w:val="auto"/>
              </w:rPr>
              <w:t>0</w:t>
            </w:r>
          </w:p>
        </w:tc>
        <w:tc>
          <w:tcPr>
            <w:tcW w:w="720" w:type="dxa"/>
            <w:vAlign w:val="bottom"/>
          </w:tcPr>
          <w:p>
            <w:pPr>
              <w:ind w:left="24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6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480" w:type="dxa"/>
            <w:vAlign w:val="bottom"/>
          </w:tcPr>
          <w:p>
            <w:pPr>
              <w:jc w:val="right"/>
              <w:spacing w:after="0"/>
              <w:rPr>
                <w:sz w:val="20"/>
                <w:szCs w:val="20"/>
                <w:color w:val="auto"/>
              </w:rPr>
            </w:pPr>
            <w:r>
              <w:rPr>
                <w:rFonts w:ascii="Arial" w:cs="Arial" w:eastAsia="Arial" w:hAnsi="Arial"/>
                <w:sz w:val="20"/>
                <w:szCs w:val="20"/>
                <w:color w:val="auto"/>
              </w:rPr>
              <w:t>0</w:t>
            </w:r>
          </w:p>
        </w:tc>
        <w:tc>
          <w:tcPr>
            <w:tcW w:w="1000" w:type="dxa"/>
            <w:vAlign w:val="bottom"/>
          </w:tcPr>
          <w:p>
            <w:pPr>
              <w:jc w:val="center"/>
              <w:ind w:left="161"/>
              <w:spacing w:after="0"/>
              <w:rPr>
                <w:sz w:val="20"/>
                <w:szCs w:val="20"/>
                <w:color w:val="auto"/>
              </w:rPr>
            </w:pPr>
            <w:r>
              <w:rPr>
                <w:rFonts w:ascii="Arial" w:cs="Arial" w:eastAsia="Arial" w:hAnsi="Arial"/>
                <w:sz w:val="20"/>
                <w:szCs w:val="20"/>
                <w:color w:val="auto"/>
                <w:w w:val="89"/>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560" w:type="dxa"/>
            <w:vAlign w:val="bottom"/>
            <w:shd w:val="clear" w:color="auto" w:fill="CFF0FC"/>
          </w:tcPr>
          <w:p>
            <w:pPr>
              <w:spacing w:after="0"/>
              <w:rPr>
                <w:sz w:val="20"/>
                <w:szCs w:val="20"/>
                <w:color w:val="auto"/>
              </w:rPr>
            </w:pPr>
            <w:r>
              <w:rPr>
                <w:rFonts w:ascii="Arial" w:cs="Arial" w:eastAsia="Arial" w:hAnsi="Arial"/>
                <w:sz w:val="20"/>
                <w:szCs w:val="20"/>
                <w:color w:val="auto"/>
              </w:rPr>
              <w:t>Hugo</w:t>
            </w:r>
          </w:p>
        </w:tc>
        <w:tc>
          <w:tcPr>
            <w:tcW w:w="92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w w:val="92"/>
              </w:rPr>
              <w:t>3400061</w:t>
            </w:r>
          </w:p>
        </w:tc>
        <w:tc>
          <w:tcPr>
            <w:tcW w:w="700" w:type="dxa"/>
            <w:vAlign w:val="bottom"/>
            <w:shd w:val="clear" w:color="auto" w:fill="CFF0FC"/>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shd w:val="clear" w:color="auto" w:fill="CFF0FC"/>
          </w:tcPr>
          <w:p>
            <w:pPr>
              <w:jc w:val="right"/>
              <w:ind w:right="28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60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6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1000" w:type="dxa"/>
            <w:vAlign w:val="bottom"/>
            <w:shd w:val="clear" w:color="auto" w:fill="CFF0FC"/>
          </w:tcPr>
          <w:p>
            <w:pPr>
              <w:jc w:val="center"/>
              <w:ind w:left="161"/>
              <w:spacing w:after="0"/>
              <w:rPr>
                <w:sz w:val="20"/>
                <w:szCs w:val="20"/>
                <w:color w:val="auto"/>
              </w:rPr>
            </w:pPr>
            <w:r>
              <w:rPr>
                <w:rFonts w:ascii="Arial" w:cs="Arial" w:eastAsia="Arial" w:hAnsi="Arial"/>
                <w:sz w:val="20"/>
                <w:szCs w:val="20"/>
                <w:color w:val="auto"/>
                <w:w w:val="89"/>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560" w:type="dxa"/>
            <w:vAlign w:val="bottom"/>
          </w:tcPr>
          <w:p>
            <w:pPr>
              <w:spacing w:after="0"/>
              <w:rPr>
                <w:sz w:val="20"/>
                <w:szCs w:val="20"/>
                <w:color w:val="auto"/>
              </w:rPr>
            </w:pPr>
            <w:r>
              <w:rPr>
                <w:rFonts w:ascii="Arial" w:cs="Arial" w:eastAsia="Arial" w:hAnsi="Arial"/>
                <w:sz w:val="20"/>
                <w:szCs w:val="20"/>
                <w:color w:val="auto"/>
              </w:rPr>
              <w:t>Idabel</w:t>
            </w:r>
          </w:p>
        </w:tc>
        <w:tc>
          <w:tcPr>
            <w:tcW w:w="920" w:type="dxa"/>
            <w:vAlign w:val="bottom"/>
          </w:tcPr>
          <w:p>
            <w:pPr>
              <w:jc w:val="right"/>
              <w:ind w:right="81"/>
              <w:spacing w:after="0"/>
              <w:rPr>
                <w:sz w:val="20"/>
                <w:szCs w:val="20"/>
                <w:color w:val="auto"/>
              </w:rPr>
            </w:pPr>
            <w:r>
              <w:rPr>
                <w:rFonts w:ascii="Arial" w:cs="Arial" w:eastAsia="Arial" w:hAnsi="Arial"/>
                <w:sz w:val="20"/>
                <w:szCs w:val="20"/>
                <w:color w:val="auto"/>
                <w:w w:val="92"/>
              </w:rPr>
              <w:t>3400507</w:t>
            </w:r>
          </w:p>
        </w:tc>
        <w:tc>
          <w:tcPr>
            <w:tcW w:w="700" w:type="dxa"/>
            <w:vAlign w:val="bottom"/>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tcPr>
          <w:p>
            <w:pPr>
              <w:jc w:val="right"/>
              <w:ind w:right="281"/>
              <w:spacing w:after="0"/>
              <w:rPr>
                <w:sz w:val="20"/>
                <w:szCs w:val="20"/>
                <w:color w:val="auto"/>
              </w:rPr>
            </w:pPr>
            <w:r>
              <w:rPr>
                <w:rFonts w:ascii="Arial" w:cs="Arial" w:eastAsia="Arial" w:hAnsi="Arial"/>
                <w:sz w:val="20"/>
                <w:szCs w:val="20"/>
                <w:color w:val="auto"/>
              </w:rPr>
              <w:t>0</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42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60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480" w:type="dxa"/>
            <w:vAlign w:val="bottom"/>
          </w:tcPr>
          <w:p>
            <w:pPr>
              <w:jc w:val="right"/>
              <w:ind w:right="121"/>
              <w:spacing w:after="0"/>
              <w:rPr>
                <w:sz w:val="20"/>
                <w:szCs w:val="20"/>
                <w:color w:val="auto"/>
              </w:rPr>
            </w:pPr>
            <w:r>
              <w:rPr>
                <w:rFonts w:ascii="Arial" w:cs="Arial" w:eastAsia="Arial" w:hAnsi="Arial"/>
                <w:sz w:val="20"/>
                <w:szCs w:val="20"/>
                <w:color w:val="auto"/>
              </w:rPr>
              <w:t>0</w:t>
            </w:r>
          </w:p>
        </w:tc>
        <w:tc>
          <w:tcPr>
            <w:tcW w:w="720" w:type="dxa"/>
            <w:vAlign w:val="bottom"/>
          </w:tcPr>
          <w:p>
            <w:pPr>
              <w:ind w:left="24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6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480" w:type="dxa"/>
            <w:vAlign w:val="bottom"/>
          </w:tcPr>
          <w:p>
            <w:pPr>
              <w:jc w:val="right"/>
              <w:spacing w:after="0"/>
              <w:rPr>
                <w:sz w:val="20"/>
                <w:szCs w:val="20"/>
                <w:color w:val="auto"/>
              </w:rPr>
            </w:pPr>
            <w:r>
              <w:rPr>
                <w:rFonts w:ascii="Arial" w:cs="Arial" w:eastAsia="Arial" w:hAnsi="Arial"/>
                <w:sz w:val="20"/>
                <w:szCs w:val="20"/>
                <w:color w:val="auto"/>
              </w:rPr>
              <w:t>0</w:t>
            </w:r>
          </w:p>
        </w:tc>
        <w:tc>
          <w:tcPr>
            <w:tcW w:w="1000" w:type="dxa"/>
            <w:vAlign w:val="bottom"/>
          </w:tcPr>
          <w:p>
            <w:pPr>
              <w:jc w:val="center"/>
              <w:ind w:left="161"/>
              <w:spacing w:after="0"/>
              <w:rPr>
                <w:sz w:val="20"/>
                <w:szCs w:val="20"/>
                <w:color w:val="auto"/>
              </w:rPr>
            </w:pPr>
            <w:r>
              <w:rPr>
                <w:rFonts w:ascii="Arial" w:cs="Arial" w:eastAsia="Arial" w:hAnsi="Arial"/>
                <w:sz w:val="20"/>
                <w:szCs w:val="20"/>
                <w:color w:val="auto"/>
                <w:w w:val="89"/>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56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rPr>
              <w:t>Jena Aggregates</w:t>
            </w:r>
          </w:p>
        </w:tc>
        <w:tc>
          <w:tcPr>
            <w:tcW w:w="9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560" w:type="dxa"/>
            <w:vAlign w:val="bottom"/>
            <w:shd w:val="clear" w:color="auto" w:fill="CFF0FC"/>
          </w:tcPr>
          <w:p>
            <w:pPr>
              <w:spacing w:after="0"/>
              <w:rPr>
                <w:sz w:val="20"/>
                <w:szCs w:val="20"/>
                <w:color w:val="auto"/>
              </w:rPr>
            </w:pPr>
            <w:r>
              <w:rPr>
                <w:rFonts w:ascii="Arial" w:cs="Arial" w:eastAsia="Arial" w:hAnsi="Arial"/>
                <w:sz w:val="20"/>
                <w:szCs w:val="20"/>
                <w:color w:val="auto"/>
              </w:rPr>
              <w:t>TXI</w:t>
            </w:r>
          </w:p>
        </w:tc>
        <w:tc>
          <w:tcPr>
            <w:tcW w:w="92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w w:val="92"/>
              </w:rPr>
              <w:t>1601298</w:t>
            </w:r>
          </w:p>
        </w:tc>
        <w:tc>
          <w:tcPr>
            <w:tcW w:w="700" w:type="dxa"/>
            <w:vAlign w:val="bottom"/>
            <w:shd w:val="clear" w:color="auto" w:fill="CFF0FC"/>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shd w:val="clear" w:color="auto" w:fill="CFF0FC"/>
          </w:tcPr>
          <w:p>
            <w:pPr>
              <w:jc w:val="right"/>
              <w:ind w:right="28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60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100</w:t>
            </w:r>
          </w:p>
        </w:tc>
        <w:tc>
          <w:tcPr>
            <w:tcW w:w="4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6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1000" w:type="dxa"/>
            <w:vAlign w:val="bottom"/>
            <w:shd w:val="clear" w:color="auto" w:fill="CFF0FC"/>
          </w:tcPr>
          <w:p>
            <w:pPr>
              <w:jc w:val="center"/>
              <w:ind w:left="161"/>
              <w:spacing w:after="0"/>
              <w:rPr>
                <w:sz w:val="20"/>
                <w:szCs w:val="20"/>
                <w:color w:val="auto"/>
              </w:rPr>
            </w:pPr>
            <w:r>
              <w:rPr>
                <w:rFonts w:ascii="Arial" w:cs="Arial" w:eastAsia="Arial" w:hAnsi="Arial"/>
                <w:sz w:val="20"/>
                <w:szCs w:val="20"/>
                <w:color w:val="auto"/>
                <w:w w:val="89"/>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560" w:type="dxa"/>
            <w:vAlign w:val="bottom"/>
          </w:tcPr>
          <w:p>
            <w:pPr>
              <w:spacing w:after="0"/>
              <w:rPr>
                <w:sz w:val="20"/>
                <w:szCs w:val="20"/>
                <w:color w:val="auto"/>
              </w:rPr>
            </w:pPr>
            <w:r>
              <w:rPr>
                <w:rFonts w:ascii="Arial" w:cs="Arial" w:eastAsia="Arial" w:hAnsi="Arial"/>
                <w:sz w:val="20"/>
                <w:szCs w:val="20"/>
                <w:color w:val="auto"/>
                <w:w w:val="98"/>
              </w:rPr>
              <w:t>Jones Mill Quarry</w:t>
            </w:r>
          </w:p>
        </w:tc>
        <w:tc>
          <w:tcPr>
            <w:tcW w:w="920" w:type="dxa"/>
            <w:vAlign w:val="bottom"/>
          </w:tcPr>
          <w:p>
            <w:pPr>
              <w:jc w:val="right"/>
              <w:ind w:right="81"/>
              <w:spacing w:after="0"/>
              <w:rPr>
                <w:sz w:val="20"/>
                <w:szCs w:val="20"/>
                <w:color w:val="auto"/>
              </w:rPr>
            </w:pPr>
            <w:r>
              <w:rPr>
                <w:rFonts w:ascii="Arial" w:cs="Arial" w:eastAsia="Arial" w:hAnsi="Arial"/>
                <w:sz w:val="20"/>
                <w:szCs w:val="20"/>
                <w:color w:val="auto"/>
              </w:rPr>
              <w:t>301586</w:t>
            </w:r>
          </w:p>
        </w:tc>
        <w:tc>
          <w:tcPr>
            <w:tcW w:w="700" w:type="dxa"/>
            <w:vAlign w:val="bottom"/>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tcPr>
          <w:p>
            <w:pPr>
              <w:jc w:val="right"/>
              <w:ind w:right="281"/>
              <w:spacing w:after="0"/>
              <w:rPr>
                <w:sz w:val="20"/>
                <w:szCs w:val="20"/>
                <w:color w:val="auto"/>
              </w:rPr>
            </w:pPr>
            <w:r>
              <w:rPr>
                <w:rFonts w:ascii="Arial" w:cs="Arial" w:eastAsia="Arial" w:hAnsi="Arial"/>
                <w:sz w:val="20"/>
                <w:szCs w:val="20"/>
                <w:color w:val="auto"/>
              </w:rPr>
              <w:t>0</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42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60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480" w:type="dxa"/>
            <w:vAlign w:val="bottom"/>
          </w:tcPr>
          <w:p>
            <w:pPr>
              <w:jc w:val="right"/>
              <w:ind w:right="121"/>
              <w:spacing w:after="0"/>
              <w:rPr>
                <w:sz w:val="20"/>
                <w:szCs w:val="20"/>
                <w:color w:val="auto"/>
              </w:rPr>
            </w:pPr>
            <w:r>
              <w:rPr>
                <w:rFonts w:ascii="Arial" w:cs="Arial" w:eastAsia="Arial" w:hAnsi="Arial"/>
                <w:sz w:val="20"/>
                <w:szCs w:val="20"/>
                <w:color w:val="auto"/>
              </w:rPr>
              <w:t>0</w:t>
            </w:r>
          </w:p>
        </w:tc>
        <w:tc>
          <w:tcPr>
            <w:tcW w:w="720" w:type="dxa"/>
            <w:vAlign w:val="bottom"/>
          </w:tcPr>
          <w:p>
            <w:pPr>
              <w:ind w:left="24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6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480" w:type="dxa"/>
            <w:vAlign w:val="bottom"/>
          </w:tcPr>
          <w:p>
            <w:pPr>
              <w:jc w:val="right"/>
              <w:spacing w:after="0"/>
              <w:rPr>
                <w:sz w:val="20"/>
                <w:szCs w:val="20"/>
                <w:color w:val="auto"/>
              </w:rPr>
            </w:pPr>
            <w:r>
              <w:rPr>
                <w:rFonts w:ascii="Arial" w:cs="Arial" w:eastAsia="Arial" w:hAnsi="Arial"/>
                <w:sz w:val="20"/>
                <w:szCs w:val="20"/>
                <w:color w:val="auto"/>
              </w:rPr>
              <w:t>0</w:t>
            </w:r>
          </w:p>
        </w:tc>
        <w:tc>
          <w:tcPr>
            <w:tcW w:w="1000" w:type="dxa"/>
            <w:vAlign w:val="bottom"/>
          </w:tcPr>
          <w:p>
            <w:pPr>
              <w:jc w:val="center"/>
              <w:ind w:left="161"/>
              <w:spacing w:after="0"/>
              <w:rPr>
                <w:sz w:val="20"/>
                <w:szCs w:val="20"/>
                <w:color w:val="auto"/>
              </w:rPr>
            </w:pPr>
            <w:r>
              <w:rPr>
                <w:rFonts w:ascii="Arial" w:cs="Arial" w:eastAsia="Arial" w:hAnsi="Arial"/>
                <w:sz w:val="20"/>
                <w:szCs w:val="20"/>
                <w:color w:val="auto"/>
                <w:w w:val="89"/>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56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w w:val="97"/>
              </w:rPr>
              <w:t>Koontz McCombs</w:t>
            </w:r>
          </w:p>
        </w:tc>
        <w:tc>
          <w:tcPr>
            <w:tcW w:w="9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560" w:type="dxa"/>
            <w:vAlign w:val="bottom"/>
            <w:shd w:val="clear" w:color="auto" w:fill="CFF0FC"/>
          </w:tcPr>
          <w:p>
            <w:pPr>
              <w:spacing w:after="0"/>
              <w:rPr>
                <w:sz w:val="20"/>
                <w:szCs w:val="20"/>
                <w:color w:val="auto"/>
              </w:rPr>
            </w:pPr>
            <w:r>
              <w:rPr>
                <w:rFonts w:ascii="Arial" w:cs="Arial" w:eastAsia="Arial" w:hAnsi="Arial"/>
                <w:sz w:val="20"/>
                <w:szCs w:val="20"/>
                <w:color w:val="auto"/>
              </w:rPr>
              <w:t>Pit</w:t>
            </w:r>
          </w:p>
        </w:tc>
        <w:tc>
          <w:tcPr>
            <w:tcW w:w="92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w w:val="92"/>
              </w:rPr>
              <w:t>4105048</w:t>
            </w:r>
          </w:p>
        </w:tc>
        <w:tc>
          <w:tcPr>
            <w:tcW w:w="700" w:type="dxa"/>
            <w:vAlign w:val="bottom"/>
            <w:shd w:val="clear" w:color="auto" w:fill="CFF0FC"/>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shd w:val="clear" w:color="auto" w:fill="CFF0FC"/>
          </w:tcPr>
          <w:p>
            <w:pPr>
              <w:jc w:val="right"/>
              <w:ind w:right="28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60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6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1000" w:type="dxa"/>
            <w:vAlign w:val="bottom"/>
            <w:shd w:val="clear" w:color="auto" w:fill="CFF0FC"/>
          </w:tcPr>
          <w:p>
            <w:pPr>
              <w:jc w:val="center"/>
              <w:ind w:left="161"/>
              <w:spacing w:after="0"/>
              <w:rPr>
                <w:sz w:val="20"/>
                <w:szCs w:val="20"/>
                <w:color w:val="auto"/>
              </w:rPr>
            </w:pPr>
            <w:r>
              <w:rPr>
                <w:rFonts w:ascii="Arial" w:cs="Arial" w:eastAsia="Arial" w:hAnsi="Arial"/>
                <w:sz w:val="20"/>
                <w:szCs w:val="20"/>
                <w:color w:val="auto"/>
                <w:w w:val="89"/>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47"/>
        </w:trPr>
        <w:tc>
          <w:tcPr>
            <w:tcW w:w="20" w:type="dxa"/>
            <w:vAlign w:val="bottom"/>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78" w:name="page79"/>
    <w:bookmarkEnd w:id="78"/>
    <w:tbl>
      <w:tblPr>
        <w:tblLayout w:type="fixed"/>
        <w:tblInd w:w="0" w:type="dxa"/>
        <w:tblCellMar>
          <w:top w:w="0" w:type="dxa"/>
          <w:left w:w="0" w:type="dxa"/>
          <w:bottom w:w="0" w:type="dxa"/>
          <w:right w:w="0" w:type="dxa"/>
        </w:tblCellMar>
      </w:tblPr>
      <w:tr>
        <w:trPr>
          <w:trHeight w:val="251"/>
        </w:trPr>
        <w:tc>
          <w:tcPr>
            <w:tcW w:w="15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20" w:type="dxa"/>
            <w:vAlign w:val="bottom"/>
            <w:gridSpan w:val="2"/>
          </w:tcPr>
          <w:p>
            <w:pPr>
              <w:ind w:left="80"/>
              <w:spacing w:after="0"/>
              <w:rPr>
                <w:sz w:val="20"/>
                <w:szCs w:val="20"/>
                <w:color w:val="auto"/>
              </w:rPr>
            </w:pPr>
            <w:r>
              <w:rPr>
                <w:rFonts w:ascii="Arial" w:cs="Arial" w:eastAsia="Arial" w:hAnsi="Arial"/>
                <w:sz w:val="20"/>
                <w:szCs w:val="20"/>
                <w:color w:val="auto"/>
                <w:w w:val="91"/>
              </w:rPr>
              <w:t>Appendix 1</w:t>
            </w:r>
          </w:p>
        </w:tc>
      </w:tr>
      <w:tr>
        <w:trPr>
          <w:trHeight w:val="469"/>
        </w:trPr>
        <w:tc>
          <w:tcPr>
            <w:tcW w:w="1580" w:type="dxa"/>
            <w:vAlign w:val="bottom"/>
          </w:tcPr>
          <w:p>
            <w:pPr>
              <w:spacing w:after="0"/>
              <w:rPr>
                <w:sz w:val="20"/>
                <w:szCs w:val="20"/>
                <w:color w:val="auto"/>
              </w:rPr>
            </w:pPr>
            <w:r>
              <w:rPr>
                <w:rFonts w:ascii="Arial" w:cs="Arial" w:eastAsia="Arial" w:hAnsi="Arial"/>
                <w:sz w:val="20"/>
                <w:szCs w:val="20"/>
                <w:color w:val="auto"/>
              </w:rPr>
              <w:t>Mill Creek</w:t>
            </w:r>
          </w:p>
        </w:tc>
        <w:tc>
          <w:tcPr>
            <w:tcW w:w="920" w:type="dxa"/>
            <w:vAlign w:val="bottom"/>
          </w:tcPr>
          <w:p>
            <w:pPr>
              <w:jc w:val="right"/>
              <w:ind w:right="81"/>
              <w:spacing w:after="0"/>
              <w:rPr>
                <w:sz w:val="20"/>
                <w:szCs w:val="20"/>
                <w:color w:val="auto"/>
              </w:rPr>
            </w:pPr>
            <w:r>
              <w:rPr>
                <w:rFonts w:ascii="Arial" w:cs="Arial" w:eastAsia="Arial" w:hAnsi="Arial"/>
                <w:sz w:val="20"/>
                <w:szCs w:val="20"/>
                <w:color w:val="auto"/>
                <w:w w:val="92"/>
              </w:rPr>
              <w:t>3401285</w:t>
            </w:r>
          </w:p>
        </w:tc>
        <w:tc>
          <w:tcPr>
            <w:tcW w:w="700" w:type="dxa"/>
            <w:vAlign w:val="bottom"/>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tcPr>
          <w:p>
            <w:pPr>
              <w:jc w:val="right"/>
              <w:ind w:right="281"/>
              <w:spacing w:after="0"/>
              <w:rPr>
                <w:sz w:val="20"/>
                <w:szCs w:val="20"/>
                <w:color w:val="auto"/>
              </w:rPr>
            </w:pPr>
            <w:r>
              <w:rPr>
                <w:rFonts w:ascii="Arial" w:cs="Arial" w:eastAsia="Arial" w:hAnsi="Arial"/>
                <w:sz w:val="20"/>
                <w:szCs w:val="20"/>
                <w:color w:val="auto"/>
              </w:rPr>
              <w:t>0</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340" w:type="dxa"/>
            <w:vAlign w:val="bottom"/>
          </w:tcPr>
          <w:p>
            <w:pPr>
              <w:jc w:val="right"/>
              <w:spacing w:after="0"/>
              <w:rPr>
                <w:sz w:val="20"/>
                <w:szCs w:val="20"/>
                <w:color w:val="auto"/>
              </w:rPr>
            </w:pPr>
            <w:r>
              <w:rPr>
                <w:rFonts w:ascii="Arial" w:cs="Arial" w:eastAsia="Arial" w:hAnsi="Arial"/>
                <w:sz w:val="20"/>
                <w:szCs w:val="20"/>
                <w:color w:val="auto"/>
              </w:rPr>
              <w:t>$</w:t>
            </w:r>
          </w:p>
        </w:tc>
        <w:tc>
          <w:tcPr>
            <w:tcW w:w="68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480" w:type="dxa"/>
            <w:vAlign w:val="bottom"/>
          </w:tcPr>
          <w:p>
            <w:pPr>
              <w:jc w:val="right"/>
              <w:ind w:right="121"/>
              <w:spacing w:after="0"/>
              <w:rPr>
                <w:sz w:val="20"/>
                <w:szCs w:val="20"/>
                <w:color w:val="auto"/>
              </w:rPr>
            </w:pPr>
            <w:r>
              <w:rPr>
                <w:rFonts w:ascii="Arial" w:cs="Arial" w:eastAsia="Arial" w:hAnsi="Arial"/>
                <w:sz w:val="20"/>
                <w:szCs w:val="20"/>
                <w:color w:val="auto"/>
              </w:rPr>
              <w:t>0</w:t>
            </w:r>
          </w:p>
        </w:tc>
        <w:tc>
          <w:tcPr>
            <w:tcW w:w="720" w:type="dxa"/>
            <w:vAlign w:val="bottom"/>
          </w:tcPr>
          <w:p>
            <w:pPr>
              <w:ind w:left="24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6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480" w:type="dxa"/>
            <w:vAlign w:val="bottom"/>
          </w:tcPr>
          <w:p>
            <w:pPr>
              <w:jc w:val="right"/>
              <w:spacing w:after="0"/>
              <w:rPr>
                <w:sz w:val="20"/>
                <w:szCs w:val="20"/>
                <w:color w:val="auto"/>
              </w:rPr>
            </w:pPr>
            <w:r>
              <w:rPr>
                <w:rFonts w:ascii="Arial" w:cs="Arial" w:eastAsia="Arial" w:hAnsi="Arial"/>
                <w:sz w:val="20"/>
                <w:szCs w:val="20"/>
                <w:color w:val="auto"/>
              </w:rPr>
              <w:t>0</w:t>
            </w:r>
          </w:p>
        </w:tc>
        <w:tc>
          <w:tcPr>
            <w:tcW w:w="10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4"/>
                <w:szCs w:val="24"/>
                <w:color w:val="auto"/>
              </w:rPr>
            </w:pPr>
          </w:p>
        </w:tc>
      </w:tr>
      <w:tr>
        <w:trPr>
          <w:trHeight w:val="243"/>
        </w:trPr>
        <w:tc>
          <w:tcPr>
            <w:tcW w:w="1580" w:type="dxa"/>
            <w:vAlign w:val="bottom"/>
            <w:shd w:val="clear" w:color="auto" w:fill="CFF0FC"/>
          </w:tcPr>
          <w:p>
            <w:pPr>
              <w:spacing w:after="0"/>
              <w:rPr>
                <w:sz w:val="20"/>
                <w:szCs w:val="20"/>
                <w:color w:val="auto"/>
              </w:rPr>
            </w:pPr>
            <w:r>
              <w:rPr>
                <w:rFonts w:ascii="Arial" w:cs="Arial" w:eastAsia="Arial" w:hAnsi="Arial"/>
                <w:sz w:val="20"/>
                <w:szCs w:val="20"/>
                <w:color w:val="auto"/>
              </w:rPr>
              <w:t>Mill Creek TXI</w:t>
            </w:r>
          </w:p>
        </w:tc>
        <w:tc>
          <w:tcPr>
            <w:tcW w:w="92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w w:val="92"/>
              </w:rPr>
              <w:t>3401859</w:t>
            </w:r>
          </w:p>
        </w:tc>
        <w:tc>
          <w:tcPr>
            <w:tcW w:w="700" w:type="dxa"/>
            <w:vAlign w:val="bottom"/>
            <w:shd w:val="clear" w:color="auto" w:fill="CFF0FC"/>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shd w:val="clear" w:color="auto" w:fill="CFF0FC"/>
          </w:tcPr>
          <w:p>
            <w:pPr>
              <w:jc w:val="right"/>
              <w:ind w:right="28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8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6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10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26"/>
        </w:trPr>
        <w:tc>
          <w:tcPr>
            <w:tcW w:w="1580" w:type="dxa"/>
            <w:vAlign w:val="bottom"/>
          </w:tcPr>
          <w:p>
            <w:pPr>
              <w:spacing w:after="0" w:line="227" w:lineRule="exact"/>
              <w:rPr>
                <w:sz w:val="20"/>
                <w:szCs w:val="20"/>
                <w:color w:val="auto"/>
              </w:rPr>
            </w:pPr>
            <w:r>
              <w:rPr>
                <w:rFonts w:ascii="Arial" w:cs="Arial" w:eastAsia="Arial" w:hAnsi="Arial"/>
                <w:sz w:val="20"/>
                <w:szCs w:val="20"/>
                <w:color w:val="auto"/>
              </w:rPr>
              <w:t>New Braunfels</w:t>
            </w: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6"/>
        </w:trPr>
        <w:tc>
          <w:tcPr>
            <w:tcW w:w="1580" w:type="dxa"/>
            <w:vAlign w:val="bottom"/>
          </w:tcPr>
          <w:p>
            <w:pPr>
              <w:spacing w:after="0"/>
              <w:rPr>
                <w:sz w:val="20"/>
                <w:szCs w:val="20"/>
                <w:color w:val="auto"/>
              </w:rPr>
            </w:pPr>
            <w:r>
              <w:rPr>
                <w:rFonts w:ascii="Arial" w:cs="Arial" w:eastAsia="Arial" w:hAnsi="Arial"/>
                <w:sz w:val="20"/>
                <w:szCs w:val="20"/>
                <w:color w:val="auto"/>
              </w:rPr>
              <w:t>Quarry</w:t>
            </w:r>
          </w:p>
        </w:tc>
        <w:tc>
          <w:tcPr>
            <w:tcW w:w="920" w:type="dxa"/>
            <w:vAlign w:val="bottom"/>
          </w:tcPr>
          <w:p>
            <w:pPr>
              <w:jc w:val="right"/>
              <w:ind w:right="81"/>
              <w:spacing w:after="0"/>
              <w:rPr>
                <w:sz w:val="20"/>
                <w:szCs w:val="20"/>
                <w:color w:val="auto"/>
              </w:rPr>
            </w:pPr>
            <w:r>
              <w:rPr>
                <w:rFonts w:ascii="Arial" w:cs="Arial" w:eastAsia="Arial" w:hAnsi="Arial"/>
                <w:sz w:val="20"/>
                <w:szCs w:val="20"/>
                <w:color w:val="auto"/>
                <w:w w:val="92"/>
              </w:rPr>
              <w:t>4104264</w:t>
            </w:r>
          </w:p>
        </w:tc>
        <w:tc>
          <w:tcPr>
            <w:tcW w:w="700" w:type="dxa"/>
            <w:vAlign w:val="bottom"/>
          </w:tcPr>
          <w:p>
            <w:pPr>
              <w:jc w:val="right"/>
              <w:ind w:right="301"/>
              <w:spacing w:after="0"/>
              <w:rPr>
                <w:sz w:val="20"/>
                <w:szCs w:val="20"/>
                <w:color w:val="auto"/>
              </w:rPr>
            </w:pPr>
            <w:r>
              <w:rPr>
                <w:rFonts w:ascii="Arial" w:cs="Arial" w:eastAsia="Arial" w:hAnsi="Arial"/>
                <w:sz w:val="20"/>
                <w:szCs w:val="20"/>
                <w:color w:val="auto"/>
              </w:rPr>
              <w:t>3</w:t>
            </w:r>
          </w:p>
        </w:tc>
        <w:tc>
          <w:tcPr>
            <w:tcW w:w="880" w:type="dxa"/>
            <w:vAlign w:val="bottom"/>
          </w:tcPr>
          <w:p>
            <w:pPr>
              <w:jc w:val="right"/>
              <w:ind w:right="281"/>
              <w:spacing w:after="0"/>
              <w:rPr>
                <w:sz w:val="20"/>
                <w:szCs w:val="20"/>
                <w:color w:val="auto"/>
              </w:rPr>
            </w:pPr>
            <w:r>
              <w:rPr>
                <w:rFonts w:ascii="Arial" w:cs="Arial" w:eastAsia="Arial" w:hAnsi="Arial"/>
                <w:sz w:val="20"/>
                <w:szCs w:val="20"/>
                <w:color w:val="auto"/>
              </w:rPr>
              <w:t>0</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340" w:type="dxa"/>
            <w:vAlign w:val="bottom"/>
          </w:tcPr>
          <w:p>
            <w:pPr>
              <w:jc w:val="right"/>
              <w:spacing w:after="0"/>
              <w:rPr>
                <w:sz w:val="20"/>
                <w:szCs w:val="20"/>
                <w:color w:val="auto"/>
              </w:rPr>
            </w:pPr>
            <w:r>
              <w:rPr>
                <w:rFonts w:ascii="Arial" w:cs="Arial" w:eastAsia="Arial" w:hAnsi="Arial"/>
                <w:sz w:val="20"/>
                <w:szCs w:val="20"/>
                <w:color w:val="auto"/>
              </w:rPr>
              <w:t>$</w:t>
            </w:r>
          </w:p>
        </w:tc>
        <w:tc>
          <w:tcPr>
            <w:tcW w:w="680" w:type="dxa"/>
            <w:vAlign w:val="bottom"/>
          </w:tcPr>
          <w:p>
            <w:pPr>
              <w:jc w:val="right"/>
              <w:ind w:right="41"/>
              <w:spacing w:after="0"/>
              <w:rPr>
                <w:sz w:val="20"/>
                <w:szCs w:val="20"/>
                <w:color w:val="auto"/>
              </w:rPr>
            </w:pPr>
            <w:r>
              <w:rPr>
                <w:rFonts w:ascii="Arial" w:cs="Arial" w:eastAsia="Arial" w:hAnsi="Arial"/>
                <w:sz w:val="20"/>
                <w:szCs w:val="20"/>
                <w:color w:val="auto"/>
              </w:rPr>
              <w:t>3,692</w:t>
            </w:r>
          </w:p>
        </w:tc>
        <w:tc>
          <w:tcPr>
            <w:tcW w:w="480" w:type="dxa"/>
            <w:vAlign w:val="bottom"/>
          </w:tcPr>
          <w:p>
            <w:pPr>
              <w:jc w:val="right"/>
              <w:ind w:right="121"/>
              <w:spacing w:after="0"/>
              <w:rPr>
                <w:sz w:val="20"/>
                <w:szCs w:val="20"/>
                <w:color w:val="auto"/>
              </w:rPr>
            </w:pPr>
            <w:r>
              <w:rPr>
                <w:rFonts w:ascii="Arial" w:cs="Arial" w:eastAsia="Arial" w:hAnsi="Arial"/>
                <w:sz w:val="20"/>
                <w:szCs w:val="20"/>
                <w:color w:val="auto"/>
              </w:rPr>
              <w:t>0</w:t>
            </w:r>
          </w:p>
        </w:tc>
        <w:tc>
          <w:tcPr>
            <w:tcW w:w="720" w:type="dxa"/>
            <w:vAlign w:val="bottom"/>
          </w:tcPr>
          <w:p>
            <w:pPr>
              <w:ind w:left="24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60" w:type="dxa"/>
            <w:vAlign w:val="bottom"/>
          </w:tcPr>
          <w:p>
            <w:pPr>
              <w:jc w:val="right"/>
              <w:ind w:right="221"/>
              <w:spacing w:after="0"/>
              <w:rPr>
                <w:sz w:val="20"/>
                <w:szCs w:val="20"/>
                <w:color w:val="auto"/>
              </w:rPr>
            </w:pPr>
            <w:r>
              <w:rPr>
                <w:rFonts w:ascii="Arial" w:cs="Arial" w:eastAsia="Arial" w:hAnsi="Arial"/>
                <w:sz w:val="20"/>
                <w:szCs w:val="20"/>
                <w:color w:val="auto"/>
              </w:rPr>
              <w:t>1</w:t>
            </w:r>
          </w:p>
        </w:tc>
        <w:tc>
          <w:tcPr>
            <w:tcW w:w="480" w:type="dxa"/>
            <w:vAlign w:val="bottom"/>
          </w:tcPr>
          <w:p>
            <w:pPr>
              <w:jc w:val="right"/>
              <w:spacing w:after="0"/>
              <w:rPr>
                <w:sz w:val="20"/>
                <w:szCs w:val="20"/>
                <w:color w:val="auto"/>
              </w:rPr>
            </w:pPr>
            <w:r>
              <w:rPr>
                <w:rFonts w:ascii="Arial" w:cs="Arial" w:eastAsia="Arial" w:hAnsi="Arial"/>
                <w:sz w:val="20"/>
                <w:szCs w:val="20"/>
                <w:color w:val="auto"/>
              </w:rPr>
              <w:t>1</w:t>
            </w:r>
          </w:p>
        </w:tc>
        <w:tc>
          <w:tcPr>
            <w:tcW w:w="10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26"/>
        </w:trPr>
        <w:tc>
          <w:tcPr>
            <w:tcW w:w="158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rPr>
              <w:t>Perryville</w:t>
            </w:r>
          </w:p>
        </w:tc>
        <w:tc>
          <w:tcPr>
            <w:tcW w:w="9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46"/>
        </w:trPr>
        <w:tc>
          <w:tcPr>
            <w:tcW w:w="1580" w:type="dxa"/>
            <w:vAlign w:val="bottom"/>
            <w:shd w:val="clear" w:color="auto" w:fill="CFF0FC"/>
          </w:tcPr>
          <w:p>
            <w:pPr>
              <w:spacing w:after="0"/>
              <w:rPr>
                <w:sz w:val="20"/>
                <w:szCs w:val="20"/>
                <w:color w:val="auto"/>
              </w:rPr>
            </w:pPr>
            <w:r>
              <w:rPr>
                <w:rFonts w:ascii="Arial" w:cs="Arial" w:eastAsia="Arial" w:hAnsi="Arial"/>
                <w:sz w:val="20"/>
                <w:szCs w:val="20"/>
                <w:color w:val="auto"/>
              </w:rPr>
              <w:t>Aggregates TXI</w:t>
            </w:r>
          </w:p>
        </w:tc>
        <w:tc>
          <w:tcPr>
            <w:tcW w:w="92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w w:val="92"/>
              </w:rPr>
              <w:t>1601417</w:t>
            </w:r>
          </w:p>
        </w:tc>
        <w:tc>
          <w:tcPr>
            <w:tcW w:w="700" w:type="dxa"/>
            <w:vAlign w:val="bottom"/>
            <w:shd w:val="clear" w:color="auto" w:fill="CFF0FC"/>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shd w:val="clear" w:color="auto" w:fill="CFF0FC"/>
          </w:tcPr>
          <w:p>
            <w:pPr>
              <w:jc w:val="right"/>
              <w:ind w:right="28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8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100</w:t>
            </w:r>
          </w:p>
        </w:tc>
        <w:tc>
          <w:tcPr>
            <w:tcW w:w="4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6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10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500" w:type="dxa"/>
            <w:vAlign w:val="bottom"/>
            <w:gridSpan w:val="2"/>
          </w:tcPr>
          <w:p>
            <w:pPr>
              <w:spacing w:after="0"/>
              <w:rPr>
                <w:sz w:val="20"/>
                <w:szCs w:val="20"/>
                <w:color w:val="auto"/>
              </w:rPr>
            </w:pPr>
            <w:r>
              <w:rPr>
                <w:rFonts w:ascii="Arial" w:cs="Arial" w:eastAsia="Arial" w:hAnsi="Arial"/>
                <w:sz w:val="20"/>
                <w:szCs w:val="20"/>
                <w:color w:val="auto"/>
                <w:w w:val="96"/>
              </w:rPr>
              <w:t>Poteet (Sand Plant) 4101342</w:t>
            </w:r>
          </w:p>
        </w:tc>
        <w:tc>
          <w:tcPr>
            <w:tcW w:w="700" w:type="dxa"/>
            <w:vAlign w:val="bottom"/>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tcPr>
          <w:p>
            <w:pPr>
              <w:jc w:val="right"/>
              <w:ind w:right="281"/>
              <w:spacing w:after="0"/>
              <w:rPr>
                <w:sz w:val="20"/>
                <w:szCs w:val="20"/>
                <w:color w:val="auto"/>
              </w:rPr>
            </w:pPr>
            <w:r>
              <w:rPr>
                <w:rFonts w:ascii="Arial" w:cs="Arial" w:eastAsia="Arial" w:hAnsi="Arial"/>
                <w:sz w:val="20"/>
                <w:szCs w:val="20"/>
                <w:color w:val="auto"/>
              </w:rPr>
              <w:t>0</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340" w:type="dxa"/>
            <w:vAlign w:val="bottom"/>
          </w:tcPr>
          <w:p>
            <w:pPr>
              <w:jc w:val="right"/>
              <w:spacing w:after="0"/>
              <w:rPr>
                <w:sz w:val="20"/>
                <w:szCs w:val="20"/>
                <w:color w:val="auto"/>
              </w:rPr>
            </w:pPr>
            <w:r>
              <w:rPr>
                <w:rFonts w:ascii="Arial" w:cs="Arial" w:eastAsia="Arial" w:hAnsi="Arial"/>
                <w:sz w:val="20"/>
                <w:szCs w:val="20"/>
                <w:color w:val="auto"/>
              </w:rPr>
              <w:t>$</w:t>
            </w:r>
          </w:p>
        </w:tc>
        <w:tc>
          <w:tcPr>
            <w:tcW w:w="68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480" w:type="dxa"/>
            <w:vAlign w:val="bottom"/>
          </w:tcPr>
          <w:p>
            <w:pPr>
              <w:jc w:val="right"/>
              <w:ind w:right="121"/>
              <w:spacing w:after="0"/>
              <w:rPr>
                <w:sz w:val="20"/>
                <w:szCs w:val="20"/>
                <w:color w:val="auto"/>
              </w:rPr>
            </w:pPr>
            <w:r>
              <w:rPr>
                <w:rFonts w:ascii="Arial" w:cs="Arial" w:eastAsia="Arial" w:hAnsi="Arial"/>
                <w:sz w:val="20"/>
                <w:szCs w:val="20"/>
                <w:color w:val="auto"/>
              </w:rPr>
              <w:t>0</w:t>
            </w:r>
          </w:p>
        </w:tc>
        <w:tc>
          <w:tcPr>
            <w:tcW w:w="720" w:type="dxa"/>
            <w:vAlign w:val="bottom"/>
          </w:tcPr>
          <w:p>
            <w:pPr>
              <w:ind w:left="24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6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480" w:type="dxa"/>
            <w:vAlign w:val="bottom"/>
          </w:tcPr>
          <w:p>
            <w:pPr>
              <w:jc w:val="right"/>
              <w:spacing w:after="0"/>
              <w:rPr>
                <w:sz w:val="20"/>
                <w:szCs w:val="20"/>
                <w:color w:val="auto"/>
              </w:rPr>
            </w:pPr>
            <w:r>
              <w:rPr>
                <w:rFonts w:ascii="Arial" w:cs="Arial" w:eastAsia="Arial" w:hAnsi="Arial"/>
                <w:sz w:val="20"/>
                <w:szCs w:val="20"/>
                <w:color w:val="auto"/>
              </w:rPr>
              <w:t>0</w:t>
            </w:r>
          </w:p>
        </w:tc>
        <w:tc>
          <w:tcPr>
            <w:tcW w:w="10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1580" w:type="dxa"/>
            <w:vAlign w:val="bottom"/>
            <w:shd w:val="clear" w:color="auto" w:fill="CFF0FC"/>
          </w:tcPr>
          <w:p>
            <w:pPr>
              <w:spacing w:after="0"/>
              <w:rPr>
                <w:sz w:val="20"/>
                <w:szCs w:val="20"/>
                <w:color w:val="auto"/>
              </w:rPr>
            </w:pPr>
            <w:r>
              <w:rPr>
                <w:rFonts w:ascii="Arial" w:cs="Arial" w:eastAsia="Arial" w:hAnsi="Arial"/>
                <w:sz w:val="20"/>
                <w:szCs w:val="20"/>
                <w:color w:val="auto"/>
              </w:rPr>
              <w:t>Rio Medina</w:t>
            </w:r>
          </w:p>
        </w:tc>
        <w:tc>
          <w:tcPr>
            <w:tcW w:w="92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w w:val="92"/>
              </w:rPr>
              <w:t>4103594</w:t>
            </w:r>
          </w:p>
        </w:tc>
        <w:tc>
          <w:tcPr>
            <w:tcW w:w="700" w:type="dxa"/>
            <w:vAlign w:val="bottom"/>
            <w:shd w:val="clear" w:color="auto" w:fill="CFF0FC"/>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shd w:val="clear" w:color="auto" w:fill="CFF0FC"/>
          </w:tcPr>
          <w:p>
            <w:pPr>
              <w:jc w:val="right"/>
              <w:ind w:right="28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8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6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10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1580" w:type="dxa"/>
            <w:vAlign w:val="bottom"/>
          </w:tcPr>
          <w:p>
            <w:pPr>
              <w:spacing w:after="0"/>
              <w:rPr>
                <w:sz w:val="20"/>
                <w:szCs w:val="20"/>
                <w:color w:val="auto"/>
              </w:rPr>
            </w:pPr>
            <w:r>
              <w:rPr>
                <w:rFonts w:ascii="Arial" w:cs="Arial" w:eastAsia="Arial" w:hAnsi="Arial"/>
                <w:sz w:val="20"/>
                <w:szCs w:val="20"/>
                <w:color w:val="auto"/>
              </w:rPr>
              <w:t>S.T. Porter Pit</w:t>
            </w:r>
          </w:p>
        </w:tc>
        <w:tc>
          <w:tcPr>
            <w:tcW w:w="920" w:type="dxa"/>
            <w:vAlign w:val="bottom"/>
          </w:tcPr>
          <w:p>
            <w:pPr>
              <w:jc w:val="right"/>
              <w:ind w:right="81"/>
              <w:spacing w:after="0"/>
              <w:rPr>
                <w:sz w:val="20"/>
                <w:szCs w:val="20"/>
                <w:color w:val="auto"/>
              </w:rPr>
            </w:pPr>
            <w:r>
              <w:rPr>
                <w:rFonts w:ascii="Arial" w:cs="Arial" w:eastAsia="Arial" w:hAnsi="Arial"/>
                <w:sz w:val="20"/>
                <w:szCs w:val="20"/>
                <w:color w:val="auto"/>
                <w:w w:val="92"/>
              </w:rPr>
              <w:t>4102673</w:t>
            </w:r>
          </w:p>
        </w:tc>
        <w:tc>
          <w:tcPr>
            <w:tcW w:w="700" w:type="dxa"/>
            <w:vAlign w:val="bottom"/>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tcPr>
          <w:p>
            <w:pPr>
              <w:jc w:val="right"/>
              <w:ind w:right="281"/>
              <w:spacing w:after="0"/>
              <w:rPr>
                <w:sz w:val="20"/>
                <w:szCs w:val="20"/>
                <w:color w:val="auto"/>
              </w:rPr>
            </w:pPr>
            <w:r>
              <w:rPr>
                <w:rFonts w:ascii="Arial" w:cs="Arial" w:eastAsia="Arial" w:hAnsi="Arial"/>
                <w:sz w:val="20"/>
                <w:szCs w:val="20"/>
                <w:color w:val="auto"/>
              </w:rPr>
              <w:t>0</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340" w:type="dxa"/>
            <w:vAlign w:val="bottom"/>
          </w:tcPr>
          <w:p>
            <w:pPr>
              <w:jc w:val="right"/>
              <w:spacing w:after="0"/>
              <w:rPr>
                <w:sz w:val="20"/>
                <w:szCs w:val="20"/>
                <w:color w:val="auto"/>
              </w:rPr>
            </w:pPr>
            <w:r>
              <w:rPr>
                <w:rFonts w:ascii="Arial" w:cs="Arial" w:eastAsia="Arial" w:hAnsi="Arial"/>
                <w:sz w:val="20"/>
                <w:szCs w:val="20"/>
                <w:color w:val="auto"/>
              </w:rPr>
              <w:t>$</w:t>
            </w:r>
          </w:p>
        </w:tc>
        <w:tc>
          <w:tcPr>
            <w:tcW w:w="68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480" w:type="dxa"/>
            <w:vAlign w:val="bottom"/>
          </w:tcPr>
          <w:p>
            <w:pPr>
              <w:jc w:val="right"/>
              <w:ind w:right="121"/>
              <w:spacing w:after="0"/>
              <w:rPr>
                <w:sz w:val="20"/>
                <w:szCs w:val="20"/>
                <w:color w:val="auto"/>
              </w:rPr>
            </w:pPr>
            <w:r>
              <w:rPr>
                <w:rFonts w:ascii="Arial" w:cs="Arial" w:eastAsia="Arial" w:hAnsi="Arial"/>
                <w:sz w:val="20"/>
                <w:szCs w:val="20"/>
                <w:color w:val="auto"/>
              </w:rPr>
              <w:t>0</w:t>
            </w:r>
          </w:p>
        </w:tc>
        <w:tc>
          <w:tcPr>
            <w:tcW w:w="720" w:type="dxa"/>
            <w:vAlign w:val="bottom"/>
          </w:tcPr>
          <w:p>
            <w:pPr>
              <w:ind w:left="24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6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480" w:type="dxa"/>
            <w:vAlign w:val="bottom"/>
          </w:tcPr>
          <w:p>
            <w:pPr>
              <w:jc w:val="right"/>
              <w:spacing w:after="0"/>
              <w:rPr>
                <w:sz w:val="20"/>
                <w:szCs w:val="20"/>
                <w:color w:val="auto"/>
              </w:rPr>
            </w:pPr>
            <w:r>
              <w:rPr>
                <w:rFonts w:ascii="Arial" w:cs="Arial" w:eastAsia="Arial" w:hAnsi="Arial"/>
                <w:sz w:val="20"/>
                <w:szCs w:val="20"/>
                <w:color w:val="auto"/>
              </w:rPr>
              <w:t>0</w:t>
            </w:r>
          </w:p>
        </w:tc>
        <w:tc>
          <w:tcPr>
            <w:tcW w:w="10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1580" w:type="dxa"/>
            <w:vAlign w:val="bottom"/>
            <w:shd w:val="clear" w:color="auto" w:fill="CFF0FC"/>
          </w:tcPr>
          <w:p>
            <w:pPr>
              <w:spacing w:after="0"/>
              <w:rPr>
                <w:sz w:val="20"/>
                <w:szCs w:val="20"/>
                <w:color w:val="auto"/>
              </w:rPr>
            </w:pPr>
            <w:r>
              <w:rPr>
                <w:rFonts w:ascii="Arial" w:cs="Arial" w:eastAsia="Arial" w:hAnsi="Arial"/>
                <w:sz w:val="20"/>
                <w:szCs w:val="20"/>
                <w:color w:val="auto"/>
                <w:w w:val="96"/>
              </w:rPr>
              <w:t>San Pedro Quarry</w:t>
            </w:r>
          </w:p>
        </w:tc>
        <w:tc>
          <w:tcPr>
            <w:tcW w:w="92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w w:val="92"/>
              </w:rPr>
              <w:t>4101337</w:t>
            </w:r>
          </w:p>
        </w:tc>
        <w:tc>
          <w:tcPr>
            <w:tcW w:w="700" w:type="dxa"/>
            <w:vAlign w:val="bottom"/>
            <w:shd w:val="clear" w:color="auto" w:fill="CFF0FC"/>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shd w:val="clear" w:color="auto" w:fill="CFF0FC"/>
          </w:tcPr>
          <w:p>
            <w:pPr>
              <w:jc w:val="right"/>
              <w:ind w:right="28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8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6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10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1580" w:type="dxa"/>
            <w:vAlign w:val="bottom"/>
          </w:tcPr>
          <w:p>
            <w:pPr>
              <w:spacing w:after="0"/>
              <w:rPr>
                <w:sz w:val="20"/>
                <w:szCs w:val="20"/>
                <w:color w:val="auto"/>
              </w:rPr>
            </w:pPr>
            <w:r>
              <w:rPr>
                <w:rFonts w:ascii="Arial" w:cs="Arial" w:eastAsia="Arial" w:hAnsi="Arial"/>
                <w:sz w:val="20"/>
                <w:szCs w:val="20"/>
                <w:color w:val="auto"/>
              </w:rPr>
              <w:t>Sawyer</w:t>
            </w:r>
          </w:p>
        </w:tc>
        <w:tc>
          <w:tcPr>
            <w:tcW w:w="920" w:type="dxa"/>
            <w:vAlign w:val="bottom"/>
          </w:tcPr>
          <w:p>
            <w:pPr>
              <w:jc w:val="right"/>
              <w:ind w:right="81"/>
              <w:spacing w:after="0"/>
              <w:rPr>
                <w:sz w:val="20"/>
                <w:szCs w:val="20"/>
                <w:color w:val="auto"/>
              </w:rPr>
            </w:pPr>
            <w:r>
              <w:rPr>
                <w:rFonts w:ascii="Arial" w:cs="Arial" w:eastAsia="Arial" w:hAnsi="Arial"/>
                <w:sz w:val="20"/>
                <w:szCs w:val="20"/>
                <w:color w:val="auto"/>
                <w:w w:val="92"/>
              </w:rPr>
              <w:t>3401634</w:t>
            </w:r>
          </w:p>
        </w:tc>
        <w:tc>
          <w:tcPr>
            <w:tcW w:w="700" w:type="dxa"/>
            <w:vAlign w:val="bottom"/>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tcPr>
          <w:p>
            <w:pPr>
              <w:jc w:val="right"/>
              <w:ind w:right="281"/>
              <w:spacing w:after="0"/>
              <w:rPr>
                <w:sz w:val="20"/>
                <w:szCs w:val="20"/>
                <w:color w:val="auto"/>
              </w:rPr>
            </w:pPr>
            <w:r>
              <w:rPr>
                <w:rFonts w:ascii="Arial" w:cs="Arial" w:eastAsia="Arial" w:hAnsi="Arial"/>
                <w:sz w:val="20"/>
                <w:szCs w:val="20"/>
                <w:color w:val="auto"/>
              </w:rPr>
              <w:t>0</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340" w:type="dxa"/>
            <w:vAlign w:val="bottom"/>
          </w:tcPr>
          <w:p>
            <w:pPr>
              <w:jc w:val="right"/>
              <w:spacing w:after="0"/>
              <w:rPr>
                <w:sz w:val="20"/>
                <w:szCs w:val="20"/>
                <w:color w:val="auto"/>
              </w:rPr>
            </w:pPr>
            <w:r>
              <w:rPr>
                <w:rFonts w:ascii="Arial" w:cs="Arial" w:eastAsia="Arial" w:hAnsi="Arial"/>
                <w:sz w:val="20"/>
                <w:szCs w:val="20"/>
                <w:color w:val="auto"/>
              </w:rPr>
              <w:t>$</w:t>
            </w:r>
          </w:p>
        </w:tc>
        <w:tc>
          <w:tcPr>
            <w:tcW w:w="68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480" w:type="dxa"/>
            <w:vAlign w:val="bottom"/>
          </w:tcPr>
          <w:p>
            <w:pPr>
              <w:jc w:val="right"/>
              <w:ind w:right="121"/>
              <w:spacing w:after="0"/>
              <w:rPr>
                <w:sz w:val="20"/>
                <w:szCs w:val="20"/>
                <w:color w:val="auto"/>
              </w:rPr>
            </w:pPr>
            <w:r>
              <w:rPr>
                <w:rFonts w:ascii="Arial" w:cs="Arial" w:eastAsia="Arial" w:hAnsi="Arial"/>
                <w:sz w:val="20"/>
                <w:szCs w:val="20"/>
                <w:color w:val="auto"/>
              </w:rPr>
              <w:t>0</w:t>
            </w:r>
          </w:p>
        </w:tc>
        <w:tc>
          <w:tcPr>
            <w:tcW w:w="720" w:type="dxa"/>
            <w:vAlign w:val="bottom"/>
          </w:tcPr>
          <w:p>
            <w:pPr>
              <w:ind w:left="24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6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480" w:type="dxa"/>
            <w:vAlign w:val="bottom"/>
          </w:tcPr>
          <w:p>
            <w:pPr>
              <w:jc w:val="right"/>
              <w:spacing w:after="0"/>
              <w:rPr>
                <w:sz w:val="20"/>
                <w:szCs w:val="20"/>
                <w:color w:val="auto"/>
              </w:rPr>
            </w:pPr>
            <w:r>
              <w:rPr>
                <w:rFonts w:ascii="Arial" w:cs="Arial" w:eastAsia="Arial" w:hAnsi="Arial"/>
                <w:sz w:val="20"/>
                <w:szCs w:val="20"/>
                <w:color w:val="auto"/>
              </w:rPr>
              <w:t>0</w:t>
            </w:r>
          </w:p>
        </w:tc>
        <w:tc>
          <w:tcPr>
            <w:tcW w:w="10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1580" w:type="dxa"/>
            <w:vAlign w:val="bottom"/>
            <w:shd w:val="clear" w:color="auto" w:fill="CFF0FC"/>
          </w:tcPr>
          <w:p>
            <w:pPr>
              <w:spacing w:after="0"/>
              <w:rPr>
                <w:sz w:val="20"/>
                <w:szCs w:val="20"/>
                <w:color w:val="auto"/>
              </w:rPr>
            </w:pPr>
            <w:r>
              <w:rPr>
                <w:rFonts w:ascii="Arial" w:cs="Arial" w:eastAsia="Arial" w:hAnsi="Arial"/>
                <w:sz w:val="20"/>
                <w:szCs w:val="20"/>
                <w:color w:val="auto"/>
              </w:rPr>
              <w:t>Snyder</w:t>
            </w:r>
          </w:p>
        </w:tc>
        <w:tc>
          <w:tcPr>
            <w:tcW w:w="92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w w:val="92"/>
              </w:rPr>
              <w:t>3401651</w:t>
            </w:r>
          </w:p>
        </w:tc>
        <w:tc>
          <w:tcPr>
            <w:tcW w:w="700" w:type="dxa"/>
            <w:vAlign w:val="bottom"/>
            <w:shd w:val="clear" w:color="auto" w:fill="CFF0FC"/>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shd w:val="clear" w:color="auto" w:fill="CFF0FC"/>
          </w:tcPr>
          <w:p>
            <w:pPr>
              <w:jc w:val="right"/>
              <w:ind w:right="28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8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6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10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26"/>
        </w:trPr>
        <w:tc>
          <w:tcPr>
            <w:tcW w:w="1580" w:type="dxa"/>
            <w:vAlign w:val="bottom"/>
          </w:tcPr>
          <w:p>
            <w:pPr>
              <w:spacing w:after="0" w:line="227" w:lineRule="exact"/>
              <w:rPr>
                <w:sz w:val="20"/>
                <w:szCs w:val="20"/>
                <w:color w:val="auto"/>
              </w:rPr>
            </w:pPr>
            <w:r>
              <w:rPr>
                <w:rFonts w:ascii="Arial" w:cs="Arial" w:eastAsia="Arial" w:hAnsi="Arial"/>
                <w:sz w:val="20"/>
                <w:szCs w:val="20"/>
                <w:color w:val="auto"/>
              </w:rPr>
              <w:t>South Texas Port</w:t>
            </w: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6"/>
        </w:trPr>
        <w:tc>
          <w:tcPr>
            <w:tcW w:w="1580" w:type="dxa"/>
            <w:vAlign w:val="bottom"/>
          </w:tcPr>
          <w:p>
            <w:pPr>
              <w:spacing w:after="0"/>
              <w:rPr>
                <w:sz w:val="20"/>
                <w:szCs w:val="20"/>
                <w:color w:val="auto"/>
              </w:rPr>
            </w:pPr>
            <w:r>
              <w:rPr>
                <w:rFonts w:ascii="Arial" w:cs="Arial" w:eastAsia="Arial" w:hAnsi="Arial"/>
                <w:sz w:val="20"/>
                <w:szCs w:val="20"/>
                <w:color w:val="auto"/>
              </w:rPr>
              <w:t>No.2</w:t>
            </w:r>
          </w:p>
        </w:tc>
        <w:tc>
          <w:tcPr>
            <w:tcW w:w="920" w:type="dxa"/>
            <w:vAlign w:val="bottom"/>
          </w:tcPr>
          <w:p>
            <w:pPr>
              <w:jc w:val="right"/>
              <w:ind w:right="81"/>
              <w:spacing w:after="0"/>
              <w:rPr>
                <w:sz w:val="20"/>
                <w:szCs w:val="20"/>
                <w:color w:val="auto"/>
              </w:rPr>
            </w:pPr>
            <w:r>
              <w:rPr>
                <w:rFonts w:ascii="Arial" w:cs="Arial" w:eastAsia="Arial" w:hAnsi="Arial"/>
                <w:sz w:val="20"/>
                <w:szCs w:val="20"/>
                <w:color w:val="auto"/>
                <w:w w:val="92"/>
              </w:rPr>
              <w:t>4104204</w:t>
            </w:r>
          </w:p>
        </w:tc>
        <w:tc>
          <w:tcPr>
            <w:tcW w:w="700" w:type="dxa"/>
            <w:vAlign w:val="bottom"/>
          </w:tcPr>
          <w:p>
            <w:pPr>
              <w:jc w:val="right"/>
              <w:ind w:right="301"/>
              <w:spacing w:after="0"/>
              <w:rPr>
                <w:sz w:val="20"/>
                <w:szCs w:val="20"/>
                <w:color w:val="auto"/>
              </w:rPr>
            </w:pPr>
            <w:r>
              <w:rPr>
                <w:rFonts w:ascii="Arial" w:cs="Arial" w:eastAsia="Arial" w:hAnsi="Arial"/>
                <w:sz w:val="20"/>
                <w:szCs w:val="20"/>
                <w:color w:val="auto"/>
              </w:rPr>
              <w:t>1</w:t>
            </w:r>
          </w:p>
        </w:tc>
        <w:tc>
          <w:tcPr>
            <w:tcW w:w="880" w:type="dxa"/>
            <w:vAlign w:val="bottom"/>
          </w:tcPr>
          <w:p>
            <w:pPr>
              <w:jc w:val="right"/>
              <w:ind w:right="281"/>
              <w:spacing w:after="0"/>
              <w:rPr>
                <w:sz w:val="20"/>
                <w:szCs w:val="20"/>
                <w:color w:val="auto"/>
              </w:rPr>
            </w:pPr>
            <w:r>
              <w:rPr>
                <w:rFonts w:ascii="Arial" w:cs="Arial" w:eastAsia="Arial" w:hAnsi="Arial"/>
                <w:sz w:val="20"/>
                <w:szCs w:val="20"/>
                <w:color w:val="auto"/>
              </w:rPr>
              <w:t>0</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340" w:type="dxa"/>
            <w:vAlign w:val="bottom"/>
          </w:tcPr>
          <w:p>
            <w:pPr>
              <w:jc w:val="right"/>
              <w:spacing w:after="0"/>
              <w:rPr>
                <w:sz w:val="20"/>
                <w:szCs w:val="20"/>
                <w:color w:val="auto"/>
              </w:rPr>
            </w:pPr>
            <w:r>
              <w:rPr>
                <w:rFonts w:ascii="Arial" w:cs="Arial" w:eastAsia="Arial" w:hAnsi="Arial"/>
                <w:sz w:val="20"/>
                <w:szCs w:val="20"/>
                <w:color w:val="auto"/>
              </w:rPr>
              <w:t>$</w:t>
            </w:r>
          </w:p>
        </w:tc>
        <w:tc>
          <w:tcPr>
            <w:tcW w:w="680" w:type="dxa"/>
            <w:vAlign w:val="bottom"/>
          </w:tcPr>
          <w:p>
            <w:pPr>
              <w:jc w:val="right"/>
              <w:ind w:right="41"/>
              <w:spacing w:after="0"/>
              <w:rPr>
                <w:sz w:val="20"/>
                <w:szCs w:val="20"/>
                <w:color w:val="auto"/>
              </w:rPr>
            </w:pPr>
            <w:r>
              <w:rPr>
                <w:rFonts w:ascii="Arial" w:cs="Arial" w:eastAsia="Arial" w:hAnsi="Arial"/>
                <w:sz w:val="20"/>
                <w:szCs w:val="20"/>
                <w:color w:val="auto"/>
              </w:rPr>
              <w:t>510</w:t>
            </w:r>
          </w:p>
        </w:tc>
        <w:tc>
          <w:tcPr>
            <w:tcW w:w="480" w:type="dxa"/>
            <w:vAlign w:val="bottom"/>
          </w:tcPr>
          <w:p>
            <w:pPr>
              <w:jc w:val="right"/>
              <w:ind w:right="121"/>
              <w:spacing w:after="0"/>
              <w:rPr>
                <w:sz w:val="20"/>
                <w:szCs w:val="20"/>
                <w:color w:val="auto"/>
              </w:rPr>
            </w:pPr>
            <w:r>
              <w:rPr>
                <w:rFonts w:ascii="Arial" w:cs="Arial" w:eastAsia="Arial" w:hAnsi="Arial"/>
                <w:sz w:val="20"/>
                <w:szCs w:val="20"/>
                <w:color w:val="auto"/>
              </w:rPr>
              <w:t>0</w:t>
            </w:r>
          </w:p>
        </w:tc>
        <w:tc>
          <w:tcPr>
            <w:tcW w:w="720" w:type="dxa"/>
            <w:vAlign w:val="bottom"/>
          </w:tcPr>
          <w:p>
            <w:pPr>
              <w:ind w:left="24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6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480" w:type="dxa"/>
            <w:vAlign w:val="bottom"/>
          </w:tcPr>
          <w:p>
            <w:pPr>
              <w:jc w:val="right"/>
              <w:spacing w:after="0"/>
              <w:rPr>
                <w:sz w:val="20"/>
                <w:szCs w:val="20"/>
                <w:color w:val="auto"/>
              </w:rPr>
            </w:pPr>
            <w:r>
              <w:rPr>
                <w:rFonts w:ascii="Arial" w:cs="Arial" w:eastAsia="Arial" w:hAnsi="Arial"/>
                <w:sz w:val="20"/>
                <w:szCs w:val="20"/>
                <w:color w:val="auto"/>
              </w:rPr>
              <w:t>0</w:t>
            </w:r>
          </w:p>
        </w:tc>
        <w:tc>
          <w:tcPr>
            <w:tcW w:w="10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1580" w:type="dxa"/>
            <w:vAlign w:val="bottom"/>
            <w:shd w:val="clear" w:color="auto" w:fill="CFF0FC"/>
          </w:tcPr>
          <w:p>
            <w:pPr>
              <w:spacing w:after="0"/>
              <w:rPr>
                <w:sz w:val="20"/>
                <w:szCs w:val="20"/>
                <w:color w:val="auto"/>
              </w:rPr>
            </w:pPr>
            <w:r>
              <w:rPr>
                <w:rFonts w:ascii="Arial" w:cs="Arial" w:eastAsia="Arial" w:hAnsi="Arial"/>
                <w:sz w:val="20"/>
                <w:szCs w:val="20"/>
                <w:color w:val="auto"/>
              </w:rPr>
              <w:t>Tin Top SG TXI</w:t>
            </w:r>
          </w:p>
        </w:tc>
        <w:tc>
          <w:tcPr>
            <w:tcW w:w="92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w w:val="92"/>
              </w:rPr>
              <w:t>4102852</w:t>
            </w:r>
          </w:p>
        </w:tc>
        <w:tc>
          <w:tcPr>
            <w:tcW w:w="700" w:type="dxa"/>
            <w:vAlign w:val="bottom"/>
            <w:shd w:val="clear" w:color="auto" w:fill="CFF0FC"/>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shd w:val="clear" w:color="auto" w:fill="CFF0FC"/>
          </w:tcPr>
          <w:p>
            <w:pPr>
              <w:jc w:val="right"/>
              <w:ind w:right="28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8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6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10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1580" w:type="dxa"/>
            <w:vAlign w:val="bottom"/>
          </w:tcPr>
          <w:p>
            <w:pPr>
              <w:spacing w:after="0"/>
              <w:rPr>
                <w:sz w:val="20"/>
                <w:szCs w:val="20"/>
                <w:color w:val="auto"/>
              </w:rPr>
            </w:pPr>
            <w:r>
              <w:rPr>
                <w:rFonts w:ascii="Arial" w:cs="Arial" w:eastAsia="Arial" w:hAnsi="Arial"/>
                <w:sz w:val="20"/>
                <w:szCs w:val="20"/>
                <w:color w:val="auto"/>
              </w:rPr>
              <w:t>Washita Quarry</w:t>
            </w:r>
          </w:p>
        </w:tc>
        <w:tc>
          <w:tcPr>
            <w:tcW w:w="920" w:type="dxa"/>
            <w:vAlign w:val="bottom"/>
          </w:tcPr>
          <w:p>
            <w:pPr>
              <w:jc w:val="right"/>
              <w:ind w:right="81"/>
              <w:spacing w:after="0"/>
              <w:rPr>
                <w:sz w:val="20"/>
                <w:szCs w:val="20"/>
                <w:color w:val="auto"/>
              </w:rPr>
            </w:pPr>
            <w:r>
              <w:rPr>
                <w:rFonts w:ascii="Arial" w:cs="Arial" w:eastAsia="Arial" w:hAnsi="Arial"/>
                <w:sz w:val="20"/>
                <w:szCs w:val="20"/>
                <w:color w:val="auto"/>
                <w:w w:val="92"/>
              </w:rPr>
              <w:t>3402049</w:t>
            </w:r>
          </w:p>
        </w:tc>
        <w:tc>
          <w:tcPr>
            <w:tcW w:w="700" w:type="dxa"/>
            <w:vAlign w:val="bottom"/>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tcPr>
          <w:p>
            <w:pPr>
              <w:jc w:val="right"/>
              <w:ind w:right="281"/>
              <w:spacing w:after="0"/>
              <w:rPr>
                <w:sz w:val="20"/>
                <w:szCs w:val="20"/>
                <w:color w:val="auto"/>
              </w:rPr>
            </w:pPr>
            <w:r>
              <w:rPr>
                <w:rFonts w:ascii="Arial" w:cs="Arial" w:eastAsia="Arial" w:hAnsi="Arial"/>
                <w:sz w:val="20"/>
                <w:szCs w:val="20"/>
                <w:color w:val="auto"/>
              </w:rPr>
              <w:t>0</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340" w:type="dxa"/>
            <w:vAlign w:val="bottom"/>
          </w:tcPr>
          <w:p>
            <w:pPr>
              <w:jc w:val="right"/>
              <w:spacing w:after="0"/>
              <w:rPr>
                <w:sz w:val="20"/>
                <w:szCs w:val="20"/>
                <w:color w:val="auto"/>
              </w:rPr>
            </w:pPr>
            <w:r>
              <w:rPr>
                <w:rFonts w:ascii="Arial" w:cs="Arial" w:eastAsia="Arial" w:hAnsi="Arial"/>
                <w:sz w:val="20"/>
                <w:szCs w:val="20"/>
                <w:color w:val="auto"/>
              </w:rPr>
              <w:t>$</w:t>
            </w:r>
          </w:p>
        </w:tc>
        <w:tc>
          <w:tcPr>
            <w:tcW w:w="68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480" w:type="dxa"/>
            <w:vAlign w:val="bottom"/>
          </w:tcPr>
          <w:p>
            <w:pPr>
              <w:jc w:val="right"/>
              <w:ind w:right="121"/>
              <w:spacing w:after="0"/>
              <w:rPr>
                <w:sz w:val="20"/>
                <w:szCs w:val="20"/>
                <w:color w:val="auto"/>
              </w:rPr>
            </w:pPr>
            <w:r>
              <w:rPr>
                <w:rFonts w:ascii="Arial" w:cs="Arial" w:eastAsia="Arial" w:hAnsi="Arial"/>
                <w:sz w:val="20"/>
                <w:szCs w:val="20"/>
                <w:color w:val="auto"/>
              </w:rPr>
              <w:t>0</w:t>
            </w:r>
          </w:p>
        </w:tc>
        <w:tc>
          <w:tcPr>
            <w:tcW w:w="720" w:type="dxa"/>
            <w:vAlign w:val="bottom"/>
          </w:tcPr>
          <w:p>
            <w:pPr>
              <w:ind w:left="24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6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480" w:type="dxa"/>
            <w:vAlign w:val="bottom"/>
          </w:tcPr>
          <w:p>
            <w:pPr>
              <w:jc w:val="right"/>
              <w:spacing w:after="0"/>
              <w:rPr>
                <w:sz w:val="20"/>
                <w:szCs w:val="20"/>
                <w:color w:val="auto"/>
              </w:rPr>
            </w:pPr>
            <w:r>
              <w:rPr>
                <w:rFonts w:ascii="Arial" w:cs="Arial" w:eastAsia="Arial" w:hAnsi="Arial"/>
                <w:sz w:val="20"/>
                <w:szCs w:val="20"/>
                <w:color w:val="auto"/>
              </w:rPr>
              <w:t>0</w:t>
            </w:r>
          </w:p>
        </w:tc>
        <w:tc>
          <w:tcPr>
            <w:tcW w:w="10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1580" w:type="dxa"/>
            <w:vAlign w:val="bottom"/>
            <w:shd w:val="clear" w:color="auto" w:fill="CFF0FC"/>
          </w:tcPr>
          <w:p>
            <w:pPr>
              <w:spacing w:after="0"/>
              <w:rPr>
                <w:sz w:val="20"/>
                <w:szCs w:val="20"/>
                <w:color w:val="auto"/>
              </w:rPr>
            </w:pPr>
            <w:r>
              <w:rPr>
                <w:rFonts w:ascii="Arial" w:cs="Arial" w:eastAsia="Arial" w:hAnsi="Arial"/>
                <w:sz w:val="20"/>
                <w:szCs w:val="20"/>
                <w:color w:val="auto"/>
              </w:rPr>
              <w:t>Webberville TXI</w:t>
            </w:r>
          </w:p>
        </w:tc>
        <w:tc>
          <w:tcPr>
            <w:tcW w:w="92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w w:val="92"/>
              </w:rPr>
              <w:t>4104363</w:t>
            </w:r>
          </w:p>
        </w:tc>
        <w:tc>
          <w:tcPr>
            <w:tcW w:w="700" w:type="dxa"/>
            <w:vAlign w:val="bottom"/>
            <w:shd w:val="clear" w:color="auto" w:fill="CFF0FC"/>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shd w:val="clear" w:color="auto" w:fill="CFF0FC"/>
          </w:tcPr>
          <w:p>
            <w:pPr>
              <w:jc w:val="right"/>
              <w:ind w:right="28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8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6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10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26"/>
        </w:trPr>
        <w:tc>
          <w:tcPr>
            <w:tcW w:w="1580" w:type="dxa"/>
            <w:vAlign w:val="bottom"/>
          </w:tcPr>
          <w:p>
            <w:pPr>
              <w:spacing w:after="0" w:line="227" w:lineRule="exact"/>
              <w:rPr>
                <w:sz w:val="20"/>
                <w:szCs w:val="20"/>
                <w:color w:val="auto"/>
              </w:rPr>
            </w:pPr>
            <w:r>
              <w:rPr>
                <w:rFonts w:ascii="Arial" w:cs="Arial" w:eastAsia="Arial" w:hAnsi="Arial"/>
                <w:sz w:val="20"/>
                <w:szCs w:val="20"/>
                <w:color w:val="auto"/>
              </w:rPr>
              <w:t>Woodworth</w:t>
            </w: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6"/>
        </w:trPr>
        <w:tc>
          <w:tcPr>
            <w:tcW w:w="1580" w:type="dxa"/>
            <w:vAlign w:val="bottom"/>
          </w:tcPr>
          <w:p>
            <w:pPr>
              <w:spacing w:after="0"/>
              <w:rPr>
                <w:sz w:val="20"/>
                <w:szCs w:val="20"/>
                <w:color w:val="auto"/>
              </w:rPr>
            </w:pPr>
            <w:r>
              <w:rPr>
                <w:rFonts w:ascii="Arial" w:cs="Arial" w:eastAsia="Arial" w:hAnsi="Arial"/>
                <w:sz w:val="20"/>
                <w:szCs w:val="20"/>
                <w:color w:val="auto"/>
              </w:rPr>
              <w:t>Aggregates TXI</w:t>
            </w:r>
          </w:p>
        </w:tc>
        <w:tc>
          <w:tcPr>
            <w:tcW w:w="920" w:type="dxa"/>
            <w:vAlign w:val="bottom"/>
          </w:tcPr>
          <w:p>
            <w:pPr>
              <w:jc w:val="right"/>
              <w:ind w:right="81"/>
              <w:spacing w:after="0"/>
              <w:rPr>
                <w:sz w:val="20"/>
                <w:szCs w:val="20"/>
                <w:color w:val="auto"/>
              </w:rPr>
            </w:pPr>
            <w:r>
              <w:rPr>
                <w:rFonts w:ascii="Arial" w:cs="Arial" w:eastAsia="Arial" w:hAnsi="Arial"/>
                <w:sz w:val="20"/>
                <w:szCs w:val="20"/>
                <w:color w:val="auto"/>
                <w:w w:val="92"/>
              </w:rPr>
              <w:t>1601070</w:t>
            </w:r>
          </w:p>
        </w:tc>
        <w:tc>
          <w:tcPr>
            <w:tcW w:w="700" w:type="dxa"/>
            <w:vAlign w:val="bottom"/>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tcPr>
          <w:p>
            <w:pPr>
              <w:jc w:val="right"/>
              <w:ind w:right="281"/>
              <w:spacing w:after="0"/>
              <w:rPr>
                <w:sz w:val="20"/>
                <w:szCs w:val="20"/>
                <w:color w:val="auto"/>
              </w:rPr>
            </w:pPr>
            <w:r>
              <w:rPr>
                <w:rFonts w:ascii="Arial" w:cs="Arial" w:eastAsia="Arial" w:hAnsi="Arial"/>
                <w:sz w:val="20"/>
                <w:szCs w:val="20"/>
                <w:color w:val="auto"/>
              </w:rPr>
              <w:t>0</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340" w:type="dxa"/>
            <w:vAlign w:val="bottom"/>
          </w:tcPr>
          <w:p>
            <w:pPr>
              <w:jc w:val="right"/>
              <w:spacing w:after="0"/>
              <w:rPr>
                <w:sz w:val="20"/>
                <w:szCs w:val="20"/>
                <w:color w:val="auto"/>
              </w:rPr>
            </w:pPr>
            <w:r>
              <w:rPr>
                <w:rFonts w:ascii="Arial" w:cs="Arial" w:eastAsia="Arial" w:hAnsi="Arial"/>
                <w:sz w:val="20"/>
                <w:szCs w:val="20"/>
                <w:color w:val="auto"/>
              </w:rPr>
              <w:t>$</w:t>
            </w:r>
          </w:p>
        </w:tc>
        <w:tc>
          <w:tcPr>
            <w:tcW w:w="680" w:type="dxa"/>
            <w:vAlign w:val="bottom"/>
          </w:tcPr>
          <w:p>
            <w:pPr>
              <w:jc w:val="right"/>
              <w:ind w:right="41"/>
              <w:spacing w:after="0"/>
              <w:rPr>
                <w:sz w:val="20"/>
                <w:szCs w:val="20"/>
                <w:color w:val="auto"/>
              </w:rPr>
            </w:pPr>
            <w:r>
              <w:rPr>
                <w:rFonts w:ascii="Arial" w:cs="Arial" w:eastAsia="Arial" w:hAnsi="Arial"/>
                <w:sz w:val="20"/>
                <w:szCs w:val="20"/>
                <w:color w:val="auto"/>
              </w:rPr>
              <w:t>200</w:t>
            </w:r>
          </w:p>
        </w:tc>
        <w:tc>
          <w:tcPr>
            <w:tcW w:w="480" w:type="dxa"/>
            <w:vAlign w:val="bottom"/>
          </w:tcPr>
          <w:p>
            <w:pPr>
              <w:jc w:val="right"/>
              <w:ind w:right="121"/>
              <w:spacing w:after="0"/>
              <w:rPr>
                <w:sz w:val="20"/>
                <w:szCs w:val="20"/>
                <w:color w:val="auto"/>
              </w:rPr>
            </w:pPr>
            <w:r>
              <w:rPr>
                <w:rFonts w:ascii="Arial" w:cs="Arial" w:eastAsia="Arial" w:hAnsi="Arial"/>
                <w:sz w:val="20"/>
                <w:szCs w:val="20"/>
                <w:color w:val="auto"/>
              </w:rPr>
              <w:t>0</w:t>
            </w:r>
          </w:p>
        </w:tc>
        <w:tc>
          <w:tcPr>
            <w:tcW w:w="720" w:type="dxa"/>
            <w:vAlign w:val="bottom"/>
          </w:tcPr>
          <w:p>
            <w:pPr>
              <w:ind w:left="24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60" w:type="dxa"/>
            <w:vAlign w:val="bottom"/>
          </w:tcPr>
          <w:p>
            <w:pPr>
              <w:jc w:val="right"/>
              <w:ind w:right="221"/>
              <w:spacing w:after="0"/>
              <w:rPr>
                <w:sz w:val="20"/>
                <w:szCs w:val="20"/>
                <w:color w:val="auto"/>
              </w:rPr>
            </w:pPr>
            <w:r>
              <w:rPr>
                <w:rFonts w:ascii="Arial" w:cs="Arial" w:eastAsia="Arial" w:hAnsi="Arial"/>
                <w:sz w:val="20"/>
                <w:szCs w:val="20"/>
                <w:color w:val="auto"/>
              </w:rPr>
              <w:t>1</w:t>
            </w:r>
          </w:p>
        </w:tc>
        <w:tc>
          <w:tcPr>
            <w:tcW w:w="480" w:type="dxa"/>
            <w:vAlign w:val="bottom"/>
          </w:tcPr>
          <w:p>
            <w:pPr>
              <w:jc w:val="right"/>
              <w:spacing w:after="0"/>
              <w:rPr>
                <w:sz w:val="20"/>
                <w:szCs w:val="20"/>
                <w:color w:val="auto"/>
              </w:rPr>
            </w:pPr>
            <w:r>
              <w:rPr>
                <w:rFonts w:ascii="Arial" w:cs="Arial" w:eastAsia="Arial" w:hAnsi="Arial"/>
                <w:sz w:val="20"/>
                <w:szCs w:val="20"/>
                <w:color w:val="auto"/>
              </w:rPr>
              <w:t>1</w:t>
            </w:r>
          </w:p>
        </w:tc>
        <w:tc>
          <w:tcPr>
            <w:tcW w:w="10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26"/>
        </w:trPr>
        <w:tc>
          <w:tcPr>
            <w:tcW w:w="158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w w:val="98"/>
              </w:rPr>
              <w:t>Cottonwood Sand</w:t>
            </w:r>
          </w:p>
        </w:tc>
        <w:tc>
          <w:tcPr>
            <w:tcW w:w="9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46"/>
        </w:trPr>
        <w:tc>
          <w:tcPr>
            <w:tcW w:w="1580" w:type="dxa"/>
            <w:vAlign w:val="bottom"/>
            <w:shd w:val="clear" w:color="auto" w:fill="CFF0FC"/>
          </w:tcPr>
          <w:p>
            <w:pPr>
              <w:spacing w:after="0"/>
              <w:rPr>
                <w:sz w:val="20"/>
                <w:szCs w:val="20"/>
                <w:color w:val="auto"/>
              </w:rPr>
            </w:pPr>
            <w:r>
              <w:rPr>
                <w:rFonts w:ascii="Arial" w:cs="Arial" w:eastAsia="Arial" w:hAnsi="Arial"/>
                <w:sz w:val="20"/>
                <w:szCs w:val="20"/>
                <w:color w:val="auto"/>
              </w:rPr>
              <w:t>and Gravel</w:t>
            </w:r>
          </w:p>
        </w:tc>
        <w:tc>
          <w:tcPr>
            <w:tcW w:w="92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504418</w:t>
            </w:r>
          </w:p>
        </w:tc>
        <w:tc>
          <w:tcPr>
            <w:tcW w:w="700" w:type="dxa"/>
            <w:vAlign w:val="bottom"/>
            <w:shd w:val="clear" w:color="auto" w:fill="CFF0FC"/>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shd w:val="clear" w:color="auto" w:fill="CFF0FC"/>
          </w:tcPr>
          <w:p>
            <w:pPr>
              <w:jc w:val="right"/>
              <w:ind w:right="28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8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6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10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26"/>
        </w:trPr>
        <w:tc>
          <w:tcPr>
            <w:tcW w:w="1580" w:type="dxa"/>
            <w:vAlign w:val="bottom"/>
          </w:tcPr>
          <w:p>
            <w:pPr>
              <w:spacing w:after="0" w:line="227" w:lineRule="exact"/>
              <w:rPr>
                <w:sz w:val="20"/>
                <w:szCs w:val="20"/>
                <w:color w:val="auto"/>
              </w:rPr>
            </w:pPr>
            <w:r>
              <w:rPr>
                <w:rFonts w:ascii="Arial" w:cs="Arial" w:eastAsia="Arial" w:hAnsi="Arial"/>
                <w:sz w:val="20"/>
                <w:szCs w:val="20"/>
                <w:color w:val="auto"/>
                <w:w w:val="92"/>
              </w:rPr>
              <w:t>Fountain Sand and</w:t>
            </w: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6"/>
        </w:trPr>
        <w:tc>
          <w:tcPr>
            <w:tcW w:w="1580" w:type="dxa"/>
            <w:vAlign w:val="bottom"/>
          </w:tcPr>
          <w:p>
            <w:pPr>
              <w:spacing w:after="0"/>
              <w:rPr>
                <w:sz w:val="20"/>
                <w:szCs w:val="20"/>
                <w:color w:val="auto"/>
              </w:rPr>
            </w:pPr>
            <w:r>
              <w:rPr>
                <w:rFonts w:ascii="Arial" w:cs="Arial" w:eastAsia="Arial" w:hAnsi="Arial"/>
                <w:sz w:val="20"/>
                <w:szCs w:val="20"/>
                <w:color w:val="auto"/>
              </w:rPr>
              <w:t>Gravel</w:t>
            </w:r>
          </w:p>
        </w:tc>
        <w:tc>
          <w:tcPr>
            <w:tcW w:w="920" w:type="dxa"/>
            <w:vAlign w:val="bottom"/>
          </w:tcPr>
          <w:p>
            <w:pPr>
              <w:jc w:val="right"/>
              <w:ind w:right="81"/>
              <w:spacing w:after="0"/>
              <w:rPr>
                <w:sz w:val="20"/>
                <w:szCs w:val="20"/>
                <w:color w:val="auto"/>
              </w:rPr>
            </w:pPr>
            <w:r>
              <w:rPr>
                <w:rFonts w:ascii="Arial" w:cs="Arial" w:eastAsia="Arial" w:hAnsi="Arial"/>
                <w:sz w:val="20"/>
                <w:szCs w:val="20"/>
                <w:color w:val="auto"/>
              </w:rPr>
              <w:t>503821</w:t>
            </w:r>
          </w:p>
        </w:tc>
        <w:tc>
          <w:tcPr>
            <w:tcW w:w="700" w:type="dxa"/>
            <w:vAlign w:val="bottom"/>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tcPr>
          <w:p>
            <w:pPr>
              <w:jc w:val="right"/>
              <w:ind w:right="281"/>
              <w:spacing w:after="0"/>
              <w:rPr>
                <w:sz w:val="20"/>
                <w:szCs w:val="20"/>
                <w:color w:val="auto"/>
              </w:rPr>
            </w:pPr>
            <w:r>
              <w:rPr>
                <w:rFonts w:ascii="Arial" w:cs="Arial" w:eastAsia="Arial" w:hAnsi="Arial"/>
                <w:sz w:val="20"/>
                <w:szCs w:val="20"/>
                <w:color w:val="auto"/>
              </w:rPr>
              <w:t>0</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340" w:type="dxa"/>
            <w:vAlign w:val="bottom"/>
          </w:tcPr>
          <w:p>
            <w:pPr>
              <w:jc w:val="right"/>
              <w:spacing w:after="0"/>
              <w:rPr>
                <w:sz w:val="20"/>
                <w:szCs w:val="20"/>
                <w:color w:val="auto"/>
              </w:rPr>
            </w:pPr>
            <w:r>
              <w:rPr>
                <w:rFonts w:ascii="Arial" w:cs="Arial" w:eastAsia="Arial" w:hAnsi="Arial"/>
                <w:sz w:val="20"/>
                <w:szCs w:val="20"/>
                <w:color w:val="auto"/>
              </w:rPr>
              <w:t>$</w:t>
            </w:r>
          </w:p>
        </w:tc>
        <w:tc>
          <w:tcPr>
            <w:tcW w:w="68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480" w:type="dxa"/>
            <w:vAlign w:val="bottom"/>
          </w:tcPr>
          <w:p>
            <w:pPr>
              <w:jc w:val="right"/>
              <w:ind w:right="121"/>
              <w:spacing w:after="0"/>
              <w:rPr>
                <w:sz w:val="20"/>
                <w:szCs w:val="20"/>
                <w:color w:val="auto"/>
              </w:rPr>
            </w:pPr>
            <w:r>
              <w:rPr>
                <w:rFonts w:ascii="Arial" w:cs="Arial" w:eastAsia="Arial" w:hAnsi="Arial"/>
                <w:sz w:val="20"/>
                <w:szCs w:val="20"/>
                <w:color w:val="auto"/>
              </w:rPr>
              <w:t>0</w:t>
            </w:r>
          </w:p>
        </w:tc>
        <w:tc>
          <w:tcPr>
            <w:tcW w:w="720" w:type="dxa"/>
            <w:vAlign w:val="bottom"/>
          </w:tcPr>
          <w:p>
            <w:pPr>
              <w:ind w:left="24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6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480" w:type="dxa"/>
            <w:vAlign w:val="bottom"/>
          </w:tcPr>
          <w:p>
            <w:pPr>
              <w:jc w:val="right"/>
              <w:spacing w:after="0"/>
              <w:rPr>
                <w:sz w:val="20"/>
                <w:szCs w:val="20"/>
                <w:color w:val="auto"/>
              </w:rPr>
            </w:pPr>
            <w:r>
              <w:rPr>
                <w:rFonts w:ascii="Arial" w:cs="Arial" w:eastAsia="Arial" w:hAnsi="Arial"/>
                <w:sz w:val="20"/>
                <w:szCs w:val="20"/>
                <w:color w:val="auto"/>
              </w:rPr>
              <w:t>0</w:t>
            </w:r>
          </w:p>
        </w:tc>
        <w:tc>
          <w:tcPr>
            <w:tcW w:w="10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26"/>
        </w:trPr>
        <w:tc>
          <w:tcPr>
            <w:tcW w:w="158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rPr>
              <w:t>Granite Canyon</w:t>
            </w:r>
          </w:p>
        </w:tc>
        <w:tc>
          <w:tcPr>
            <w:tcW w:w="9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46"/>
        </w:trPr>
        <w:tc>
          <w:tcPr>
            <w:tcW w:w="1580" w:type="dxa"/>
            <w:vAlign w:val="bottom"/>
            <w:shd w:val="clear" w:color="auto" w:fill="CFF0FC"/>
          </w:tcPr>
          <w:p>
            <w:pPr>
              <w:spacing w:after="0"/>
              <w:rPr>
                <w:sz w:val="20"/>
                <w:szCs w:val="20"/>
                <w:color w:val="auto"/>
              </w:rPr>
            </w:pPr>
            <w:r>
              <w:rPr>
                <w:rFonts w:ascii="Arial" w:cs="Arial" w:eastAsia="Arial" w:hAnsi="Arial"/>
                <w:sz w:val="20"/>
                <w:szCs w:val="20"/>
                <w:color w:val="auto"/>
              </w:rPr>
              <w:t>Quarry</w:t>
            </w:r>
          </w:p>
        </w:tc>
        <w:tc>
          <w:tcPr>
            <w:tcW w:w="92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w w:val="92"/>
              </w:rPr>
              <w:t>4800018</w:t>
            </w:r>
          </w:p>
        </w:tc>
        <w:tc>
          <w:tcPr>
            <w:tcW w:w="700" w:type="dxa"/>
            <w:vAlign w:val="bottom"/>
            <w:shd w:val="clear" w:color="auto" w:fill="CFF0FC"/>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shd w:val="clear" w:color="auto" w:fill="CFF0FC"/>
          </w:tcPr>
          <w:p>
            <w:pPr>
              <w:jc w:val="right"/>
              <w:ind w:right="28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8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6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10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26"/>
        </w:trPr>
        <w:tc>
          <w:tcPr>
            <w:tcW w:w="1580" w:type="dxa"/>
            <w:vAlign w:val="bottom"/>
          </w:tcPr>
          <w:p>
            <w:pPr>
              <w:spacing w:after="0" w:line="227" w:lineRule="exact"/>
              <w:rPr>
                <w:sz w:val="20"/>
                <w:szCs w:val="20"/>
                <w:color w:val="auto"/>
              </w:rPr>
            </w:pPr>
            <w:r>
              <w:rPr>
                <w:rFonts w:ascii="Arial" w:cs="Arial" w:eastAsia="Arial" w:hAnsi="Arial"/>
                <w:sz w:val="20"/>
                <w:szCs w:val="20"/>
                <w:color w:val="auto"/>
              </w:rPr>
              <w:t>Greeley 35th</w:t>
            </w: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6"/>
        </w:trPr>
        <w:tc>
          <w:tcPr>
            <w:tcW w:w="1580" w:type="dxa"/>
            <w:vAlign w:val="bottom"/>
          </w:tcPr>
          <w:p>
            <w:pPr>
              <w:spacing w:after="0"/>
              <w:rPr>
                <w:sz w:val="20"/>
                <w:szCs w:val="20"/>
                <w:color w:val="auto"/>
              </w:rPr>
            </w:pPr>
            <w:r>
              <w:rPr>
                <w:rFonts w:ascii="Arial" w:cs="Arial" w:eastAsia="Arial" w:hAnsi="Arial"/>
                <w:sz w:val="20"/>
                <w:szCs w:val="20"/>
                <w:color w:val="auto"/>
              </w:rPr>
              <w:t>Ready Mix</w:t>
            </w:r>
          </w:p>
        </w:tc>
        <w:tc>
          <w:tcPr>
            <w:tcW w:w="920" w:type="dxa"/>
            <w:vAlign w:val="bottom"/>
          </w:tcPr>
          <w:p>
            <w:pPr>
              <w:jc w:val="right"/>
              <w:ind w:right="81"/>
              <w:spacing w:after="0"/>
              <w:rPr>
                <w:sz w:val="20"/>
                <w:szCs w:val="20"/>
                <w:color w:val="auto"/>
              </w:rPr>
            </w:pPr>
            <w:r>
              <w:rPr>
                <w:rFonts w:ascii="Arial" w:cs="Arial" w:eastAsia="Arial" w:hAnsi="Arial"/>
                <w:sz w:val="20"/>
                <w:szCs w:val="20"/>
                <w:color w:val="auto"/>
              </w:rPr>
              <w:t>503215</w:t>
            </w:r>
          </w:p>
        </w:tc>
        <w:tc>
          <w:tcPr>
            <w:tcW w:w="700" w:type="dxa"/>
            <w:vAlign w:val="bottom"/>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tcPr>
          <w:p>
            <w:pPr>
              <w:jc w:val="right"/>
              <w:ind w:right="281"/>
              <w:spacing w:after="0"/>
              <w:rPr>
                <w:sz w:val="20"/>
                <w:szCs w:val="20"/>
                <w:color w:val="auto"/>
              </w:rPr>
            </w:pPr>
            <w:r>
              <w:rPr>
                <w:rFonts w:ascii="Arial" w:cs="Arial" w:eastAsia="Arial" w:hAnsi="Arial"/>
                <w:sz w:val="20"/>
                <w:szCs w:val="20"/>
                <w:color w:val="auto"/>
              </w:rPr>
              <w:t>0</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340" w:type="dxa"/>
            <w:vAlign w:val="bottom"/>
          </w:tcPr>
          <w:p>
            <w:pPr>
              <w:jc w:val="right"/>
              <w:spacing w:after="0"/>
              <w:rPr>
                <w:sz w:val="20"/>
                <w:szCs w:val="20"/>
                <w:color w:val="auto"/>
              </w:rPr>
            </w:pPr>
            <w:r>
              <w:rPr>
                <w:rFonts w:ascii="Arial" w:cs="Arial" w:eastAsia="Arial" w:hAnsi="Arial"/>
                <w:sz w:val="20"/>
                <w:szCs w:val="20"/>
                <w:color w:val="auto"/>
              </w:rPr>
              <w:t>$</w:t>
            </w:r>
          </w:p>
        </w:tc>
        <w:tc>
          <w:tcPr>
            <w:tcW w:w="68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480" w:type="dxa"/>
            <w:vAlign w:val="bottom"/>
          </w:tcPr>
          <w:p>
            <w:pPr>
              <w:jc w:val="right"/>
              <w:ind w:right="121"/>
              <w:spacing w:after="0"/>
              <w:rPr>
                <w:sz w:val="20"/>
                <w:szCs w:val="20"/>
                <w:color w:val="auto"/>
              </w:rPr>
            </w:pPr>
            <w:r>
              <w:rPr>
                <w:rFonts w:ascii="Arial" w:cs="Arial" w:eastAsia="Arial" w:hAnsi="Arial"/>
                <w:sz w:val="20"/>
                <w:szCs w:val="20"/>
                <w:color w:val="auto"/>
              </w:rPr>
              <w:t>0</w:t>
            </w:r>
          </w:p>
        </w:tc>
        <w:tc>
          <w:tcPr>
            <w:tcW w:w="720" w:type="dxa"/>
            <w:vAlign w:val="bottom"/>
          </w:tcPr>
          <w:p>
            <w:pPr>
              <w:ind w:left="24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6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480" w:type="dxa"/>
            <w:vAlign w:val="bottom"/>
          </w:tcPr>
          <w:p>
            <w:pPr>
              <w:jc w:val="right"/>
              <w:spacing w:after="0"/>
              <w:rPr>
                <w:sz w:val="20"/>
                <w:szCs w:val="20"/>
                <w:color w:val="auto"/>
              </w:rPr>
            </w:pPr>
            <w:r>
              <w:rPr>
                <w:rFonts w:ascii="Arial" w:cs="Arial" w:eastAsia="Arial" w:hAnsi="Arial"/>
                <w:sz w:val="20"/>
                <w:szCs w:val="20"/>
                <w:color w:val="auto"/>
              </w:rPr>
              <w:t>0</w:t>
            </w:r>
          </w:p>
        </w:tc>
        <w:tc>
          <w:tcPr>
            <w:tcW w:w="10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26"/>
        </w:trPr>
        <w:tc>
          <w:tcPr>
            <w:tcW w:w="158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w w:val="93"/>
              </w:rPr>
              <w:t>Greeley 35th Sand</w:t>
            </w:r>
          </w:p>
        </w:tc>
        <w:tc>
          <w:tcPr>
            <w:tcW w:w="9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46"/>
        </w:trPr>
        <w:tc>
          <w:tcPr>
            <w:tcW w:w="1580" w:type="dxa"/>
            <w:vAlign w:val="bottom"/>
            <w:shd w:val="clear" w:color="auto" w:fill="CFF0FC"/>
          </w:tcPr>
          <w:p>
            <w:pPr>
              <w:spacing w:after="0"/>
              <w:rPr>
                <w:sz w:val="20"/>
                <w:szCs w:val="20"/>
                <w:color w:val="auto"/>
              </w:rPr>
            </w:pPr>
            <w:r>
              <w:rPr>
                <w:rFonts w:ascii="Arial" w:cs="Arial" w:eastAsia="Arial" w:hAnsi="Arial"/>
                <w:sz w:val="20"/>
                <w:szCs w:val="20"/>
                <w:color w:val="auto"/>
              </w:rPr>
              <w:t>and Gravel</w:t>
            </w:r>
          </w:p>
        </w:tc>
        <w:tc>
          <w:tcPr>
            <w:tcW w:w="92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504613</w:t>
            </w:r>
          </w:p>
        </w:tc>
        <w:tc>
          <w:tcPr>
            <w:tcW w:w="700" w:type="dxa"/>
            <w:vAlign w:val="bottom"/>
            <w:shd w:val="clear" w:color="auto" w:fill="CFF0FC"/>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shd w:val="clear" w:color="auto" w:fill="CFF0FC"/>
          </w:tcPr>
          <w:p>
            <w:pPr>
              <w:jc w:val="right"/>
              <w:ind w:right="28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8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6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10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1580" w:type="dxa"/>
            <w:vAlign w:val="bottom"/>
          </w:tcPr>
          <w:p>
            <w:pPr>
              <w:spacing w:after="0"/>
              <w:rPr>
                <w:sz w:val="20"/>
                <w:szCs w:val="20"/>
                <w:color w:val="auto"/>
              </w:rPr>
            </w:pPr>
            <w:r>
              <w:rPr>
                <w:rFonts w:ascii="Arial" w:cs="Arial" w:eastAsia="Arial" w:hAnsi="Arial"/>
                <w:sz w:val="20"/>
                <w:szCs w:val="20"/>
                <w:color w:val="auto"/>
              </w:rPr>
              <w:t>Guernsey</w:t>
            </w:r>
          </w:p>
        </w:tc>
        <w:tc>
          <w:tcPr>
            <w:tcW w:w="920" w:type="dxa"/>
            <w:vAlign w:val="bottom"/>
          </w:tcPr>
          <w:p>
            <w:pPr>
              <w:jc w:val="right"/>
              <w:ind w:right="81"/>
              <w:spacing w:after="0"/>
              <w:rPr>
                <w:sz w:val="20"/>
                <w:szCs w:val="20"/>
                <w:color w:val="auto"/>
              </w:rPr>
            </w:pPr>
            <w:r>
              <w:rPr>
                <w:rFonts w:ascii="Arial" w:cs="Arial" w:eastAsia="Arial" w:hAnsi="Arial"/>
                <w:sz w:val="20"/>
                <w:szCs w:val="20"/>
                <w:color w:val="auto"/>
                <w:w w:val="92"/>
              </w:rPr>
              <w:t>4800004</w:t>
            </w:r>
          </w:p>
        </w:tc>
        <w:tc>
          <w:tcPr>
            <w:tcW w:w="700" w:type="dxa"/>
            <w:vAlign w:val="bottom"/>
          </w:tcPr>
          <w:p>
            <w:pPr>
              <w:jc w:val="right"/>
              <w:ind w:right="301"/>
              <w:spacing w:after="0"/>
              <w:rPr>
                <w:sz w:val="20"/>
                <w:szCs w:val="20"/>
                <w:color w:val="auto"/>
              </w:rPr>
            </w:pPr>
            <w:r>
              <w:rPr>
                <w:rFonts w:ascii="Arial" w:cs="Arial" w:eastAsia="Arial" w:hAnsi="Arial"/>
                <w:sz w:val="20"/>
                <w:szCs w:val="20"/>
                <w:color w:val="auto"/>
              </w:rPr>
              <w:t>2</w:t>
            </w:r>
          </w:p>
        </w:tc>
        <w:tc>
          <w:tcPr>
            <w:tcW w:w="880" w:type="dxa"/>
            <w:vAlign w:val="bottom"/>
          </w:tcPr>
          <w:p>
            <w:pPr>
              <w:jc w:val="right"/>
              <w:ind w:right="281"/>
              <w:spacing w:after="0"/>
              <w:rPr>
                <w:sz w:val="20"/>
                <w:szCs w:val="20"/>
                <w:color w:val="auto"/>
              </w:rPr>
            </w:pPr>
            <w:r>
              <w:rPr>
                <w:rFonts w:ascii="Arial" w:cs="Arial" w:eastAsia="Arial" w:hAnsi="Arial"/>
                <w:sz w:val="20"/>
                <w:szCs w:val="20"/>
                <w:color w:val="auto"/>
              </w:rPr>
              <w:t>0</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340" w:type="dxa"/>
            <w:vAlign w:val="bottom"/>
          </w:tcPr>
          <w:p>
            <w:pPr>
              <w:jc w:val="right"/>
              <w:spacing w:after="0"/>
              <w:rPr>
                <w:sz w:val="20"/>
                <w:szCs w:val="20"/>
                <w:color w:val="auto"/>
              </w:rPr>
            </w:pPr>
            <w:r>
              <w:rPr>
                <w:rFonts w:ascii="Arial" w:cs="Arial" w:eastAsia="Arial" w:hAnsi="Arial"/>
                <w:sz w:val="20"/>
                <w:szCs w:val="20"/>
                <w:color w:val="auto"/>
              </w:rPr>
              <w:t>$</w:t>
            </w:r>
          </w:p>
        </w:tc>
        <w:tc>
          <w:tcPr>
            <w:tcW w:w="680" w:type="dxa"/>
            <w:vAlign w:val="bottom"/>
          </w:tcPr>
          <w:p>
            <w:pPr>
              <w:jc w:val="right"/>
              <w:ind w:right="41"/>
              <w:spacing w:after="0"/>
              <w:rPr>
                <w:sz w:val="20"/>
                <w:szCs w:val="20"/>
                <w:color w:val="auto"/>
              </w:rPr>
            </w:pPr>
            <w:r>
              <w:rPr>
                <w:rFonts w:ascii="Arial" w:cs="Arial" w:eastAsia="Arial" w:hAnsi="Arial"/>
                <w:sz w:val="20"/>
                <w:szCs w:val="20"/>
                <w:color w:val="auto"/>
              </w:rPr>
              <w:t>1,695</w:t>
            </w:r>
          </w:p>
        </w:tc>
        <w:tc>
          <w:tcPr>
            <w:tcW w:w="480" w:type="dxa"/>
            <w:vAlign w:val="bottom"/>
          </w:tcPr>
          <w:p>
            <w:pPr>
              <w:jc w:val="right"/>
              <w:ind w:right="121"/>
              <w:spacing w:after="0"/>
              <w:rPr>
                <w:sz w:val="20"/>
                <w:szCs w:val="20"/>
                <w:color w:val="auto"/>
              </w:rPr>
            </w:pPr>
            <w:r>
              <w:rPr>
                <w:rFonts w:ascii="Arial" w:cs="Arial" w:eastAsia="Arial" w:hAnsi="Arial"/>
                <w:sz w:val="20"/>
                <w:szCs w:val="20"/>
                <w:color w:val="auto"/>
              </w:rPr>
              <w:t>0</w:t>
            </w:r>
          </w:p>
        </w:tc>
        <w:tc>
          <w:tcPr>
            <w:tcW w:w="720" w:type="dxa"/>
            <w:vAlign w:val="bottom"/>
          </w:tcPr>
          <w:p>
            <w:pPr>
              <w:ind w:left="24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6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480" w:type="dxa"/>
            <w:vAlign w:val="bottom"/>
          </w:tcPr>
          <w:p>
            <w:pPr>
              <w:jc w:val="right"/>
              <w:spacing w:after="0"/>
              <w:rPr>
                <w:sz w:val="20"/>
                <w:szCs w:val="20"/>
                <w:color w:val="auto"/>
              </w:rPr>
            </w:pPr>
            <w:r>
              <w:rPr>
                <w:rFonts w:ascii="Arial" w:cs="Arial" w:eastAsia="Arial" w:hAnsi="Arial"/>
                <w:sz w:val="20"/>
                <w:szCs w:val="20"/>
                <w:color w:val="auto"/>
              </w:rPr>
              <w:t>0</w:t>
            </w:r>
          </w:p>
        </w:tc>
        <w:tc>
          <w:tcPr>
            <w:tcW w:w="10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26"/>
        </w:trPr>
        <w:tc>
          <w:tcPr>
            <w:tcW w:w="158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w w:val="91"/>
              </w:rPr>
              <w:t>Gypsum Portable 4</w:t>
            </w:r>
          </w:p>
        </w:tc>
        <w:tc>
          <w:tcPr>
            <w:tcW w:w="9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46"/>
        </w:trPr>
        <w:tc>
          <w:tcPr>
            <w:tcW w:w="1580" w:type="dxa"/>
            <w:vAlign w:val="bottom"/>
            <w:shd w:val="clear" w:color="auto" w:fill="CFF0FC"/>
          </w:tcPr>
          <w:p>
            <w:pPr>
              <w:spacing w:after="0"/>
              <w:rPr>
                <w:sz w:val="20"/>
                <w:szCs w:val="20"/>
                <w:color w:val="auto"/>
              </w:rPr>
            </w:pPr>
            <w:r>
              <w:rPr>
                <w:rFonts w:ascii="Arial" w:cs="Arial" w:eastAsia="Arial" w:hAnsi="Arial"/>
                <w:sz w:val="20"/>
                <w:szCs w:val="20"/>
                <w:color w:val="auto"/>
              </w:rPr>
              <w:t>- 11</w:t>
            </w:r>
          </w:p>
        </w:tc>
        <w:tc>
          <w:tcPr>
            <w:tcW w:w="92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504320</w:t>
            </w:r>
          </w:p>
        </w:tc>
        <w:tc>
          <w:tcPr>
            <w:tcW w:w="700" w:type="dxa"/>
            <w:vAlign w:val="bottom"/>
            <w:shd w:val="clear" w:color="auto" w:fill="CFF0FC"/>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shd w:val="clear" w:color="auto" w:fill="CFF0FC"/>
          </w:tcPr>
          <w:p>
            <w:pPr>
              <w:jc w:val="right"/>
              <w:ind w:right="28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8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6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10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26"/>
        </w:trPr>
        <w:tc>
          <w:tcPr>
            <w:tcW w:w="1580" w:type="dxa"/>
            <w:vAlign w:val="bottom"/>
          </w:tcPr>
          <w:p>
            <w:pPr>
              <w:spacing w:after="0" w:line="227" w:lineRule="exact"/>
              <w:rPr>
                <w:sz w:val="20"/>
                <w:szCs w:val="20"/>
                <w:color w:val="auto"/>
              </w:rPr>
            </w:pPr>
            <w:r>
              <w:rPr>
                <w:rFonts w:ascii="Arial" w:cs="Arial" w:eastAsia="Arial" w:hAnsi="Arial"/>
                <w:sz w:val="20"/>
                <w:szCs w:val="20"/>
                <w:color w:val="auto"/>
              </w:rPr>
              <w:t>Mamm Creek</w:t>
            </w: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6"/>
        </w:trPr>
        <w:tc>
          <w:tcPr>
            <w:tcW w:w="1580" w:type="dxa"/>
            <w:vAlign w:val="bottom"/>
          </w:tcPr>
          <w:p>
            <w:pPr>
              <w:spacing w:after="0"/>
              <w:rPr>
                <w:sz w:val="20"/>
                <w:szCs w:val="20"/>
                <w:color w:val="auto"/>
              </w:rPr>
            </w:pPr>
            <w:r>
              <w:rPr>
                <w:rFonts w:ascii="Arial" w:cs="Arial" w:eastAsia="Arial" w:hAnsi="Arial"/>
                <w:sz w:val="20"/>
                <w:szCs w:val="20"/>
                <w:color w:val="auto"/>
              </w:rPr>
              <w:t>Portable 15</w:t>
            </w:r>
          </w:p>
        </w:tc>
        <w:tc>
          <w:tcPr>
            <w:tcW w:w="920" w:type="dxa"/>
            <w:vAlign w:val="bottom"/>
          </w:tcPr>
          <w:p>
            <w:pPr>
              <w:jc w:val="right"/>
              <w:ind w:right="81"/>
              <w:spacing w:after="0"/>
              <w:rPr>
                <w:sz w:val="20"/>
                <w:szCs w:val="20"/>
                <w:color w:val="auto"/>
              </w:rPr>
            </w:pPr>
            <w:r>
              <w:rPr>
                <w:rFonts w:ascii="Arial" w:cs="Arial" w:eastAsia="Arial" w:hAnsi="Arial"/>
                <w:sz w:val="20"/>
                <w:szCs w:val="20"/>
                <w:color w:val="auto"/>
              </w:rPr>
              <w:t>504647</w:t>
            </w:r>
          </w:p>
        </w:tc>
        <w:tc>
          <w:tcPr>
            <w:tcW w:w="700" w:type="dxa"/>
            <w:vAlign w:val="bottom"/>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tcPr>
          <w:p>
            <w:pPr>
              <w:jc w:val="right"/>
              <w:ind w:right="281"/>
              <w:spacing w:after="0"/>
              <w:rPr>
                <w:sz w:val="20"/>
                <w:szCs w:val="20"/>
                <w:color w:val="auto"/>
              </w:rPr>
            </w:pPr>
            <w:r>
              <w:rPr>
                <w:rFonts w:ascii="Arial" w:cs="Arial" w:eastAsia="Arial" w:hAnsi="Arial"/>
                <w:sz w:val="20"/>
                <w:szCs w:val="20"/>
                <w:color w:val="auto"/>
              </w:rPr>
              <w:t>0</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340" w:type="dxa"/>
            <w:vAlign w:val="bottom"/>
          </w:tcPr>
          <w:p>
            <w:pPr>
              <w:jc w:val="right"/>
              <w:spacing w:after="0"/>
              <w:rPr>
                <w:sz w:val="20"/>
                <w:szCs w:val="20"/>
                <w:color w:val="auto"/>
              </w:rPr>
            </w:pPr>
            <w:r>
              <w:rPr>
                <w:rFonts w:ascii="Arial" w:cs="Arial" w:eastAsia="Arial" w:hAnsi="Arial"/>
                <w:sz w:val="20"/>
                <w:szCs w:val="20"/>
                <w:color w:val="auto"/>
              </w:rPr>
              <w:t>$</w:t>
            </w:r>
          </w:p>
        </w:tc>
        <w:tc>
          <w:tcPr>
            <w:tcW w:w="68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480" w:type="dxa"/>
            <w:vAlign w:val="bottom"/>
          </w:tcPr>
          <w:p>
            <w:pPr>
              <w:jc w:val="right"/>
              <w:ind w:right="121"/>
              <w:spacing w:after="0"/>
              <w:rPr>
                <w:sz w:val="20"/>
                <w:szCs w:val="20"/>
                <w:color w:val="auto"/>
              </w:rPr>
            </w:pPr>
            <w:r>
              <w:rPr>
                <w:rFonts w:ascii="Arial" w:cs="Arial" w:eastAsia="Arial" w:hAnsi="Arial"/>
                <w:sz w:val="20"/>
                <w:szCs w:val="20"/>
                <w:color w:val="auto"/>
              </w:rPr>
              <w:t>0</w:t>
            </w:r>
          </w:p>
        </w:tc>
        <w:tc>
          <w:tcPr>
            <w:tcW w:w="720" w:type="dxa"/>
            <w:vAlign w:val="bottom"/>
          </w:tcPr>
          <w:p>
            <w:pPr>
              <w:ind w:left="24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6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480" w:type="dxa"/>
            <w:vAlign w:val="bottom"/>
          </w:tcPr>
          <w:p>
            <w:pPr>
              <w:jc w:val="right"/>
              <w:spacing w:after="0"/>
              <w:rPr>
                <w:sz w:val="20"/>
                <w:szCs w:val="20"/>
                <w:color w:val="auto"/>
              </w:rPr>
            </w:pPr>
            <w:r>
              <w:rPr>
                <w:rFonts w:ascii="Arial" w:cs="Arial" w:eastAsia="Arial" w:hAnsi="Arial"/>
                <w:sz w:val="20"/>
                <w:szCs w:val="20"/>
                <w:color w:val="auto"/>
              </w:rPr>
              <w:t>0</w:t>
            </w:r>
          </w:p>
        </w:tc>
        <w:tc>
          <w:tcPr>
            <w:tcW w:w="10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1580" w:type="dxa"/>
            <w:vAlign w:val="bottom"/>
            <w:shd w:val="clear" w:color="auto" w:fill="CFF0FC"/>
          </w:tcPr>
          <w:p>
            <w:pPr>
              <w:spacing w:after="0"/>
              <w:rPr>
                <w:sz w:val="20"/>
                <w:szCs w:val="20"/>
                <w:color w:val="auto"/>
              </w:rPr>
            </w:pPr>
            <w:r>
              <w:rPr>
                <w:rFonts w:ascii="Arial" w:cs="Arial" w:eastAsia="Arial" w:hAnsi="Arial"/>
                <w:sz w:val="20"/>
                <w:szCs w:val="20"/>
                <w:color w:val="auto"/>
              </w:rPr>
              <w:t>Milford</w:t>
            </w:r>
          </w:p>
        </w:tc>
        <w:tc>
          <w:tcPr>
            <w:tcW w:w="92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w w:val="92"/>
              </w:rPr>
              <w:t>4202177</w:t>
            </w:r>
          </w:p>
        </w:tc>
        <w:tc>
          <w:tcPr>
            <w:tcW w:w="700" w:type="dxa"/>
            <w:vAlign w:val="bottom"/>
            <w:shd w:val="clear" w:color="auto" w:fill="CFF0FC"/>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shd w:val="clear" w:color="auto" w:fill="CFF0FC"/>
          </w:tcPr>
          <w:p>
            <w:pPr>
              <w:jc w:val="right"/>
              <w:ind w:right="28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8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138</w:t>
            </w:r>
          </w:p>
        </w:tc>
        <w:tc>
          <w:tcPr>
            <w:tcW w:w="4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6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10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1580" w:type="dxa"/>
            <w:vAlign w:val="bottom"/>
          </w:tcPr>
          <w:p>
            <w:pPr>
              <w:spacing w:after="0"/>
              <w:rPr>
                <w:sz w:val="20"/>
                <w:szCs w:val="20"/>
                <w:color w:val="auto"/>
              </w:rPr>
            </w:pPr>
            <w:r>
              <w:rPr>
                <w:rFonts w:ascii="Arial" w:cs="Arial" w:eastAsia="Arial" w:hAnsi="Arial"/>
                <w:sz w:val="20"/>
                <w:szCs w:val="20"/>
                <w:color w:val="auto"/>
              </w:rPr>
              <w:t>Mustang Quarry</w:t>
            </w:r>
          </w:p>
        </w:tc>
        <w:tc>
          <w:tcPr>
            <w:tcW w:w="920" w:type="dxa"/>
            <w:vAlign w:val="bottom"/>
          </w:tcPr>
          <w:p>
            <w:pPr>
              <w:jc w:val="right"/>
              <w:ind w:right="81"/>
              <w:spacing w:after="0"/>
              <w:rPr>
                <w:sz w:val="20"/>
                <w:szCs w:val="20"/>
                <w:color w:val="auto"/>
              </w:rPr>
            </w:pPr>
            <w:r>
              <w:rPr>
                <w:rFonts w:ascii="Arial" w:cs="Arial" w:eastAsia="Arial" w:hAnsi="Arial"/>
                <w:sz w:val="20"/>
                <w:szCs w:val="20"/>
                <w:color w:val="auto"/>
                <w:w w:val="92"/>
              </w:rPr>
              <w:t>2602484</w:t>
            </w:r>
          </w:p>
        </w:tc>
        <w:tc>
          <w:tcPr>
            <w:tcW w:w="700" w:type="dxa"/>
            <w:vAlign w:val="bottom"/>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tcPr>
          <w:p>
            <w:pPr>
              <w:jc w:val="right"/>
              <w:ind w:right="281"/>
              <w:spacing w:after="0"/>
              <w:rPr>
                <w:sz w:val="20"/>
                <w:szCs w:val="20"/>
                <w:color w:val="auto"/>
              </w:rPr>
            </w:pPr>
            <w:r>
              <w:rPr>
                <w:rFonts w:ascii="Arial" w:cs="Arial" w:eastAsia="Arial" w:hAnsi="Arial"/>
                <w:sz w:val="20"/>
                <w:szCs w:val="20"/>
                <w:color w:val="auto"/>
              </w:rPr>
              <w:t>0</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340" w:type="dxa"/>
            <w:vAlign w:val="bottom"/>
          </w:tcPr>
          <w:p>
            <w:pPr>
              <w:jc w:val="right"/>
              <w:spacing w:after="0"/>
              <w:rPr>
                <w:sz w:val="20"/>
                <w:szCs w:val="20"/>
                <w:color w:val="auto"/>
              </w:rPr>
            </w:pPr>
            <w:r>
              <w:rPr>
                <w:rFonts w:ascii="Arial" w:cs="Arial" w:eastAsia="Arial" w:hAnsi="Arial"/>
                <w:sz w:val="20"/>
                <w:szCs w:val="20"/>
                <w:color w:val="auto"/>
              </w:rPr>
              <w:t>$</w:t>
            </w:r>
          </w:p>
        </w:tc>
        <w:tc>
          <w:tcPr>
            <w:tcW w:w="68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480" w:type="dxa"/>
            <w:vAlign w:val="bottom"/>
          </w:tcPr>
          <w:p>
            <w:pPr>
              <w:jc w:val="right"/>
              <w:ind w:right="121"/>
              <w:spacing w:after="0"/>
              <w:rPr>
                <w:sz w:val="20"/>
                <w:szCs w:val="20"/>
                <w:color w:val="auto"/>
              </w:rPr>
            </w:pPr>
            <w:r>
              <w:rPr>
                <w:rFonts w:ascii="Arial" w:cs="Arial" w:eastAsia="Arial" w:hAnsi="Arial"/>
                <w:sz w:val="20"/>
                <w:szCs w:val="20"/>
                <w:color w:val="auto"/>
              </w:rPr>
              <w:t>0</w:t>
            </w:r>
          </w:p>
        </w:tc>
        <w:tc>
          <w:tcPr>
            <w:tcW w:w="720" w:type="dxa"/>
            <w:vAlign w:val="bottom"/>
          </w:tcPr>
          <w:p>
            <w:pPr>
              <w:ind w:left="24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6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480" w:type="dxa"/>
            <w:vAlign w:val="bottom"/>
          </w:tcPr>
          <w:p>
            <w:pPr>
              <w:jc w:val="right"/>
              <w:spacing w:after="0"/>
              <w:rPr>
                <w:sz w:val="20"/>
                <w:szCs w:val="20"/>
                <w:color w:val="auto"/>
              </w:rPr>
            </w:pPr>
            <w:r>
              <w:rPr>
                <w:rFonts w:ascii="Arial" w:cs="Arial" w:eastAsia="Arial" w:hAnsi="Arial"/>
                <w:sz w:val="20"/>
                <w:szCs w:val="20"/>
                <w:color w:val="auto"/>
              </w:rPr>
              <w:t>0</w:t>
            </w:r>
          </w:p>
        </w:tc>
        <w:tc>
          <w:tcPr>
            <w:tcW w:w="10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1580" w:type="dxa"/>
            <w:vAlign w:val="bottom"/>
            <w:shd w:val="clear" w:color="auto" w:fill="CFF0FC"/>
          </w:tcPr>
          <w:p>
            <w:pPr>
              <w:spacing w:after="0"/>
              <w:rPr>
                <w:sz w:val="20"/>
                <w:szCs w:val="20"/>
                <w:color w:val="auto"/>
              </w:rPr>
            </w:pPr>
            <w:r>
              <w:rPr>
                <w:rFonts w:ascii="Arial" w:cs="Arial" w:eastAsia="Arial" w:hAnsi="Arial"/>
                <w:sz w:val="20"/>
                <w:szCs w:val="20"/>
                <w:color w:val="auto"/>
                <w:w w:val="97"/>
              </w:rPr>
              <w:t>Portable Crushing</w:t>
            </w:r>
          </w:p>
        </w:tc>
        <w:tc>
          <w:tcPr>
            <w:tcW w:w="92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503984</w:t>
            </w:r>
          </w:p>
        </w:tc>
        <w:tc>
          <w:tcPr>
            <w:tcW w:w="700" w:type="dxa"/>
            <w:vAlign w:val="bottom"/>
            <w:shd w:val="clear" w:color="auto" w:fill="CFF0FC"/>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shd w:val="clear" w:color="auto" w:fill="CFF0FC"/>
          </w:tcPr>
          <w:p>
            <w:pPr>
              <w:jc w:val="right"/>
              <w:ind w:right="28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8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6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10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547"/>
        </w:trPr>
        <w:tc>
          <w:tcPr>
            <w:tcW w:w="158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252"/>
        </w:trPr>
        <w:tc>
          <w:tcPr>
            <w:tcW w:w="15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ind w:left="80"/>
              <w:spacing w:after="0"/>
              <w:rPr>
                <w:sz w:val="20"/>
                <w:szCs w:val="20"/>
                <w:color w:val="auto"/>
              </w:rPr>
            </w:pPr>
            <w:r>
              <w:rPr>
                <w:rFonts w:ascii="Arial" w:cs="Arial" w:eastAsia="Arial" w:hAnsi="Arial"/>
                <w:sz w:val="20"/>
                <w:szCs w:val="20"/>
                <w:color w:val="auto"/>
                <w:w w:val="89"/>
              </w:rPr>
              <w:t>Appendix 1</w:t>
            </w:r>
          </w:p>
        </w:tc>
      </w:tr>
      <w:tr>
        <w:trPr>
          <w:trHeight w:val="469"/>
        </w:trPr>
        <w:tc>
          <w:tcPr>
            <w:tcW w:w="1580" w:type="dxa"/>
            <w:vAlign w:val="bottom"/>
          </w:tcPr>
          <w:p>
            <w:pPr>
              <w:spacing w:after="0"/>
              <w:rPr>
                <w:sz w:val="20"/>
                <w:szCs w:val="20"/>
                <w:color w:val="auto"/>
              </w:rPr>
            </w:pPr>
            <w:r>
              <w:rPr>
                <w:rFonts w:ascii="Arial" w:cs="Arial" w:eastAsia="Arial" w:hAnsi="Arial"/>
                <w:sz w:val="20"/>
                <w:szCs w:val="20"/>
                <w:color w:val="auto"/>
              </w:rPr>
              <w:t>Portable Plant 10</w:t>
            </w:r>
          </w:p>
        </w:tc>
        <w:tc>
          <w:tcPr>
            <w:tcW w:w="900" w:type="dxa"/>
            <w:vAlign w:val="bottom"/>
          </w:tcPr>
          <w:p>
            <w:pPr>
              <w:jc w:val="right"/>
              <w:ind w:right="61"/>
              <w:spacing w:after="0"/>
              <w:rPr>
                <w:sz w:val="20"/>
                <w:szCs w:val="20"/>
                <w:color w:val="auto"/>
              </w:rPr>
            </w:pPr>
            <w:r>
              <w:rPr>
                <w:rFonts w:ascii="Arial" w:cs="Arial" w:eastAsia="Arial" w:hAnsi="Arial"/>
                <w:sz w:val="20"/>
                <w:szCs w:val="20"/>
                <w:color w:val="auto"/>
              </w:rPr>
              <w:t>503984</w:t>
            </w:r>
          </w:p>
        </w:tc>
        <w:tc>
          <w:tcPr>
            <w:tcW w:w="740" w:type="dxa"/>
            <w:vAlign w:val="bottom"/>
          </w:tcPr>
          <w:p>
            <w:pPr>
              <w:jc w:val="center"/>
              <w:ind w:right="101"/>
              <w:spacing w:after="0"/>
              <w:rPr>
                <w:sz w:val="20"/>
                <w:szCs w:val="20"/>
                <w:color w:val="auto"/>
              </w:rPr>
            </w:pPr>
            <w:r>
              <w:rPr>
                <w:rFonts w:ascii="Arial" w:cs="Arial" w:eastAsia="Arial" w:hAnsi="Arial"/>
                <w:sz w:val="20"/>
                <w:szCs w:val="20"/>
                <w:color w:val="auto"/>
                <w:w w:val="89"/>
              </w:rPr>
              <w:t>0</w:t>
            </w:r>
          </w:p>
        </w:tc>
        <w:tc>
          <w:tcPr>
            <w:tcW w:w="860" w:type="dxa"/>
            <w:vAlign w:val="bottom"/>
          </w:tcPr>
          <w:p>
            <w:pPr>
              <w:jc w:val="right"/>
              <w:ind w:right="281"/>
              <w:spacing w:after="0"/>
              <w:rPr>
                <w:sz w:val="20"/>
                <w:szCs w:val="20"/>
                <w:color w:val="auto"/>
              </w:rPr>
            </w:pPr>
            <w:r>
              <w:rPr>
                <w:rFonts w:ascii="Arial" w:cs="Arial" w:eastAsia="Arial" w:hAnsi="Arial"/>
                <w:sz w:val="20"/>
                <w:szCs w:val="20"/>
                <w:color w:val="auto"/>
              </w:rPr>
              <w:t>0</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72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480" w:type="dxa"/>
            <w:vAlign w:val="bottom"/>
          </w:tcPr>
          <w:p>
            <w:pPr>
              <w:jc w:val="right"/>
              <w:ind w:right="121"/>
              <w:spacing w:after="0"/>
              <w:rPr>
                <w:sz w:val="20"/>
                <w:szCs w:val="20"/>
                <w:color w:val="auto"/>
              </w:rPr>
            </w:pPr>
            <w:r>
              <w:rPr>
                <w:rFonts w:ascii="Arial" w:cs="Arial" w:eastAsia="Arial" w:hAnsi="Arial"/>
                <w:sz w:val="20"/>
                <w:szCs w:val="20"/>
                <w:color w:val="auto"/>
              </w:rPr>
              <w:t>0</w:t>
            </w:r>
          </w:p>
        </w:tc>
        <w:tc>
          <w:tcPr>
            <w:tcW w:w="72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460" w:type="dxa"/>
            <w:vAlign w:val="bottom"/>
          </w:tcPr>
          <w:p>
            <w:pPr>
              <w:jc w:val="right"/>
              <w:spacing w:after="0"/>
              <w:rPr>
                <w:sz w:val="20"/>
                <w:szCs w:val="20"/>
                <w:color w:val="auto"/>
              </w:rPr>
            </w:pPr>
            <w:r>
              <w:rPr>
                <w:rFonts w:ascii="Arial" w:cs="Arial" w:eastAsia="Arial" w:hAnsi="Arial"/>
                <w:sz w:val="20"/>
                <w:szCs w:val="20"/>
                <w:color w:val="auto"/>
              </w:rPr>
              <w:t>0</w:t>
            </w:r>
          </w:p>
        </w:tc>
        <w:tc>
          <w:tcPr>
            <w:tcW w:w="1000" w:type="dxa"/>
            <w:vAlign w:val="bottom"/>
          </w:tcPr>
          <w:p>
            <w:pPr>
              <w:jc w:val="center"/>
              <w:ind w:left="161"/>
              <w:spacing w:after="0"/>
              <w:rPr>
                <w:sz w:val="20"/>
                <w:szCs w:val="20"/>
                <w:color w:val="auto"/>
              </w:rPr>
            </w:pPr>
            <w:r>
              <w:rPr>
                <w:rFonts w:ascii="Arial" w:cs="Arial" w:eastAsia="Arial" w:hAnsi="Arial"/>
                <w:sz w:val="20"/>
                <w:szCs w:val="20"/>
                <w:color w:val="auto"/>
                <w:w w:val="89"/>
              </w:rPr>
              <w:t>0</w:t>
            </w:r>
          </w:p>
        </w:tc>
      </w:tr>
      <w:tr>
        <w:trPr>
          <w:trHeight w:val="226"/>
        </w:trPr>
        <w:tc>
          <w:tcPr>
            <w:tcW w:w="158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rPr>
              <w:t>Portable Recycle</w:t>
            </w:r>
          </w:p>
        </w:tc>
        <w:tc>
          <w:tcPr>
            <w:tcW w:w="9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r>
      <w:tr>
        <w:trPr>
          <w:trHeight w:val="246"/>
        </w:trPr>
        <w:tc>
          <w:tcPr>
            <w:tcW w:w="1580" w:type="dxa"/>
            <w:vAlign w:val="bottom"/>
            <w:shd w:val="clear" w:color="auto" w:fill="CFF0FC"/>
          </w:tcPr>
          <w:p>
            <w:pPr>
              <w:spacing w:after="0"/>
              <w:rPr>
                <w:sz w:val="20"/>
                <w:szCs w:val="20"/>
                <w:color w:val="auto"/>
              </w:rPr>
            </w:pPr>
            <w:r>
              <w:rPr>
                <w:rFonts w:ascii="Arial" w:cs="Arial" w:eastAsia="Arial" w:hAnsi="Arial"/>
                <w:sz w:val="20"/>
                <w:szCs w:val="20"/>
                <w:color w:val="auto"/>
              </w:rPr>
              <w:t>18</w:t>
            </w:r>
          </w:p>
        </w:tc>
        <w:tc>
          <w:tcPr>
            <w:tcW w:w="90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501057</w:t>
            </w:r>
          </w:p>
        </w:tc>
        <w:tc>
          <w:tcPr>
            <w:tcW w:w="740" w:type="dxa"/>
            <w:vAlign w:val="bottom"/>
            <w:shd w:val="clear" w:color="auto" w:fill="CFF0FC"/>
          </w:tcPr>
          <w:p>
            <w:pPr>
              <w:jc w:val="center"/>
              <w:ind w:right="101"/>
              <w:spacing w:after="0"/>
              <w:rPr>
                <w:sz w:val="20"/>
                <w:szCs w:val="20"/>
                <w:color w:val="auto"/>
              </w:rPr>
            </w:pPr>
            <w:r>
              <w:rPr>
                <w:rFonts w:ascii="Arial" w:cs="Arial" w:eastAsia="Arial" w:hAnsi="Arial"/>
                <w:sz w:val="20"/>
                <w:szCs w:val="20"/>
                <w:color w:val="auto"/>
                <w:w w:val="89"/>
              </w:rPr>
              <w:t>0</w:t>
            </w:r>
          </w:p>
        </w:tc>
        <w:tc>
          <w:tcPr>
            <w:tcW w:w="860" w:type="dxa"/>
            <w:vAlign w:val="bottom"/>
            <w:shd w:val="clear" w:color="auto" w:fill="CFF0FC"/>
          </w:tcPr>
          <w:p>
            <w:pPr>
              <w:jc w:val="right"/>
              <w:ind w:right="28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72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4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1000" w:type="dxa"/>
            <w:vAlign w:val="bottom"/>
            <w:shd w:val="clear" w:color="auto" w:fill="CFF0FC"/>
          </w:tcPr>
          <w:p>
            <w:pPr>
              <w:jc w:val="center"/>
              <w:ind w:left="161"/>
              <w:spacing w:after="0"/>
              <w:rPr>
                <w:sz w:val="20"/>
                <w:szCs w:val="20"/>
                <w:color w:val="auto"/>
              </w:rPr>
            </w:pPr>
            <w:r>
              <w:rPr>
                <w:rFonts w:ascii="Arial" w:cs="Arial" w:eastAsia="Arial" w:hAnsi="Arial"/>
                <w:sz w:val="20"/>
                <w:szCs w:val="20"/>
                <w:color w:val="auto"/>
                <w:w w:val="89"/>
              </w:rPr>
              <w:t>0</w:t>
            </w:r>
          </w:p>
        </w:tc>
      </w:tr>
      <w:tr>
        <w:trPr>
          <w:trHeight w:val="243"/>
        </w:trPr>
        <w:tc>
          <w:tcPr>
            <w:tcW w:w="1580" w:type="dxa"/>
            <w:vAlign w:val="bottom"/>
          </w:tcPr>
          <w:p>
            <w:pPr>
              <w:spacing w:after="0"/>
              <w:rPr>
                <w:sz w:val="20"/>
                <w:szCs w:val="20"/>
                <w:color w:val="auto"/>
              </w:rPr>
            </w:pPr>
            <w:r>
              <w:rPr>
                <w:rFonts w:ascii="Arial" w:cs="Arial" w:eastAsia="Arial" w:hAnsi="Arial"/>
                <w:sz w:val="20"/>
                <w:szCs w:val="20"/>
                <w:color w:val="auto"/>
                <w:w w:val="92"/>
              </w:rPr>
              <w:t>Portable Recycle 2</w:t>
            </w:r>
          </w:p>
        </w:tc>
        <w:tc>
          <w:tcPr>
            <w:tcW w:w="900" w:type="dxa"/>
            <w:vAlign w:val="bottom"/>
          </w:tcPr>
          <w:p>
            <w:pPr>
              <w:jc w:val="right"/>
              <w:ind w:right="61"/>
              <w:spacing w:after="0"/>
              <w:rPr>
                <w:sz w:val="20"/>
                <w:szCs w:val="20"/>
                <w:color w:val="auto"/>
              </w:rPr>
            </w:pPr>
            <w:r>
              <w:rPr>
                <w:rFonts w:ascii="Arial" w:cs="Arial" w:eastAsia="Arial" w:hAnsi="Arial"/>
                <w:sz w:val="20"/>
                <w:szCs w:val="20"/>
                <w:color w:val="auto"/>
              </w:rPr>
              <w:t>504360</w:t>
            </w:r>
          </w:p>
        </w:tc>
        <w:tc>
          <w:tcPr>
            <w:tcW w:w="740" w:type="dxa"/>
            <w:vAlign w:val="bottom"/>
          </w:tcPr>
          <w:p>
            <w:pPr>
              <w:jc w:val="center"/>
              <w:ind w:right="101"/>
              <w:spacing w:after="0"/>
              <w:rPr>
                <w:sz w:val="20"/>
                <w:szCs w:val="20"/>
                <w:color w:val="auto"/>
              </w:rPr>
            </w:pPr>
            <w:r>
              <w:rPr>
                <w:rFonts w:ascii="Arial" w:cs="Arial" w:eastAsia="Arial" w:hAnsi="Arial"/>
                <w:sz w:val="20"/>
                <w:szCs w:val="20"/>
                <w:color w:val="auto"/>
                <w:w w:val="89"/>
              </w:rPr>
              <w:t>0</w:t>
            </w:r>
          </w:p>
        </w:tc>
        <w:tc>
          <w:tcPr>
            <w:tcW w:w="860" w:type="dxa"/>
            <w:vAlign w:val="bottom"/>
          </w:tcPr>
          <w:p>
            <w:pPr>
              <w:jc w:val="right"/>
              <w:ind w:right="281"/>
              <w:spacing w:after="0"/>
              <w:rPr>
                <w:sz w:val="20"/>
                <w:szCs w:val="20"/>
                <w:color w:val="auto"/>
              </w:rPr>
            </w:pPr>
            <w:r>
              <w:rPr>
                <w:rFonts w:ascii="Arial" w:cs="Arial" w:eastAsia="Arial" w:hAnsi="Arial"/>
                <w:sz w:val="20"/>
                <w:szCs w:val="20"/>
                <w:color w:val="auto"/>
              </w:rPr>
              <w:t>0</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72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480" w:type="dxa"/>
            <w:vAlign w:val="bottom"/>
          </w:tcPr>
          <w:p>
            <w:pPr>
              <w:jc w:val="right"/>
              <w:ind w:right="121"/>
              <w:spacing w:after="0"/>
              <w:rPr>
                <w:sz w:val="20"/>
                <w:szCs w:val="20"/>
                <w:color w:val="auto"/>
              </w:rPr>
            </w:pPr>
            <w:r>
              <w:rPr>
                <w:rFonts w:ascii="Arial" w:cs="Arial" w:eastAsia="Arial" w:hAnsi="Arial"/>
                <w:sz w:val="20"/>
                <w:szCs w:val="20"/>
                <w:color w:val="auto"/>
              </w:rPr>
              <w:t>0</w:t>
            </w:r>
          </w:p>
        </w:tc>
        <w:tc>
          <w:tcPr>
            <w:tcW w:w="72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460" w:type="dxa"/>
            <w:vAlign w:val="bottom"/>
          </w:tcPr>
          <w:p>
            <w:pPr>
              <w:jc w:val="right"/>
              <w:spacing w:after="0"/>
              <w:rPr>
                <w:sz w:val="20"/>
                <w:szCs w:val="20"/>
                <w:color w:val="auto"/>
              </w:rPr>
            </w:pPr>
            <w:r>
              <w:rPr>
                <w:rFonts w:ascii="Arial" w:cs="Arial" w:eastAsia="Arial" w:hAnsi="Arial"/>
                <w:sz w:val="20"/>
                <w:szCs w:val="20"/>
                <w:color w:val="auto"/>
              </w:rPr>
              <w:t>0</w:t>
            </w:r>
          </w:p>
        </w:tc>
        <w:tc>
          <w:tcPr>
            <w:tcW w:w="1000" w:type="dxa"/>
            <w:vAlign w:val="bottom"/>
          </w:tcPr>
          <w:p>
            <w:pPr>
              <w:jc w:val="center"/>
              <w:ind w:left="161"/>
              <w:spacing w:after="0"/>
              <w:rPr>
                <w:sz w:val="20"/>
                <w:szCs w:val="20"/>
                <w:color w:val="auto"/>
              </w:rPr>
            </w:pPr>
            <w:r>
              <w:rPr>
                <w:rFonts w:ascii="Arial" w:cs="Arial" w:eastAsia="Arial" w:hAnsi="Arial"/>
                <w:sz w:val="20"/>
                <w:szCs w:val="20"/>
                <w:color w:val="auto"/>
                <w:w w:val="89"/>
              </w:rPr>
              <w:t>0</w:t>
            </w:r>
          </w:p>
        </w:tc>
      </w:tr>
      <w:tr>
        <w:trPr>
          <w:trHeight w:val="226"/>
        </w:trPr>
        <w:tc>
          <w:tcPr>
            <w:tcW w:w="158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rPr>
              <w:t>Portable Recycle</w:t>
            </w:r>
          </w:p>
        </w:tc>
        <w:tc>
          <w:tcPr>
            <w:tcW w:w="9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r>
      <w:tr>
        <w:trPr>
          <w:trHeight w:val="246"/>
        </w:trPr>
        <w:tc>
          <w:tcPr>
            <w:tcW w:w="1580" w:type="dxa"/>
            <w:vAlign w:val="bottom"/>
            <w:shd w:val="clear" w:color="auto" w:fill="CFF0FC"/>
          </w:tcPr>
          <w:p>
            <w:pPr>
              <w:spacing w:after="0"/>
              <w:rPr>
                <w:sz w:val="20"/>
                <w:szCs w:val="20"/>
                <w:color w:val="auto"/>
              </w:rPr>
            </w:pPr>
            <w:r>
              <w:rPr>
                <w:rFonts w:ascii="Arial" w:cs="Arial" w:eastAsia="Arial" w:hAnsi="Arial"/>
                <w:sz w:val="20"/>
                <w:szCs w:val="20"/>
                <w:color w:val="auto"/>
              </w:rPr>
              <w:t>21</w:t>
            </w:r>
          </w:p>
        </w:tc>
        <w:tc>
          <w:tcPr>
            <w:tcW w:w="90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504520</w:t>
            </w:r>
          </w:p>
        </w:tc>
        <w:tc>
          <w:tcPr>
            <w:tcW w:w="740" w:type="dxa"/>
            <w:vAlign w:val="bottom"/>
            <w:shd w:val="clear" w:color="auto" w:fill="CFF0FC"/>
          </w:tcPr>
          <w:p>
            <w:pPr>
              <w:jc w:val="center"/>
              <w:ind w:right="101"/>
              <w:spacing w:after="0"/>
              <w:rPr>
                <w:sz w:val="20"/>
                <w:szCs w:val="20"/>
                <w:color w:val="auto"/>
              </w:rPr>
            </w:pPr>
            <w:r>
              <w:rPr>
                <w:rFonts w:ascii="Arial" w:cs="Arial" w:eastAsia="Arial" w:hAnsi="Arial"/>
                <w:sz w:val="20"/>
                <w:szCs w:val="20"/>
                <w:color w:val="auto"/>
                <w:w w:val="89"/>
              </w:rPr>
              <w:t>0</w:t>
            </w:r>
          </w:p>
        </w:tc>
        <w:tc>
          <w:tcPr>
            <w:tcW w:w="860" w:type="dxa"/>
            <w:vAlign w:val="bottom"/>
            <w:shd w:val="clear" w:color="auto" w:fill="CFF0FC"/>
          </w:tcPr>
          <w:p>
            <w:pPr>
              <w:jc w:val="right"/>
              <w:ind w:right="28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72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4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1000" w:type="dxa"/>
            <w:vAlign w:val="bottom"/>
            <w:shd w:val="clear" w:color="auto" w:fill="CFF0FC"/>
          </w:tcPr>
          <w:p>
            <w:pPr>
              <w:jc w:val="center"/>
              <w:ind w:left="161"/>
              <w:spacing w:after="0"/>
              <w:rPr>
                <w:sz w:val="20"/>
                <w:szCs w:val="20"/>
                <w:color w:val="auto"/>
              </w:rPr>
            </w:pPr>
            <w:r>
              <w:rPr>
                <w:rFonts w:ascii="Arial" w:cs="Arial" w:eastAsia="Arial" w:hAnsi="Arial"/>
                <w:sz w:val="20"/>
                <w:szCs w:val="20"/>
                <w:color w:val="auto"/>
                <w:w w:val="89"/>
              </w:rPr>
              <w:t>0</w:t>
            </w:r>
          </w:p>
        </w:tc>
      </w:tr>
      <w:tr>
        <w:trPr>
          <w:trHeight w:val="243"/>
        </w:trPr>
        <w:tc>
          <w:tcPr>
            <w:tcW w:w="1580" w:type="dxa"/>
            <w:vAlign w:val="bottom"/>
          </w:tcPr>
          <w:p>
            <w:pPr>
              <w:spacing w:after="0"/>
              <w:rPr>
                <w:sz w:val="20"/>
                <w:szCs w:val="20"/>
                <w:color w:val="auto"/>
              </w:rPr>
            </w:pPr>
            <w:r>
              <w:rPr>
                <w:rFonts w:ascii="Arial" w:cs="Arial" w:eastAsia="Arial" w:hAnsi="Arial"/>
                <w:sz w:val="20"/>
                <w:szCs w:val="20"/>
                <w:color w:val="auto"/>
              </w:rPr>
              <w:t>Powers Portable</w:t>
            </w:r>
          </w:p>
        </w:tc>
        <w:tc>
          <w:tcPr>
            <w:tcW w:w="900" w:type="dxa"/>
            <w:vAlign w:val="bottom"/>
          </w:tcPr>
          <w:p>
            <w:pPr>
              <w:jc w:val="right"/>
              <w:ind w:right="61"/>
              <w:spacing w:after="0"/>
              <w:rPr>
                <w:sz w:val="20"/>
                <w:szCs w:val="20"/>
                <w:color w:val="auto"/>
              </w:rPr>
            </w:pPr>
            <w:r>
              <w:rPr>
                <w:rFonts w:ascii="Arial" w:cs="Arial" w:eastAsia="Arial" w:hAnsi="Arial"/>
                <w:sz w:val="20"/>
                <w:szCs w:val="20"/>
                <w:color w:val="auto"/>
              </w:rPr>
              <w:t>504531</w:t>
            </w:r>
          </w:p>
        </w:tc>
        <w:tc>
          <w:tcPr>
            <w:tcW w:w="740" w:type="dxa"/>
            <w:vAlign w:val="bottom"/>
          </w:tcPr>
          <w:p>
            <w:pPr>
              <w:jc w:val="center"/>
              <w:ind w:right="101"/>
              <w:spacing w:after="0"/>
              <w:rPr>
                <w:sz w:val="20"/>
                <w:szCs w:val="20"/>
                <w:color w:val="auto"/>
              </w:rPr>
            </w:pPr>
            <w:r>
              <w:rPr>
                <w:rFonts w:ascii="Arial" w:cs="Arial" w:eastAsia="Arial" w:hAnsi="Arial"/>
                <w:sz w:val="20"/>
                <w:szCs w:val="20"/>
                <w:color w:val="auto"/>
                <w:w w:val="89"/>
              </w:rPr>
              <w:t>0</w:t>
            </w:r>
          </w:p>
        </w:tc>
        <w:tc>
          <w:tcPr>
            <w:tcW w:w="860" w:type="dxa"/>
            <w:vAlign w:val="bottom"/>
          </w:tcPr>
          <w:p>
            <w:pPr>
              <w:jc w:val="right"/>
              <w:ind w:right="281"/>
              <w:spacing w:after="0"/>
              <w:rPr>
                <w:sz w:val="20"/>
                <w:szCs w:val="20"/>
                <w:color w:val="auto"/>
              </w:rPr>
            </w:pPr>
            <w:r>
              <w:rPr>
                <w:rFonts w:ascii="Arial" w:cs="Arial" w:eastAsia="Arial" w:hAnsi="Arial"/>
                <w:sz w:val="20"/>
                <w:szCs w:val="20"/>
                <w:color w:val="auto"/>
              </w:rPr>
              <w:t>0</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72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480" w:type="dxa"/>
            <w:vAlign w:val="bottom"/>
          </w:tcPr>
          <w:p>
            <w:pPr>
              <w:jc w:val="right"/>
              <w:ind w:right="121"/>
              <w:spacing w:after="0"/>
              <w:rPr>
                <w:sz w:val="20"/>
                <w:szCs w:val="20"/>
                <w:color w:val="auto"/>
              </w:rPr>
            </w:pPr>
            <w:r>
              <w:rPr>
                <w:rFonts w:ascii="Arial" w:cs="Arial" w:eastAsia="Arial" w:hAnsi="Arial"/>
                <w:sz w:val="20"/>
                <w:szCs w:val="20"/>
                <w:color w:val="auto"/>
              </w:rPr>
              <w:t>0</w:t>
            </w:r>
          </w:p>
        </w:tc>
        <w:tc>
          <w:tcPr>
            <w:tcW w:w="72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460" w:type="dxa"/>
            <w:vAlign w:val="bottom"/>
          </w:tcPr>
          <w:p>
            <w:pPr>
              <w:jc w:val="right"/>
              <w:spacing w:after="0"/>
              <w:rPr>
                <w:sz w:val="20"/>
                <w:szCs w:val="20"/>
                <w:color w:val="auto"/>
              </w:rPr>
            </w:pPr>
            <w:r>
              <w:rPr>
                <w:rFonts w:ascii="Arial" w:cs="Arial" w:eastAsia="Arial" w:hAnsi="Arial"/>
                <w:sz w:val="20"/>
                <w:szCs w:val="20"/>
                <w:color w:val="auto"/>
              </w:rPr>
              <w:t>0</w:t>
            </w:r>
          </w:p>
        </w:tc>
        <w:tc>
          <w:tcPr>
            <w:tcW w:w="1000" w:type="dxa"/>
            <w:vAlign w:val="bottom"/>
          </w:tcPr>
          <w:p>
            <w:pPr>
              <w:jc w:val="center"/>
              <w:ind w:left="161"/>
              <w:spacing w:after="0"/>
              <w:rPr>
                <w:sz w:val="20"/>
                <w:szCs w:val="20"/>
                <w:color w:val="auto"/>
              </w:rPr>
            </w:pPr>
            <w:r>
              <w:rPr>
                <w:rFonts w:ascii="Arial" w:cs="Arial" w:eastAsia="Arial" w:hAnsi="Arial"/>
                <w:sz w:val="20"/>
                <w:szCs w:val="20"/>
                <w:color w:val="auto"/>
                <w:w w:val="89"/>
              </w:rPr>
              <w:t>0</w:t>
            </w:r>
          </w:p>
        </w:tc>
      </w:tr>
      <w:tr>
        <w:trPr>
          <w:trHeight w:val="226"/>
        </w:trPr>
        <w:tc>
          <w:tcPr>
            <w:tcW w:w="158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rPr>
              <w:t>Riverbend Sand</w:t>
            </w:r>
          </w:p>
        </w:tc>
        <w:tc>
          <w:tcPr>
            <w:tcW w:w="9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r>
      <w:tr>
        <w:trPr>
          <w:trHeight w:val="246"/>
        </w:trPr>
        <w:tc>
          <w:tcPr>
            <w:tcW w:w="1580" w:type="dxa"/>
            <w:vAlign w:val="bottom"/>
            <w:shd w:val="clear" w:color="auto" w:fill="CFF0FC"/>
          </w:tcPr>
          <w:p>
            <w:pPr>
              <w:spacing w:after="0"/>
              <w:rPr>
                <w:sz w:val="20"/>
                <w:szCs w:val="20"/>
                <w:color w:val="auto"/>
              </w:rPr>
            </w:pPr>
            <w:r>
              <w:rPr>
                <w:rFonts w:ascii="Arial" w:cs="Arial" w:eastAsia="Arial" w:hAnsi="Arial"/>
                <w:sz w:val="20"/>
                <w:szCs w:val="20"/>
                <w:color w:val="auto"/>
              </w:rPr>
              <w:t>and Gravel</w:t>
            </w:r>
          </w:p>
        </w:tc>
        <w:tc>
          <w:tcPr>
            <w:tcW w:w="90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504841</w:t>
            </w:r>
          </w:p>
        </w:tc>
        <w:tc>
          <w:tcPr>
            <w:tcW w:w="740" w:type="dxa"/>
            <w:vAlign w:val="bottom"/>
            <w:shd w:val="clear" w:color="auto" w:fill="CFF0FC"/>
          </w:tcPr>
          <w:p>
            <w:pPr>
              <w:jc w:val="center"/>
              <w:ind w:right="101"/>
              <w:spacing w:after="0"/>
              <w:rPr>
                <w:sz w:val="20"/>
                <w:szCs w:val="20"/>
                <w:color w:val="auto"/>
              </w:rPr>
            </w:pPr>
            <w:r>
              <w:rPr>
                <w:rFonts w:ascii="Arial" w:cs="Arial" w:eastAsia="Arial" w:hAnsi="Arial"/>
                <w:sz w:val="20"/>
                <w:szCs w:val="20"/>
                <w:color w:val="auto"/>
                <w:w w:val="89"/>
              </w:rPr>
              <w:t>0</w:t>
            </w:r>
          </w:p>
        </w:tc>
        <w:tc>
          <w:tcPr>
            <w:tcW w:w="860" w:type="dxa"/>
            <w:vAlign w:val="bottom"/>
            <w:shd w:val="clear" w:color="auto" w:fill="CFF0FC"/>
          </w:tcPr>
          <w:p>
            <w:pPr>
              <w:jc w:val="right"/>
              <w:ind w:right="28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72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4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1000" w:type="dxa"/>
            <w:vAlign w:val="bottom"/>
            <w:shd w:val="clear" w:color="auto" w:fill="CFF0FC"/>
          </w:tcPr>
          <w:p>
            <w:pPr>
              <w:jc w:val="center"/>
              <w:ind w:left="161"/>
              <w:spacing w:after="0"/>
              <w:rPr>
                <w:sz w:val="20"/>
                <w:szCs w:val="20"/>
                <w:color w:val="auto"/>
              </w:rPr>
            </w:pPr>
            <w:r>
              <w:rPr>
                <w:rFonts w:ascii="Arial" w:cs="Arial" w:eastAsia="Arial" w:hAnsi="Arial"/>
                <w:sz w:val="20"/>
                <w:szCs w:val="20"/>
                <w:color w:val="auto"/>
                <w:w w:val="89"/>
              </w:rPr>
              <w:t>0</w:t>
            </w:r>
          </w:p>
        </w:tc>
      </w:tr>
      <w:tr>
        <w:trPr>
          <w:trHeight w:val="226"/>
        </w:trPr>
        <w:tc>
          <w:tcPr>
            <w:tcW w:w="1580" w:type="dxa"/>
            <w:vAlign w:val="bottom"/>
          </w:tcPr>
          <w:p>
            <w:pPr>
              <w:spacing w:after="0" w:line="227" w:lineRule="exact"/>
              <w:rPr>
                <w:sz w:val="20"/>
                <w:szCs w:val="20"/>
                <w:color w:val="auto"/>
              </w:rPr>
            </w:pPr>
            <w:r>
              <w:rPr>
                <w:rFonts w:ascii="Arial" w:cs="Arial" w:eastAsia="Arial" w:hAnsi="Arial"/>
                <w:sz w:val="20"/>
                <w:szCs w:val="20"/>
                <w:color w:val="auto"/>
                <w:w w:val="89"/>
              </w:rPr>
              <w:t>Sievers Portable 19</w:t>
            </w:r>
          </w:p>
        </w:tc>
        <w:tc>
          <w:tcPr>
            <w:tcW w:w="9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46"/>
        </w:trPr>
        <w:tc>
          <w:tcPr>
            <w:tcW w:w="1580" w:type="dxa"/>
            <w:vAlign w:val="bottom"/>
          </w:tcPr>
          <w:p>
            <w:pPr>
              <w:spacing w:after="0"/>
              <w:rPr>
                <w:sz w:val="20"/>
                <w:szCs w:val="20"/>
                <w:color w:val="auto"/>
              </w:rPr>
            </w:pPr>
            <w:r>
              <w:rPr>
                <w:rFonts w:ascii="Arial" w:cs="Arial" w:eastAsia="Arial" w:hAnsi="Arial"/>
                <w:sz w:val="20"/>
                <w:szCs w:val="20"/>
                <w:color w:val="auto"/>
              </w:rPr>
              <w:t>- 20</w:t>
            </w:r>
          </w:p>
        </w:tc>
        <w:tc>
          <w:tcPr>
            <w:tcW w:w="900" w:type="dxa"/>
            <w:vAlign w:val="bottom"/>
          </w:tcPr>
          <w:p>
            <w:pPr>
              <w:jc w:val="right"/>
              <w:ind w:right="61"/>
              <w:spacing w:after="0"/>
              <w:rPr>
                <w:sz w:val="20"/>
                <w:szCs w:val="20"/>
                <w:color w:val="auto"/>
              </w:rPr>
            </w:pPr>
            <w:r>
              <w:rPr>
                <w:rFonts w:ascii="Arial" w:cs="Arial" w:eastAsia="Arial" w:hAnsi="Arial"/>
                <w:sz w:val="20"/>
                <w:szCs w:val="20"/>
                <w:color w:val="auto"/>
              </w:rPr>
              <w:t>504531</w:t>
            </w:r>
          </w:p>
        </w:tc>
        <w:tc>
          <w:tcPr>
            <w:tcW w:w="740" w:type="dxa"/>
            <w:vAlign w:val="bottom"/>
          </w:tcPr>
          <w:p>
            <w:pPr>
              <w:jc w:val="center"/>
              <w:ind w:right="101"/>
              <w:spacing w:after="0"/>
              <w:rPr>
                <w:sz w:val="20"/>
                <w:szCs w:val="20"/>
                <w:color w:val="auto"/>
              </w:rPr>
            </w:pPr>
            <w:r>
              <w:rPr>
                <w:rFonts w:ascii="Arial" w:cs="Arial" w:eastAsia="Arial" w:hAnsi="Arial"/>
                <w:sz w:val="20"/>
                <w:szCs w:val="20"/>
                <w:color w:val="auto"/>
                <w:w w:val="89"/>
              </w:rPr>
              <w:t>0</w:t>
            </w:r>
          </w:p>
        </w:tc>
        <w:tc>
          <w:tcPr>
            <w:tcW w:w="860" w:type="dxa"/>
            <w:vAlign w:val="bottom"/>
          </w:tcPr>
          <w:p>
            <w:pPr>
              <w:jc w:val="right"/>
              <w:ind w:right="281"/>
              <w:spacing w:after="0"/>
              <w:rPr>
                <w:sz w:val="20"/>
                <w:szCs w:val="20"/>
                <w:color w:val="auto"/>
              </w:rPr>
            </w:pPr>
            <w:r>
              <w:rPr>
                <w:rFonts w:ascii="Arial" w:cs="Arial" w:eastAsia="Arial" w:hAnsi="Arial"/>
                <w:sz w:val="20"/>
                <w:szCs w:val="20"/>
                <w:color w:val="auto"/>
              </w:rPr>
              <w:t>0</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72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480" w:type="dxa"/>
            <w:vAlign w:val="bottom"/>
          </w:tcPr>
          <w:p>
            <w:pPr>
              <w:jc w:val="right"/>
              <w:ind w:right="121"/>
              <w:spacing w:after="0"/>
              <w:rPr>
                <w:sz w:val="20"/>
                <w:szCs w:val="20"/>
                <w:color w:val="auto"/>
              </w:rPr>
            </w:pPr>
            <w:r>
              <w:rPr>
                <w:rFonts w:ascii="Arial" w:cs="Arial" w:eastAsia="Arial" w:hAnsi="Arial"/>
                <w:sz w:val="20"/>
                <w:szCs w:val="20"/>
                <w:color w:val="auto"/>
              </w:rPr>
              <w:t>0</w:t>
            </w:r>
          </w:p>
        </w:tc>
        <w:tc>
          <w:tcPr>
            <w:tcW w:w="72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460" w:type="dxa"/>
            <w:vAlign w:val="bottom"/>
          </w:tcPr>
          <w:p>
            <w:pPr>
              <w:jc w:val="right"/>
              <w:spacing w:after="0"/>
              <w:rPr>
                <w:sz w:val="20"/>
                <w:szCs w:val="20"/>
                <w:color w:val="auto"/>
              </w:rPr>
            </w:pPr>
            <w:r>
              <w:rPr>
                <w:rFonts w:ascii="Arial" w:cs="Arial" w:eastAsia="Arial" w:hAnsi="Arial"/>
                <w:sz w:val="20"/>
                <w:szCs w:val="20"/>
                <w:color w:val="auto"/>
              </w:rPr>
              <w:t>0</w:t>
            </w:r>
          </w:p>
        </w:tc>
        <w:tc>
          <w:tcPr>
            <w:tcW w:w="1000" w:type="dxa"/>
            <w:vAlign w:val="bottom"/>
          </w:tcPr>
          <w:p>
            <w:pPr>
              <w:jc w:val="center"/>
              <w:ind w:left="161"/>
              <w:spacing w:after="0"/>
              <w:rPr>
                <w:sz w:val="20"/>
                <w:szCs w:val="20"/>
                <w:color w:val="auto"/>
              </w:rPr>
            </w:pPr>
            <w:r>
              <w:rPr>
                <w:rFonts w:ascii="Arial" w:cs="Arial" w:eastAsia="Arial" w:hAnsi="Arial"/>
                <w:sz w:val="20"/>
                <w:szCs w:val="20"/>
                <w:color w:val="auto"/>
                <w:w w:val="89"/>
              </w:rPr>
              <w:t>0</w:t>
            </w:r>
          </w:p>
        </w:tc>
      </w:tr>
      <w:tr>
        <w:trPr>
          <w:trHeight w:val="226"/>
        </w:trPr>
        <w:tc>
          <w:tcPr>
            <w:tcW w:w="158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rPr>
              <w:t>Spanish Springs</w:t>
            </w:r>
          </w:p>
        </w:tc>
        <w:tc>
          <w:tcPr>
            <w:tcW w:w="9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r>
      <w:tr>
        <w:trPr>
          <w:trHeight w:val="246"/>
        </w:trPr>
        <w:tc>
          <w:tcPr>
            <w:tcW w:w="1580" w:type="dxa"/>
            <w:vAlign w:val="bottom"/>
            <w:shd w:val="clear" w:color="auto" w:fill="CFF0FC"/>
          </w:tcPr>
          <w:p>
            <w:pPr>
              <w:spacing w:after="0"/>
              <w:rPr>
                <w:sz w:val="20"/>
                <w:szCs w:val="20"/>
                <w:color w:val="auto"/>
              </w:rPr>
            </w:pPr>
            <w:r>
              <w:rPr>
                <w:rFonts w:ascii="Arial" w:cs="Arial" w:eastAsia="Arial" w:hAnsi="Arial"/>
                <w:sz w:val="20"/>
                <w:szCs w:val="20"/>
                <w:color w:val="auto"/>
              </w:rPr>
              <w:t>Co 2</w:t>
            </w:r>
          </w:p>
        </w:tc>
        <w:tc>
          <w:tcPr>
            <w:tcW w:w="90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w w:val="92"/>
              </w:rPr>
              <w:t>2600803</w:t>
            </w:r>
          </w:p>
        </w:tc>
        <w:tc>
          <w:tcPr>
            <w:tcW w:w="740" w:type="dxa"/>
            <w:vAlign w:val="bottom"/>
            <w:shd w:val="clear" w:color="auto" w:fill="CFF0FC"/>
          </w:tcPr>
          <w:p>
            <w:pPr>
              <w:jc w:val="center"/>
              <w:ind w:right="101"/>
              <w:spacing w:after="0"/>
              <w:rPr>
                <w:sz w:val="20"/>
                <w:szCs w:val="20"/>
                <w:color w:val="auto"/>
              </w:rPr>
            </w:pPr>
            <w:r>
              <w:rPr>
                <w:rFonts w:ascii="Arial" w:cs="Arial" w:eastAsia="Arial" w:hAnsi="Arial"/>
                <w:sz w:val="20"/>
                <w:szCs w:val="20"/>
                <w:color w:val="auto"/>
                <w:w w:val="89"/>
              </w:rPr>
              <w:t>1</w:t>
            </w:r>
          </w:p>
        </w:tc>
        <w:tc>
          <w:tcPr>
            <w:tcW w:w="860" w:type="dxa"/>
            <w:vAlign w:val="bottom"/>
            <w:shd w:val="clear" w:color="auto" w:fill="CFF0FC"/>
          </w:tcPr>
          <w:p>
            <w:pPr>
              <w:jc w:val="right"/>
              <w:ind w:right="28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72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1,872</w:t>
            </w:r>
          </w:p>
        </w:tc>
        <w:tc>
          <w:tcPr>
            <w:tcW w:w="4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4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1000" w:type="dxa"/>
            <w:vAlign w:val="bottom"/>
            <w:shd w:val="clear" w:color="auto" w:fill="CFF0FC"/>
          </w:tcPr>
          <w:p>
            <w:pPr>
              <w:jc w:val="center"/>
              <w:ind w:left="161"/>
              <w:spacing w:after="0"/>
              <w:rPr>
                <w:sz w:val="20"/>
                <w:szCs w:val="20"/>
                <w:color w:val="auto"/>
              </w:rPr>
            </w:pPr>
            <w:r>
              <w:rPr>
                <w:rFonts w:ascii="Arial" w:cs="Arial" w:eastAsia="Arial" w:hAnsi="Arial"/>
                <w:sz w:val="20"/>
                <w:szCs w:val="20"/>
                <w:color w:val="auto"/>
                <w:w w:val="89"/>
              </w:rPr>
              <w:t>0</w:t>
            </w:r>
          </w:p>
        </w:tc>
      </w:tr>
      <w:tr>
        <w:trPr>
          <w:trHeight w:val="226"/>
        </w:trPr>
        <w:tc>
          <w:tcPr>
            <w:tcW w:w="1580" w:type="dxa"/>
            <w:vAlign w:val="bottom"/>
          </w:tcPr>
          <w:p>
            <w:pPr>
              <w:spacing w:after="0" w:line="227" w:lineRule="exact"/>
              <w:rPr>
                <w:sz w:val="20"/>
                <w:szCs w:val="20"/>
                <w:color w:val="auto"/>
              </w:rPr>
            </w:pPr>
            <w:r>
              <w:rPr>
                <w:rFonts w:ascii="Arial" w:cs="Arial" w:eastAsia="Arial" w:hAnsi="Arial"/>
                <w:sz w:val="20"/>
                <w:szCs w:val="20"/>
                <w:color w:val="auto"/>
              </w:rPr>
              <w:t>Spec Agg Sand</w:t>
            </w:r>
          </w:p>
        </w:tc>
        <w:tc>
          <w:tcPr>
            <w:tcW w:w="9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46"/>
        </w:trPr>
        <w:tc>
          <w:tcPr>
            <w:tcW w:w="1580" w:type="dxa"/>
            <w:vAlign w:val="bottom"/>
          </w:tcPr>
          <w:p>
            <w:pPr>
              <w:spacing w:after="0"/>
              <w:rPr>
                <w:sz w:val="20"/>
                <w:szCs w:val="20"/>
                <w:color w:val="auto"/>
              </w:rPr>
            </w:pPr>
            <w:r>
              <w:rPr>
                <w:rFonts w:ascii="Arial" w:cs="Arial" w:eastAsia="Arial" w:hAnsi="Arial"/>
                <w:sz w:val="20"/>
                <w:szCs w:val="20"/>
                <w:color w:val="auto"/>
              </w:rPr>
              <w:t>and Gravel</w:t>
            </w:r>
          </w:p>
        </w:tc>
        <w:tc>
          <w:tcPr>
            <w:tcW w:w="900" w:type="dxa"/>
            <w:vAlign w:val="bottom"/>
          </w:tcPr>
          <w:p>
            <w:pPr>
              <w:jc w:val="right"/>
              <w:ind w:right="61"/>
              <w:spacing w:after="0"/>
              <w:rPr>
                <w:sz w:val="20"/>
                <w:szCs w:val="20"/>
                <w:color w:val="auto"/>
              </w:rPr>
            </w:pPr>
            <w:r>
              <w:rPr>
                <w:rFonts w:ascii="Arial" w:cs="Arial" w:eastAsia="Arial" w:hAnsi="Arial"/>
                <w:sz w:val="20"/>
                <w:szCs w:val="20"/>
                <w:color w:val="auto"/>
              </w:rPr>
              <w:t>500860</w:t>
            </w:r>
          </w:p>
        </w:tc>
        <w:tc>
          <w:tcPr>
            <w:tcW w:w="740" w:type="dxa"/>
            <w:vAlign w:val="bottom"/>
          </w:tcPr>
          <w:p>
            <w:pPr>
              <w:jc w:val="center"/>
              <w:ind w:right="101"/>
              <w:spacing w:after="0"/>
              <w:rPr>
                <w:sz w:val="20"/>
                <w:szCs w:val="20"/>
                <w:color w:val="auto"/>
              </w:rPr>
            </w:pPr>
            <w:r>
              <w:rPr>
                <w:rFonts w:ascii="Arial" w:cs="Arial" w:eastAsia="Arial" w:hAnsi="Arial"/>
                <w:sz w:val="20"/>
                <w:szCs w:val="20"/>
                <w:color w:val="auto"/>
                <w:w w:val="89"/>
              </w:rPr>
              <w:t>0</w:t>
            </w:r>
          </w:p>
        </w:tc>
        <w:tc>
          <w:tcPr>
            <w:tcW w:w="860" w:type="dxa"/>
            <w:vAlign w:val="bottom"/>
          </w:tcPr>
          <w:p>
            <w:pPr>
              <w:jc w:val="right"/>
              <w:ind w:right="281"/>
              <w:spacing w:after="0"/>
              <w:rPr>
                <w:sz w:val="20"/>
                <w:szCs w:val="20"/>
                <w:color w:val="auto"/>
              </w:rPr>
            </w:pPr>
            <w:r>
              <w:rPr>
                <w:rFonts w:ascii="Arial" w:cs="Arial" w:eastAsia="Arial" w:hAnsi="Arial"/>
                <w:sz w:val="20"/>
                <w:szCs w:val="20"/>
                <w:color w:val="auto"/>
              </w:rPr>
              <w:t>0</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720" w:type="dxa"/>
            <w:vAlign w:val="bottom"/>
          </w:tcPr>
          <w:p>
            <w:pPr>
              <w:jc w:val="right"/>
              <w:ind w:right="41"/>
              <w:spacing w:after="0"/>
              <w:rPr>
                <w:sz w:val="20"/>
                <w:szCs w:val="20"/>
                <w:color w:val="auto"/>
              </w:rPr>
            </w:pPr>
            <w:r>
              <w:rPr>
                <w:rFonts w:ascii="Arial" w:cs="Arial" w:eastAsia="Arial" w:hAnsi="Arial"/>
                <w:sz w:val="20"/>
                <w:szCs w:val="20"/>
                <w:color w:val="auto"/>
              </w:rPr>
              <w:t>100</w:t>
            </w:r>
          </w:p>
        </w:tc>
        <w:tc>
          <w:tcPr>
            <w:tcW w:w="480" w:type="dxa"/>
            <w:vAlign w:val="bottom"/>
          </w:tcPr>
          <w:p>
            <w:pPr>
              <w:jc w:val="right"/>
              <w:ind w:right="121"/>
              <w:spacing w:after="0"/>
              <w:rPr>
                <w:sz w:val="20"/>
                <w:szCs w:val="20"/>
                <w:color w:val="auto"/>
              </w:rPr>
            </w:pPr>
            <w:r>
              <w:rPr>
                <w:rFonts w:ascii="Arial" w:cs="Arial" w:eastAsia="Arial" w:hAnsi="Arial"/>
                <w:sz w:val="20"/>
                <w:szCs w:val="20"/>
                <w:color w:val="auto"/>
              </w:rPr>
              <w:t>0</w:t>
            </w:r>
          </w:p>
        </w:tc>
        <w:tc>
          <w:tcPr>
            <w:tcW w:w="72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460" w:type="dxa"/>
            <w:vAlign w:val="bottom"/>
          </w:tcPr>
          <w:p>
            <w:pPr>
              <w:jc w:val="right"/>
              <w:spacing w:after="0"/>
              <w:rPr>
                <w:sz w:val="20"/>
                <w:szCs w:val="20"/>
                <w:color w:val="auto"/>
              </w:rPr>
            </w:pPr>
            <w:r>
              <w:rPr>
                <w:rFonts w:ascii="Arial" w:cs="Arial" w:eastAsia="Arial" w:hAnsi="Arial"/>
                <w:sz w:val="20"/>
                <w:szCs w:val="20"/>
                <w:color w:val="auto"/>
              </w:rPr>
              <w:t>0</w:t>
            </w:r>
          </w:p>
        </w:tc>
        <w:tc>
          <w:tcPr>
            <w:tcW w:w="1000" w:type="dxa"/>
            <w:vAlign w:val="bottom"/>
          </w:tcPr>
          <w:p>
            <w:pPr>
              <w:jc w:val="center"/>
              <w:ind w:left="161"/>
              <w:spacing w:after="0"/>
              <w:rPr>
                <w:sz w:val="20"/>
                <w:szCs w:val="20"/>
                <w:color w:val="auto"/>
              </w:rPr>
            </w:pPr>
            <w:r>
              <w:rPr>
                <w:rFonts w:ascii="Arial" w:cs="Arial" w:eastAsia="Arial" w:hAnsi="Arial"/>
                <w:sz w:val="20"/>
                <w:szCs w:val="20"/>
                <w:color w:val="auto"/>
                <w:w w:val="89"/>
              </w:rPr>
              <w:t>0</w:t>
            </w:r>
          </w:p>
        </w:tc>
      </w:tr>
      <w:tr>
        <w:trPr>
          <w:trHeight w:val="226"/>
        </w:trPr>
        <w:tc>
          <w:tcPr>
            <w:tcW w:w="158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rPr>
              <w:t>Table Mountain</w:t>
            </w:r>
          </w:p>
        </w:tc>
        <w:tc>
          <w:tcPr>
            <w:tcW w:w="9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r>
      <w:tr>
        <w:trPr>
          <w:trHeight w:val="246"/>
        </w:trPr>
        <w:tc>
          <w:tcPr>
            <w:tcW w:w="1580" w:type="dxa"/>
            <w:vAlign w:val="bottom"/>
            <w:shd w:val="clear" w:color="auto" w:fill="CFF0FC"/>
          </w:tcPr>
          <w:p>
            <w:pPr>
              <w:spacing w:after="0"/>
              <w:rPr>
                <w:sz w:val="20"/>
                <w:szCs w:val="20"/>
                <w:color w:val="auto"/>
              </w:rPr>
            </w:pPr>
            <w:r>
              <w:rPr>
                <w:rFonts w:ascii="Arial" w:cs="Arial" w:eastAsia="Arial" w:hAnsi="Arial"/>
                <w:sz w:val="20"/>
                <w:szCs w:val="20"/>
                <w:color w:val="auto"/>
              </w:rPr>
              <w:t>Quarry</w:t>
            </w:r>
          </w:p>
        </w:tc>
        <w:tc>
          <w:tcPr>
            <w:tcW w:w="90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404847</w:t>
            </w:r>
          </w:p>
        </w:tc>
        <w:tc>
          <w:tcPr>
            <w:tcW w:w="740" w:type="dxa"/>
            <w:vAlign w:val="bottom"/>
            <w:shd w:val="clear" w:color="auto" w:fill="CFF0FC"/>
          </w:tcPr>
          <w:p>
            <w:pPr>
              <w:jc w:val="center"/>
              <w:ind w:right="101"/>
              <w:spacing w:after="0"/>
              <w:rPr>
                <w:sz w:val="20"/>
                <w:szCs w:val="20"/>
                <w:color w:val="auto"/>
              </w:rPr>
            </w:pPr>
            <w:r>
              <w:rPr>
                <w:rFonts w:ascii="Arial" w:cs="Arial" w:eastAsia="Arial" w:hAnsi="Arial"/>
                <w:sz w:val="20"/>
                <w:szCs w:val="20"/>
                <w:color w:val="auto"/>
                <w:w w:val="89"/>
              </w:rPr>
              <w:t>0</w:t>
            </w:r>
          </w:p>
        </w:tc>
        <w:tc>
          <w:tcPr>
            <w:tcW w:w="860" w:type="dxa"/>
            <w:vAlign w:val="bottom"/>
            <w:shd w:val="clear" w:color="auto" w:fill="CFF0FC"/>
          </w:tcPr>
          <w:p>
            <w:pPr>
              <w:jc w:val="right"/>
              <w:ind w:right="28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72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4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1000" w:type="dxa"/>
            <w:vAlign w:val="bottom"/>
            <w:shd w:val="clear" w:color="auto" w:fill="CFF0FC"/>
          </w:tcPr>
          <w:p>
            <w:pPr>
              <w:jc w:val="center"/>
              <w:ind w:left="161"/>
              <w:spacing w:after="0"/>
              <w:rPr>
                <w:sz w:val="20"/>
                <w:szCs w:val="20"/>
                <w:color w:val="auto"/>
              </w:rPr>
            </w:pPr>
            <w:r>
              <w:rPr>
                <w:rFonts w:ascii="Arial" w:cs="Arial" w:eastAsia="Arial" w:hAnsi="Arial"/>
                <w:sz w:val="20"/>
                <w:szCs w:val="20"/>
                <w:color w:val="auto"/>
                <w:w w:val="89"/>
              </w:rPr>
              <w:t>0</w:t>
            </w:r>
          </w:p>
        </w:tc>
      </w:tr>
      <w:tr>
        <w:trPr>
          <w:trHeight w:val="226"/>
        </w:trPr>
        <w:tc>
          <w:tcPr>
            <w:tcW w:w="1580" w:type="dxa"/>
            <w:vAlign w:val="bottom"/>
          </w:tcPr>
          <w:p>
            <w:pPr>
              <w:spacing w:after="0" w:line="227" w:lineRule="exact"/>
              <w:rPr>
                <w:sz w:val="20"/>
                <w:szCs w:val="20"/>
                <w:color w:val="auto"/>
              </w:rPr>
            </w:pPr>
            <w:r>
              <w:rPr>
                <w:rFonts w:ascii="Arial" w:cs="Arial" w:eastAsia="Arial" w:hAnsi="Arial"/>
                <w:sz w:val="20"/>
                <w:szCs w:val="20"/>
                <w:color w:val="auto"/>
              </w:rPr>
              <w:t>Taft Sand and</w:t>
            </w:r>
          </w:p>
        </w:tc>
        <w:tc>
          <w:tcPr>
            <w:tcW w:w="9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46"/>
        </w:trPr>
        <w:tc>
          <w:tcPr>
            <w:tcW w:w="1580" w:type="dxa"/>
            <w:vAlign w:val="bottom"/>
          </w:tcPr>
          <w:p>
            <w:pPr>
              <w:spacing w:after="0"/>
              <w:rPr>
                <w:sz w:val="20"/>
                <w:szCs w:val="20"/>
                <w:color w:val="auto"/>
              </w:rPr>
            </w:pPr>
            <w:r>
              <w:rPr>
                <w:rFonts w:ascii="Arial" w:cs="Arial" w:eastAsia="Arial" w:hAnsi="Arial"/>
                <w:sz w:val="20"/>
                <w:szCs w:val="20"/>
                <w:color w:val="auto"/>
              </w:rPr>
              <w:t>Gravel</w:t>
            </w:r>
          </w:p>
        </w:tc>
        <w:tc>
          <w:tcPr>
            <w:tcW w:w="900" w:type="dxa"/>
            <w:vAlign w:val="bottom"/>
          </w:tcPr>
          <w:p>
            <w:pPr>
              <w:jc w:val="right"/>
              <w:ind w:right="61"/>
              <w:spacing w:after="0"/>
              <w:rPr>
                <w:sz w:val="20"/>
                <w:szCs w:val="20"/>
                <w:color w:val="auto"/>
              </w:rPr>
            </w:pPr>
            <w:r>
              <w:rPr>
                <w:rFonts w:ascii="Arial" w:cs="Arial" w:eastAsia="Arial" w:hAnsi="Arial"/>
                <w:sz w:val="20"/>
                <w:szCs w:val="20"/>
                <w:color w:val="auto"/>
              </w:rPr>
              <w:t>504526</w:t>
            </w:r>
          </w:p>
        </w:tc>
        <w:tc>
          <w:tcPr>
            <w:tcW w:w="740" w:type="dxa"/>
            <w:vAlign w:val="bottom"/>
          </w:tcPr>
          <w:p>
            <w:pPr>
              <w:jc w:val="center"/>
              <w:ind w:right="101"/>
              <w:spacing w:after="0"/>
              <w:rPr>
                <w:sz w:val="20"/>
                <w:szCs w:val="20"/>
                <w:color w:val="auto"/>
              </w:rPr>
            </w:pPr>
            <w:r>
              <w:rPr>
                <w:rFonts w:ascii="Arial" w:cs="Arial" w:eastAsia="Arial" w:hAnsi="Arial"/>
                <w:sz w:val="20"/>
                <w:szCs w:val="20"/>
                <w:color w:val="auto"/>
                <w:w w:val="89"/>
              </w:rPr>
              <w:t>0</w:t>
            </w:r>
          </w:p>
        </w:tc>
        <w:tc>
          <w:tcPr>
            <w:tcW w:w="860" w:type="dxa"/>
            <w:vAlign w:val="bottom"/>
          </w:tcPr>
          <w:p>
            <w:pPr>
              <w:jc w:val="right"/>
              <w:ind w:right="281"/>
              <w:spacing w:after="0"/>
              <w:rPr>
                <w:sz w:val="20"/>
                <w:szCs w:val="20"/>
                <w:color w:val="auto"/>
              </w:rPr>
            </w:pPr>
            <w:r>
              <w:rPr>
                <w:rFonts w:ascii="Arial" w:cs="Arial" w:eastAsia="Arial" w:hAnsi="Arial"/>
                <w:sz w:val="20"/>
                <w:szCs w:val="20"/>
                <w:color w:val="auto"/>
              </w:rPr>
              <w:t>0</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72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480" w:type="dxa"/>
            <w:vAlign w:val="bottom"/>
          </w:tcPr>
          <w:p>
            <w:pPr>
              <w:jc w:val="right"/>
              <w:ind w:right="121"/>
              <w:spacing w:after="0"/>
              <w:rPr>
                <w:sz w:val="20"/>
                <w:szCs w:val="20"/>
                <w:color w:val="auto"/>
              </w:rPr>
            </w:pPr>
            <w:r>
              <w:rPr>
                <w:rFonts w:ascii="Arial" w:cs="Arial" w:eastAsia="Arial" w:hAnsi="Arial"/>
                <w:sz w:val="20"/>
                <w:szCs w:val="20"/>
                <w:color w:val="auto"/>
              </w:rPr>
              <w:t>0</w:t>
            </w:r>
          </w:p>
        </w:tc>
        <w:tc>
          <w:tcPr>
            <w:tcW w:w="72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460" w:type="dxa"/>
            <w:vAlign w:val="bottom"/>
          </w:tcPr>
          <w:p>
            <w:pPr>
              <w:jc w:val="right"/>
              <w:spacing w:after="0"/>
              <w:rPr>
                <w:sz w:val="20"/>
                <w:szCs w:val="20"/>
                <w:color w:val="auto"/>
              </w:rPr>
            </w:pPr>
            <w:r>
              <w:rPr>
                <w:rFonts w:ascii="Arial" w:cs="Arial" w:eastAsia="Arial" w:hAnsi="Arial"/>
                <w:sz w:val="20"/>
                <w:szCs w:val="20"/>
                <w:color w:val="auto"/>
              </w:rPr>
              <w:t>0</w:t>
            </w:r>
          </w:p>
        </w:tc>
        <w:tc>
          <w:tcPr>
            <w:tcW w:w="1000" w:type="dxa"/>
            <w:vAlign w:val="bottom"/>
          </w:tcPr>
          <w:p>
            <w:pPr>
              <w:jc w:val="center"/>
              <w:ind w:left="161"/>
              <w:spacing w:after="0"/>
              <w:rPr>
                <w:sz w:val="20"/>
                <w:szCs w:val="20"/>
                <w:color w:val="auto"/>
              </w:rPr>
            </w:pPr>
            <w:r>
              <w:rPr>
                <w:rFonts w:ascii="Arial" w:cs="Arial" w:eastAsia="Arial" w:hAnsi="Arial"/>
                <w:sz w:val="20"/>
                <w:szCs w:val="20"/>
                <w:color w:val="auto"/>
                <w:w w:val="89"/>
              </w:rPr>
              <w:t>0</w:t>
            </w:r>
          </w:p>
        </w:tc>
      </w:tr>
      <w:tr>
        <w:trPr>
          <w:trHeight w:val="243"/>
        </w:trPr>
        <w:tc>
          <w:tcPr>
            <w:tcW w:w="1580" w:type="dxa"/>
            <w:vAlign w:val="bottom"/>
            <w:shd w:val="clear" w:color="auto" w:fill="CFF0FC"/>
          </w:tcPr>
          <w:p>
            <w:pPr>
              <w:spacing w:after="0"/>
              <w:rPr>
                <w:sz w:val="20"/>
                <w:szCs w:val="20"/>
                <w:color w:val="auto"/>
              </w:rPr>
            </w:pPr>
            <w:r>
              <w:rPr>
                <w:rFonts w:ascii="Arial" w:cs="Arial" w:eastAsia="Arial" w:hAnsi="Arial"/>
                <w:sz w:val="20"/>
                <w:szCs w:val="20"/>
                <w:color w:val="auto"/>
              </w:rPr>
              <w:t>Taft Shop</w:t>
            </w:r>
          </w:p>
        </w:tc>
        <w:tc>
          <w:tcPr>
            <w:tcW w:w="90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504735</w:t>
            </w:r>
          </w:p>
        </w:tc>
        <w:tc>
          <w:tcPr>
            <w:tcW w:w="740" w:type="dxa"/>
            <w:vAlign w:val="bottom"/>
            <w:shd w:val="clear" w:color="auto" w:fill="CFF0FC"/>
          </w:tcPr>
          <w:p>
            <w:pPr>
              <w:jc w:val="center"/>
              <w:ind w:right="101"/>
              <w:spacing w:after="0"/>
              <w:rPr>
                <w:sz w:val="20"/>
                <w:szCs w:val="20"/>
                <w:color w:val="auto"/>
              </w:rPr>
            </w:pPr>
            <w:r>
              <w:rPr>
                <w:rFonts w:ascii="Arial" w:cs="Arial" w:eastAsia="Arial" w:hAnsi="Arial"/>
                <w:sz w:val="20"/>
                <w:szCs w:val="20"/>
                <w:color w:val="auto"/>
                <w:w w:val="89"/>
              </w:rPr>
              <w:t>0</w:t>
            </w:r>
          </w:p>
        </w:tc>
        <w:tc>
          <w:tcPr>
            <w:tcW w:w="860" w:type="dxa"/>
            <w:vAlign w:val="bottom"/>
            <w:shd w:val="clear" w:color="auto" w:fill="CFF0FC"/>
          </w:tcPr>
          <w:p>
            <w:pPr>
              <w:jc w:val="right"/>
              <w:ind w:right="28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72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4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1000" w:type="dxa"/>
            <w:vAlign w:val="bottom"/>
            <w:shd w:val="clear" w:color="auto" w:fill="CFF0FC"/>
          </w:tcPr>
          <w:p>
            <w:pPr>
              <w:jc w:val="center"/>
              <w:ind w:left="161"/>
              <w:spacing w:after="0"/>
              <w:rPr>
                <w:sz w:val="20"/>
                <w:szCs w:val="20"/>
                <w:color w:val="auto"/>
              </w:rPr>
            </w:pPr>
            <w:r>
              <w:rPr>
                <w:rFonts w:ascii="Arial" w:cs="Arial" w:eastAsia="Arial" w:hAnsi="Arial"/>
                <w:sz w:val="20"/>
                <w:szCs w:val="20"/>
                <w:color w:val="auto"/>
                <w:w w:val="89"/>
              </w:rPr>
              <w:t>0</w:t>
            </w:r>
          </w:p>
        </w:tc>
      </w:tr>
      <w:tr>
        <w:trPr>
          <w:trHeight w:val="243"/>
        </w:trPr>
        <w:tc>
          <w:tcPr>
            <w:tcW w:w="1580" w:type="dxa"/>
            <w:vAlign w:val="bottom"/>
          </w:tcPr>
          <w:p>
            <w:pPr>
              <w:spacing w:after="0"/>
              <w:rPr>
                <w:sz w:val="20"/>
                <w:szCs w:val="20"/>
                <w:color w:val="auto"/>
              </w:rPr>
            </w:pPr>
            <w:r>
              <w:rPr>
                <w:rFonts w:ascii="Arial" w:cs="Arial" w:eastAsia="Arial" w:hAnsi="Arial"/>
                <w:sz w:val="20"/>
                <w:szCs w:val="20"/>
                <w:color w:val="auto"/>
              </w:rPr>
              <w:t>California District</w:t>
            </w:r>
          </w:p>
        </w:tc>
        <w:tc>
          <w:tcPr>
            <w:tcW w:w="900" w:type="dxa"/>
            <w:vAlign w:val="bottom"/>
          </w:tcPr>
          <w:p>
            <w:pPr>
              <w:jc w:val="right"/>
              <w:ind w:right="61"/>
              <w:spacing w:after="0"/>
              <w:rPr>
                <w:sz w:val="20"/>
                <w:szCs w:val="20"/>
                <w:color w:val="auto"/>
              </w:rPr>
            </w:pPr>
            <w:r>
              <w:rPr>
                <w:rFonts w:ascii="Arial" w:cs="Arial" w:eastAsia="Arial" w:hAnsi="Arial"/>
                <w:sz w:val="20"/>
                <w:szCs w:val="20"/>
                <w:color w:val="auto"/>
              </w:rPr>
              <w:t>400011</w:t>
            </w:r>
          </w:p>
        </w:tc>
        <w:tc>
          <w:tcPr>
            <w:tcW w:w="740" w:type="dxa"/>
            <w:vAlign w:val="bottom"/>
          </w:tcPr>
          <w:p>
            <w:pPr>
              <w:jc w:val="center"/>
              <w:ind w:right="101"/>
              <w:spacing w:after="0"/>
              <w:rPr>
                <w:sz w:val="20"/>
                <w:szCs w:val="20"/>
                <w:color w:val="auto"/>
              </w:rPr>
            </w:pPr>
            <w:r>
              <w:rPr>
                <w:rFonts w:ascii="Arial" w:cs="Arial" w:eastAsia="Arial" w:hAnsi="Arial"/>
                <w:sz w:val="20"/>
                <w:szCs w:val="20"/>
                <w:color w:val="auto"/>
                <w:w w:val="89"/>
              </w:rPr>
              <w:t>0</w:t>
            </w:r>
          </w:p>
        </w:tc>
        <w:tc>
          <w:tcPr>
            <w:tcW w:w="860" w:type="dxa"/>
            <w:vAlign w:val="bottom"/>
          </w:tcPr>
          <w:p>
            <w:pPr>
              <w:jc w:val="right"/>
              <w:ind w:right="281"/>
              <w:spacing w:after="0"/>
              <w:rPr>
                <w:sz w:val="20"/>
                <w:szCs w:val="20"/>
                <w:color w:val="auto"/>
              </w:rPr>
            </w:pPr>
            <w:r>
              <w:rPr>
                <w:rFonts w:ascii="Arial" w:cs="Arial" w:eastAsia="Arial" w:hAnsi="Arial"/>
                <w:sz w:val="20"/>
                <w:szCs w:val="20"/>
                <w:color w:val="auto"/>
              </w:rPr>
              <w:t>0</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72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480" w:type="dxa"/>
            <w:vAlign w:val="bottom"/>
          </w:tcPr>
          <w:p>
            <w:pPr>
              <w:jc w:val="right"/>
              <w:ind w:right="121"/>
              <w:spacing w:after="0"/>
              <w:rPr>
                <w:sz w:val="20"/>
                <w:szCs w:val="20"/>
                <w:color w:val="auto"/>
              </w:rPr>
            </w:pPr>
            <w:r>
              <w:rPr>
                <w:rFonts w:ascii="Arial" w:cs="Arial" w:eastAsia="Arial" w:hAnsi="Arial"/>
                <w:sz w:val="20"/>
                <w:szCs w:val="20"/>
                <w:color w:val="auto"/>
              </w:rPr>
              <w:t>0</w:t>
            </w:r>
          </w:p>
        </w:tc>
        <w:tc>
          <w:tcPr>
            <w:tcW w:w="72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460" w:type="dxa"/>
            <w:vAlign w:val="bottom"/>
          </w:tcPr>
          <w:p>
            <w:pPr>
              <w:jc w:val="right"/>
              <w:spacing w:after="0"/>
              <w:rPr>
                <w:sz w:val="20"/>
                <w:szCs w:val="20"/>
                <w:color w:val="auto"/>
              </w:rPr>
            </w:pPr>
            <w:r>
              <w:rPr>
                <w:rFonts w:ascii="Arial" w:cs="Arial" w:eastAsia="Arial" w:hAnsi="Arial"/>
                <w:sz w:val="20"/>
                <w:szCs w:val="20"/>
                <w:color w:val="auto"/>
              </w:rPr>
              <w:t>0</w:t>
            </w:r>
          </w:p>
        </w:tc>
        <w:tc>
          <w:tcPr>
            <w:tcW w:w="1000" w:type="dxa"/>
            <w:vAlign w:val="bottom"/>
          </w:tcPr>
          <w:p>
            <w:pPr>
              <w:jc w:val="center"/>
              <w:ind w:left="161"/>
              <w:spacing w:after="0"/>
              <w:rPr>
                <w:sz w:val="20"/>
                <w:szCs w:val="20"/>
                <w:color w:val="auto"/>
              </w:rPr>
            </w:pPr>
            <w:r>
              <w:rPr>
                <w:rFonts w:ascii="Arial" w:cs="Arial" w:eastAsia="Arial" w:hAnsi="Arial"/>
                <w:sz w:val="20"/>
                <w:szCs w:val="20"/>
                <w:color w:val="auto"/>
                <w:w w:val="89"/>
              </w:rPr>
              <w:t>0</w:t>
            </w:r>
          </w:p>
        </w:tc>
      </w:tr>
      <w:tr>
        <w:trPr>
          <w:trHeight w:val="226"/>
        </w:trPr>
        <w:tc>
          <w:tcPr>
            <w:tcW w:w="158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rPr>
              <w:t>Hunter Cement</w:t>
            </w:r>
          </w:p>
        </w:tc>
        <w:tc>
          <w:tcPr>
            <w:tcW w:w="9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r>
      <w:tr>
        <w:trPr>
          <w:trHeight w:val="246"/>
        </w:trPr>
        <w:tc>
          <w:tcPr>
            <w:tcW w:w="1580" w:type="dxa"/>
            <w:vAlign w:val="bottom"/>
            <w:shd w:val="clear" w:color="auto" w:fill="CFF0FC"/>
          </w:tcPr>
          <w:p>
            <w:pPr>
              <w:spacing w:after="0"/>
              <w:rPr>
                <w:sz w:val="20"/>
                <w:szCs w:val="20"/>
                <w:color w:val="auto"/>
              </w:rPr>
            </w:pPr>
            <w:r>
              <w:rPr>
                <w:rFonts w:ascii="Arial" w:cs="Arial" w:eastAsia="Arial" w:hAnsi="Arial"/>
                <w:sz w:val="20"/>
                <w:szCs w:val="20"/>
                <w:color w:val="auto"/>
              </w:rPr>
              <w:t>TXI</w:t>
            </w:r>
          </w:p>
        </w:tc>
        <w:tc>
          <w:tcPr>
            <w:tcW w:w="90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w w:val="92"/>
              </w:rPr>
              <w:t>4102820</w:t>
            </w:r>
          </w:p>
        </w:tc>
        <w:tc>
          <w:tcPr>
            <w:tcW w:w="740" w:type="dxa"/>
            <w:vAlign w:val="bottom"/>
            <w:shd w:val="clear" w:color="auto" w:fill="CFF0FC"/>
          </w:tcPr>
          <w:p>
            <w:pPr>
              <w:jc w:val="center"/>
              <w:ind w:right="101"/>
              <w:spacing w:after="0"/>
              <w:rPr>
                <w:sz w:val="20"/>
                <w:szCs w:val="20"/>
                <w:color w:val="auto"/>
              </w:rPr>
            </w:pPr>
            <w:r>
              <w:rPr>
                <w:rFonts w:ascii="Arial" w:cs="Arial" w:eastAsia="Arial" w:hAnsi="Arial"/>
                <w:sz w:val="20"/>
                <w:szCs w:val="20"/>
                <w:color w:val="auto"/>
                <w:w w:val="89"/>
              </w:rPr>
              <w:t>1</w:t>
            </w:r>
          </w:p>
        </w:tc>
        <w:tc>
          <w:tcPr>
            <w:tcW w:w="860" w:type="dxa"/>
            <w:vAlign w:val="bottom"/>
            <w:shd w:val="clear" w:color="auto" w:fill="CFF0FC"/>
          </w:tcPr>
          <w:p>
            <w:pPr>
              <w:jc w:val="right"/>
              <w:ind w:right="28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72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768</w:t>
            </w:r>
          </w:p>
        </w:tc>
        <w:tc>
          <w:tcPr>
            <w:tcW w:w="4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6</w:t>
            </w:r>
          </w:p>
        </w:tc>
        <w:tc>
          <w:tcPr>
            <w:tcW w:w="4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1000" w:type="dxa"/>
            <w:vAlign w:val="bottom"/>
            <w:shd w:val="clear" w:color="auto" w:fill="CFF0FC"/>
          </w:tcPr>
          <w:p>
            <w:pPr>
              <w:jc w:val="center"/>
              <w:ind w:left="161"/>
              <w:spacing w:after="0"/>
              <w:rPr>
                <w:sz w:val="20"/>
                <w:szCs w:val="20"/>
                <w:color w:val="auto"/>
              </w:rPr>
            </w:pPr>
            <w:r>
              <w:rPr>
                <w:rFonts w:ascii="Arial" w:cs="Arial" w:eastAsia="Arial" w:hAnsi="Arial"/>
                <w:sz w:val="20"/>
                <w:szCs w:val="20"/>
                <w:color w:val="auto"/>
                <w:w w:val="89"/>
              </w:rPr>
              <w:t>1</w:t>
            </w:r>
          </w:p>
        </w:tc>
      </w:tr>
      <w:tr>
        <w:trPr>
          <w:trHeight w:val="226"/>
        </w:trPr>
        <w:tc>
          <w:tcPr>
            <w:tcW w:w="1580" w:type="dxa"/>
            <w:vAlign w:val="bottom"/>
          </w:tcPr>
          <w:p>
            <w:pPr>
              <w:spacing w:after="0" w:line="227" w:lineRule="exact"/>
              <w:rPr>
                <w:sz w:val="20"/>
                <w:szCs w:val="20"/>
                <w:color w:val="auto"/>
              </w:rPr>
            </w:pPr>
            <w:r>
              <w:rPr>
                <w:rFonts w:ascii="Arial" w:cs="Arial" w:eastAsia="Arial" w:hAnsi="Arial"/>
                <w:sz w:val="20"/>
                <w:szCs w:val="20"/>
                <w:color w:val="auto"/>
                <w:w w:val="93"/>
              </w:rPr>
              <w:t>Midlothian Cement</w:t>
            </w:r>
          </w:p>
        </w:tc>
        <w:tc>
          <w:tcPr>
            <w:tcW w:w="9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46"/>
        </w:trPr>
        <w:tc>
          <w:tcPr>
            <w:tcW w:w="1580" w:type="dxa"/>
            <w:vAlign w:val="bottom"/>
          </w:tcPr>
          <w:p>
            <w:pPr>
              <w:spacing w:after="0"/>
              <w:rPr>
                <w:sz w:val="20"/>
                <w:szCs w:val="20"/>
                <w:color w:val="auto"/>
              </w:rPr>
            </w:pPr>
            <w:r>
              <w:rPr>
                <w:rFonts w:ascii="Arial" w:cs="Arial" w:eastAsia="Arial" w:hAnsi="Arial"/>
                <w:sz w:val="20"/>
                <w:szCs w:val="20"/>
                <w:color w:val="auto"/>
              </w:rPr>
              <w:t>TXI</w:t>
            </w:r>
          </w:p>
        </w:tc>
        <w:tc>
          <w:tcPr>
            <w:tcW w:w="900" w:type="dxa"/>
            <w:vAlign w:val="bottom"/>
          </w:tcPr>
          <w:p>
            <w:pPr>
              <w:jc w:val="right"/>
              <w:ind w:right="61"/>
              <w:spacing w:after="0"/>
              <w:rPr>
                <w:sz w:val="20"/>
                <w:szCs w:val="20"/>
                <w:color w:val="auto"/>
              </w:rPr>
            </w:pPr>
            <w:r>
              <w:rPr>
                <w:rFonts w:ascii="Arial" w:cs="Arial" w:eastAsia="Arial" w:hAnsi="Arial"/>
                <w:sz w:val="20"/>
                <w:szCs w:val="20"/>
                <w:color w:val="auto"/>
                <w:w w:val="92"/>
              </w:rPr>
              <w:t>4100071</w:t>
            </w:r>
          </w:p>
        </w:tc>
        <w:tc>
          <w:tcPr>
            <w:tcW w:w="740" w:type="dxa"/>
            <w:vAlign w:val="bottom"/>
          </w:tcPr>
          <w:p>
            <w:pPr>
              <w:jc w:val="center"/>
              <w:ind w:right="101"/>
              <w:spacing w:after="0"/>
              <w:rPr>
                <w:sz w:val="20"/>
                <w:szCs w:val="20"/>
                <w:color w:val="auto"/>
              </w:rPr>
            </w:pPr>
            <w:r>
              <w:rPr>
                <w:rFonts w:ascii="Arial" w:cs="Arial" w:eastAsia="Arial" w:hAnsi="Arial"/>
                <w:sz w:val="20"/>
                <w:szCs w:val="20"/>
                <w:color w:val="auto"/>
                <w:w w:val="89"/>
              </w:rPr>
              <w:t>0</w:t>
            </w:r>
          </w:p>
        </w:tc>
        <w:tc>
          <w:tcPr>
            <w:tcW w:w="860" w:type="dxa"/>
            <w:vAlign w:val="bottom"/>
          </w:tcPr>
          <w:p>
            <w:pPr>
              <w:jc w:val="right"/>
              <w:ind w:right="281"/>
              <w:spacing w:after="0"/>
              <w:rPr>
                <w:sz w:val="20"/>
                <w:szCs w:val="20"/>
                <w:color w:val="auto"/>
              </w:rPr>
            </w:pPr>
            <w:r>
              <w:rPr>
                <w:rFonts w:ascii="Arial" w:cs="Arial" w:eastAsia="Arial" w:hAnsi="Arial"/>
                <w:sz w:val="20"/>
                <w:szCs w:val="20"/>
                <w:color w:val="auto"/>
              </w:rPr>
              <w:t>0</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72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480" w:type="dxa"/>
            <w:vAlign w:val="bottom"/>
          </w:tcPr>
          <w:p>
            <w:pPr>
              <w:jc w:val="right"/>
              <w:ind w:right="121"/>
              <w:spacing w:after="0"/>
              <w:rPr>
                <w:sz w:val="20"/>
                <w:szCs w:val="20"/>
                <w:color w:val="auto"/>
              </w:rPr>
            </w:pPr>
            <w:r>
              <w:rPr>
                <w:rFonts w:ascii="Arial" w:cs="Arial" w:eastAsia="Arial" w:hAnsi="Arial"/>
                <w:sz w:val="20"/>
                <w:szCs w:val="20"/>
                <w:color w:val="auto"/>
              </w:rPr>
              <w:t>0</w:t>
            </w:r>
          </w:p>
        </w:tc>
        <w:tc>
          <w:tcPr>
            <w:tcW w:w="72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460" w:type="dxa"/>
            <w:vAlign w:val="bottom"/>
          </w:tcPr>
          <w:p>
            <w:pPr>
              <w:jc w:val="right"/>
              <w:spacing w:after="0"/>
              <w:rPr>
                <w:sz w:val="20"/>
                <w:szCs w:val="20"/>
                <w:color w:val="auto"/>
              </w:rPr>
            </w:pPr>
            <w:r>
              <w:rPr>
                <w:rFonts w:ascii="Arial" w:cs="Arial" w:eastAsia="Arial" w:hAnsi="Arial"/>
                <w:sz w:val="20"/>
                <w:szCs w:val="20"/>
                <w:color w:val="auto"/>
              </w:rPr>
              <w:t>0</w:t>
            </w:r>
          </w:p>
        </w:tc>
        <w:tc>
          <w:tcPr>
            <w:tcW w:w="1000" w:type="dxa"/>
            <w:vAlign w:val="bottom"/>
          </w:tcPr>
          <w:p>
            <w:pPr>
              <w:jc w:val="center"/>
              <w:ind w:left="161"/>
              <w:spacing w:after="0"/>
              <w:rPr>
                <w:sz w:val="20"/>
                <w:szCs w:val="20"/>
                <w:color w:val="auto"/>
              </w:rPr>
            </w:pPr>
            <w:r>
              <w:rPr>
                <w:rFonts w:ascii="Arial" w:cs="Arial" w:eastAsia="Arial" w:hAnsi="Arial"/>
                <w:sz w:val="20"/>
                <w:szCs w:val="20"/>
                <w:color w:val="auto"/>
                <w:w w:val="89"/>
              </w:rPr>
              <w:t>0</w:t>
            </w:r>
          </w:p>
        </w:tc>
      </w:tr>
      <w:tr>
        <w:trPr>
          <w:trHeight w:val="226"/>
        </w:trPr>
        <w:tc>
          <w:tcPr>
            <w:tcW w:w="158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w w:val="91"/>
              </w:rPr>
              <w:t>Riverside Cement -</w:t>
            </w:r>
          </w:p>
        </w:tc>
        <w:tc>
          <w:tcPr>
            <w:tcW w:w="9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r>
      <w:tr>
        <w:trPr>
          <w:trHeight w:val="246"/>
        </w:trPr>
        <w:tc>
          <w:tcPr>
            <w:tcW w:w="1580" w:type="dxa"/>
            <w:vAlign w:val="bottom"/>
            <w:shd w:val="clear" w:color="auto" w:fill="CFF0FC"/>
          </w:tcPr>
          <w:p>
            <w:pPr>
              <w:spacing w:after="0"/>
              <w:rPr>
                <w:sz w:val="20"/>
                <w:szCs w:val="20"/>
                <w:color w:val="auto"/>
              </w:rPr>
            </w:pPr>
            <w:r>
              <w:rPr>
                <w:rFonts w:ascii="Arial" w:cs="Arial" w:eastAsia="Arial" w:hAnsi="Arial"/>
                <w:sz w:val="20"/>
                <w:szCs w:val="20"/>
                <w:color w:val="auto"/>
              </w:rPr>
              <w:t>OG Distrib</w:t>
            </w:r>
          </w:p>
        </w:tc>
        <w:tc>
          <w:tcPr>
            <w:tcW w:w="90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400011</w:t>
            </w:r>
          </w:p>
        </w:tc>
        <w:tc>
          <w:tcPr>
            <w:tcW w:w="740" w:type="dxa"/>
            <w:vAlign w:val="bottom"/>
            <w:shd w:val="clear" w:color="auto" w:fill="CFF0FC"/>
          </w:tcPr>
          <w:p>
            <w:pPr>
              <w:jc w:val="center"/>
              <w:ind w:right="101"/>
              <w:spacing w:after="0"/>
              <w:rPr>
                <w:sz w:val="20"/>
                <w:szCs w:val="20"/>
                <w:color w:val="auto"/>
              </w:rPr>
            </w:pPr>
            <w:r>
              <w:rPr>
                <w:rFonts w:ascii="Arial" w:cs="Arial" w:eastAsia="Arial" w:hAnsi="Arial"/>
                <w:sz w:val="20"/>
                <w:szCs w:val="20"/>
                <w:color w:val="auto"/>
                <w:w w:val="89"/>
              </w:rPr>
              <w:t>1</w:t>
            </w:r>
          </w:p>
        </w:tc>
        <w:tc>
          <w:tcPr>
            <w:tcW w:w="860" w:type="dxa"/>
            <w:vAlign w:val="bottom"/>
            <w:shd w:val="clear" w:color="auto" w:fill="CFF0FC"/>
          </w:tcPr>
          <w:p>
            <w:pPr>
              <w:jc w:val="right"/>
              <w:ind w:right="28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72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1,595</w:t>
            </w:r>
          </w:p>
        </w:tc>
        <w:tc>
          <w:tcPr>
            <w:tcW w:w="4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4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1000" w:type="dxa"/>
            <w:vAlign w:val="bottom"/>
            <w:shd w:val="clear" w:color="auto" w:fill="CFF0FC"/>
          </w:tcPr>
          <w:p>
            <w:pPr>
              <w:jc w:val="center"/>
              <w:ind w:left="161"/>
              <w:spacing w:after="0"/>
              <w:rPr>
                <w:sz w:val="20"/>
                <w:szCs w:val="20"/>
                <w:color w:val="auto"/>
              </w:rPr>
            </w:pPr>
            <w:r>
              <w:rPr>
                <w:rFonts w:ascii="Arial" w:cs="Arial" w:eastAsia="Arial" w:hAnsi="Arial"/>
                <w:sz w:val="20"/>
                <w:szCs w:val="20"/>
                <w:color w:val="auto"/>
                <w:w w:val="89"/>
              </w:rPr>
              <w:t>0</w:t>
            </w:r>
          </w:p>
        </w:tc>
      </w:tr>
      <w:tr>
        <w:trPr>
          <w:trHeight w:val="226"/>
        </w:trPr>
        <w:tc>
          <w:tcPr>
            <w:tcW w:w="1580" w:type="dxa"/>
            <w:vAlign w:val="bottom"/>
          </w:tcPr>
          <w:p>
            <w:pPr>
              <w:spacing w:after="0" w:line="227" w:lineRule="exact"/>
              <w:rPr>
                <w:sz w:val="20"/>
                <w:szCs w:val="20"/>
                <w:color w:val="auto"/>
              </w:rPr>
            </w:pPr>
            <w:r>
              <w:rPr>
                <w:rFonts w:ascii="Arial" w:cs="Arial" w:eastAsia="Arial" w:hAnsi="Arial"/>
                <w:sz w:val="20"/>
                <w:szCs w:val="20"/>
                <w:color w:val="auto"/>
              </w:rPr>
              <w:t>Riverside CMT -</w:t>
            </w:r>
          </w:p>
        </w:tc>
        <w:tc>
          <w:tcPr>
            <w:tcW w:w="9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46"/>
        </w:trPr>
        <w:tc>
          <w:tcPr>
            <w:tcW w:w="1580" w:type="dxa"/>
            <w:vAlign w:val="bottom"/>
          </w:tcPr>
          <w:p>
            <w:pPr>
              <w:spacing w:after="0"/>
              <w:rPr>
                <w:sz w:val="20"/>
                <w:szCs w:val="20"/>
                <w:color w:val="auto"/>
              </w:rPr>
            </w:pPr>
            <w:r>
              <w:rPr>
                <w:rFonts w:ascii="Arial" w:cs="Arial" w:eastAsia="Arial" w:hAnsi="Arial"/>
                <w:sz w:val="20"/>
                <w:szCs w:val="20"/>
                <w:color w:val="auto"/>
              </w:rPr>
              <w:t>Crestmore TXI</w:t>
            </w:r>
          </w:p>
        </w:tc>
        <w:tc>
          <w:tcPr>
            <w:tcW w:w="900" w:type="dxa"/>
            <w:vAlign w:val="bottom"/>
          </w:tcPr>
          <w:p>
            <w:pPr>
              <w:jc w:val="right"/>
              <w:ind w:right="61"/>
              <w:spacing w:after="0"/>
              <w:rPr>
                <w:sz w:val="20"/>
                <w:szCs w:val="20"/>
                <w:color w:val="auto"/>
              </w:rPr>
            </w:pPr>
            <w:r>
              <w:rPr>
                <w:rFonts w:ascii="Arial" w:cs="Arial" w:eastAsia="Arial" w:hAnsi="Arial"/>
                <w:sz w:val="20"/>
                <w:szCs w:val="20"/>
                <w:color w:val="auto"/>
              </w:rPr>
              <w:t>400010</w:t>
            </w:r>
          </w:p>
        </w:tc>
        <w:tc>
          <w:tcPr>
            <w:tcW w:w="740" w:type="dxa"/>
            <w:vAlign w:val="bottom"/>
          </w:tcPr>
          <w:p>
            <w:pPr>
              <w:jc w:val="center"/>
              <w:ind w:right="101"/>
              <w:spacing w:after="0"/>
              <w:rPr>
                <w:sz w:val="20"/>
                <w:szCs w:val="20"/>
                <w:color w:val="auto"/>
              </w:rPr>
            </w:pPr>
            <w:r>
              <w:rPr>
                <w:rFonts w:ascii="Arial" w:cs="Arial" w:eastAsia="Arial" w:hAnsi="Arial"/>
                <w:sz w:val="20"/>
                <w:szCs w:val="20"/>
                <w:color w:val="auto"/>
                <w:w w:val="89"/>
              </w:rPr>
              <w:t>0</w:t>
            </w:r>
          </w:p>
        </w:tc>
        <w:tc>
          <w:tcPr>
            <w:tcW w:w="860" w:type="dxa"/>
            <w:vAlign w:val="bottom"/>
          </w:tcPr>
          <w:p>
            <w:pPr>
              <w:jc w:val="right"/>
              <w:ind w:right="281"/>
              <w:spacing w:after="0"/>
              <w:rPr>
                <w:sz w:val="20"/>
                <w:szCs w:val="20"/>
                <w:color w:val="auto"/>
              </w:rPr>
            </w:pPr>
            <w:r>
              <w:rPr>
                <w:rFonts w:ascii="Arial" w:cs="Arial" w:eastAsia="Arial" w:hAnsi="Arial"/>
                <w:sz w:val="20"/>
                <w:szCs w:val="20"/>
                <w:color w:val="auto"/>
              </w:rPr>
              <w:t>0</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72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480" w:type="dxa"/>
            <w:vAlign w:val="bottom"/>
          </w:tcPr>
          <w:p>
            <w:pPr>
              <w:jc w:val="right"/>
              <w:ind w:right="121"/>
              <w:spacing w:after="0"/>
              <w:rPr>
                <w:sz w:val="20"/>
                <w:szCs w:val="20"/>
                <w:color w:val="auto"/>
              </w:rPr>
            </w:pPr>
            <w:r>
              <w:rPr>
                <w:rFonts w:ascii="Arial" w:cs="Arial" w:eastAsia="Arial" w:hAnsi="Arial"/>
                <w:sz w:val="20"/>
                <w:szCs w:val="20"/>
                <w:color w:val="auto"/>
              </w:rPr>
              <w:t>0</w:t>
            </w:r>
          </w:p>
        </w:tc>
        <w:tc>
          <w:tcPr>
            <w:tcW w:w="72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460" w:type="dxa"/>
            <w:vAlign w:val="bottom"/>
          </w:tcPr>
          <w:p>
            <w:pPr>
              <w:jc w:val="right"/>
              <w:spacing w:after="0"/>
              <w:rPr>
                <w:sz w:val="20"/>
                <w:szCs w:val="20"/>
                <w:color w:val="auto"/>
              </w:rPr>
            </w:pPr>
            <w:r>
              <w:rPr>
                <w:rFonts w:ascii="Arial" w:cs="Arial" w:eastAsia="Arial" w:hAnsi="Arial"/>
                <w:sz w:val="20"/>
                <w:szCs w:val="20"/>
                <w:color w:val="auto"/>
              </w:rPr>
              <w:t>0</w:t>
            </w:r>
          </w:p>
        </w:tc>
        <w:tc>
          <w:tcPr>
            <w:tcW w:w="1000" w:type="dxa"/>
            <w:vAlign w:val="bottom"/>
          </w:tcPr>
          <w:p>
            <w:pPr>
              <w:jc w:val="center"/>
              <w:ind w:left="161"/>
              <w:spacing w:after="0"/>
              <w:rPr>
                <w:sz w:val="20"/>
                <w:szCs w:val="20"/>
                <w:color w:val="auto"/>
              </w:rPr>
            </w:pPr>
            <w:r>
              <w:rPr>
                <w:rFonts w:ascii="Arial" w:cs="Arial" w:eastAsia="Arial" w:hAnsi="Arial"/>
                <w:sz w:val="20"/>
                <w:szCs w:val="20"/>
                <w:color w:val="auto"/>
                <w:w w:val="89"/>
              </w:rPr>
              <w:t>0</w:t>
            </w:r>
          </w:p>
        </w:tc>
      </w:tr>
      <w:tr>
        <w:trPr>
          <w:trHeight w:val="226"/>
        </w:trPr>
        <w:tc>
          <w:tcPr>
            <w:tcW w:w="158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rPr>
              <w:t>Riverside CMT -</w:t>
            </w:r>
          </w:p>
        </w:tc>
        <w:tc>
          <w:tcPr>
            <w:tcW w:w="9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r>
      <w:tr>
        <w:trPr>
          <w:trHeight w:val="246"/>
        </w:trPr>
        <w:tc>
          <w:tcPr>
            <w:tcW w:w="1580" w:type="dxa"/>
            <w:vAlign w:val="bottom"/>
            <w:shd w:val="clear" w:color="auto" w:fill="CFF0FC"/>
          </w:tcPr>
          <w:p>
            <w:pPr>
              <w:spacing w:after="0"/>
              <w:rPr>
                <w:sz w:val="20"/>
                <w:szCs w:val="20"/>
                <w:color w:val="auto"/>
              </w:rPr>
            </w:pPr>
            <w:r>
              <w:rPr>
                <w:rFonts w:ascii="Arial" w:cs="Arial" w:eastAsia="Arial" w:hAnsi="Arial"/>
                <w:sz w:val="20"/>
                <w:szCs w:val="20"/>
                <w:color w:val="auto"/>
              </w:rPr>
              <w:t>Oro Grande TXI</w:t>
            </w:r>
          </w:p>
        </w:tc>
        <w:tc>
          <w:tcPr>
            <w:tcW w:w="90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400011</w:t>
            </w:r>
          </w:p>
        </w:tc>
        <w:tc>
          <w:tcPr>
            <w:tcW w:w="740" w:type="dxa"/>
            <w:vAlign w:val="bottom"/>
            <w:shd w:val="clear" w:color="auto" w:fill="CFF0FC"/>
          </w:tcPr>
          <w:p>
            <w:pPr>
              <w:jc w:val="center"/>
              <w:ind w:right="101"/>
              <w:spacing w:after="0"/>
              <w:rPr>
                <w:sz w:val="20"/>
                <w:szCs w:val="20"/>
                <w:color w:val="auto"/>
              </w:rPr>
            </w:pPr>
            <w:r>
              <w:rPr>
                <w:rFonts w:ascii="Arial" w:cs="Arial" w:eastAsia="Arial" w:hAnsi="Arial"/>
                <w:sz w:val="20"/>
                <w:szCs w:val="20"/>
                <w:color w:val="auto"/>
                <w:w w:val="89"/>
              </w:rPr>
              <w:t>0</w:t>
            </w:r>
          </w:p>
        </w:tc>
        <w:tc>
          <w:tcPr>
            <w:tcW w:w="860" w:type="dxa"/>
            <w:vAlign w:val="bottom"/>
            <w:shd w:val="clear" w:color="auto" w:fill="CFF0FC"/>
          </w:tcPr>
          <w:p>
            <w:pPr>
              <w:jc w:val="right"/>
              <w:ind w:right="28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72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4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1000" w:type="dxa"/>
            <w:vAlign w:val="bottom"/>
            <w:shd w:val="clear" w:color="auto" w:fill="CFF0FC"/>
          </w:tcPr>
          <w:p>
            <w:pPr>
              <w:jc w:val="center"/>
              <w:ind w:left="161"/>
              <w:spacing w:after="0"/>
              <w:rPr>
                <w:sz w:val="20"/>
                <w:szCs w:val="20"/>
                <w:color w:val="auto"/>
              </w:rPr>
            </w:pPr>
            <w:r>
              <w:rPr>
                <w:rFonts w:ascii="Arial" w:cs="Arial" w:eastAsia="Arial" w:hAnsi="Arial"/>
                <w:sz w:val="20"/>
                <w:szCs w:val="20"/>
                <w:color w:val="auto"/>
                <w:w w:val="89"/>
              </w:rPr>
              <w:t>0</w:t>
            </w:r>
          </w:p>
        </w:tc>
      </w:tr>
      <w:tr>
        <w:trPr>
          <w:trHeight w:val="243"/>
        </w:trPr>
        <w:tc>
          <w:tcPr>
            <w:tcW w:w="1580" w:type="dxa"/>
            <w:vAlign w:val="bottom"/>
          </w:tcPr>
          <w:p>
            <w:pPr>
              <w:spacing w:after="0"/>
              <w:rPr>
                <w:sz w:val="20"/>
                <w:szCs w:val="20"/>
                <w:color w:val="auto"/>
              </w:rPr>
            </w:pPr>
            <w:r>
              <w:rPr>
                <w:rFonts w:ascii="Arial" w:cs="Arial" w:eastAsia="Arial" w:hAnsi="Arial"/>
                <w:sz w:val="20"/>
                <w:szCs w:val="20"/>
                <w:color w:val="auto"/>
              </w:rPr>
              <w:t>Salisbury Shop</w:t>
            </w:r>
          </w:p>
        </w:tc>
        <w:tc>
          <w:tcPr>
            <w:tcW w:w="900" w:type="dxa"/>
            <w:vAlign w:val="bottom"/>
          </w:tcPr>
          <w:p>
            <w:pPr>
              <w:jc w:val="right"/>
              <w:ind w:right="61"/>
              <w:spacing w:after="0"/>
              <w:rPr>
                <w:sz w:val="20"/>
                <w:szCs w:val="20"/>
                <w:color w:val="auto"/>
              </w:rPr>
            </w:pPr>
            <w:r>
              <w:rPr>
                <w:rFonts w:ascii="Arial" w:cs="Arial" w:eastAsia="Arial" w:hAnsi="Arial"/>
                <w:sz w:val="20"/>
                <w:szCs w:val="20"/>
                <w:color w:val="auto"/>
                <w:w w:val="92"/>
              </w:rPr>
              <w:t>3101235</w:t>
            </w:r>
          </w:p>
        </w:tc>
        <w:tc>
          <w:tcPr>
            <w:tcW w:w="740" w:type="dxa"/>
            <w:vAlign w:val="bottom"/>
          </w:tcPr>
          <w:p>
            <w:pPr>
              <w:jc w:val="center"/>
              <w:ind w:right="101"/>
              <w:spacing w:after="0"/>
              <w:rPr>
                <w:sz w:val="20"/>
                <w:szCs w:val="20"/>
                <w:color w:val="auto"/>
              </w:rPr>
            </w:pPr>
            <w:r>
              <w:rPr>
                <w:rFonts w:ascii="Arial" w:cs="Arial" w:eastAsia="Arial" w:hAnsi="Arial"/>
                <w:sz w:val="20"/>
                <w:szCs w:val="20"/>
                <w:color w:val="auto"/>
                <w:w w:val="89"/>
              </w:rPr>
              <w:t>0</w:t>
            </w:r>
          </w:p>
        </w:tc>
        <w:tc>
          <w:tcPr>
            <w:tcW w:w="860" w:type="dxa"/>
            <w:vAlign w:val="bottom"/>
          </w:tcPr>
          <w:p>
            <w:pPr>
              <w:jc w:val="right"/>
              <w:ind w:right="281"/>
              <w:spacing w:after="0"/>
              <w:rPr>
                <w:sz w:val="20"/>
                <w:szCs w:val="20"/>
                <w:color w:val="auto"/>
              </w:rPr>
            </w:pPr>
            <w:r>
              <w:rPr>
                <w:rFonts w:ascii="Arial" w:cs="Arial" w:eastAsia="Arial" w:hAnsi="Arial"/>
                <w:sz w:val="20"/>
                <w:szCs w:val="20"/>
                <w:color w:val="auto"/>
              </w:rPr>
              <w:t>0</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72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480" w:type="dxa"/>
            <w:vAlign w:val="bottom"/>
          </w:tcPr>
          <w:p>
            <w:pPr>
              <w:jc w:val="right"/>
              <w:ind w:right="121"/>
              <w:spacing w:after="0"/>
              <w:rPr>
                <w:sz w:val="20"/>
                <w:szCs w:val="20"/>
                <w:color w:val="auto"/>
              </w:rPr>
            </w:pPr>
            <w:r>
              <w:rPr>
                <w:rFonts w:ascii="Arial" w:cs="Arial" w:eastAsia="Arial" w:hAnsi="Arial"/>
                <w:sz w:val="20"/>
                <w:szCs w:val="20"/>
                <w:color w:val="auto"/>
              </w:rPr>
              <w:t>0</w:t>
            </w:r>
          </w:p>
        </w:tc>
        <w:tc>
          <w:tcPr>
            <w:tcW w:w="72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460" w:type="dxa"/>
            <w:vAlign w:val="bottom"/>
          </w:tcPr>
          <w:p>
            <w:pPr>
              <w:jc w:val="right"/>
              <w:spacing w:after="0"/>
              <w:rPr>
                <w:sz w:val="20"/>
                <w:szCs w:val="20"/>
                <w:color w:val="auto"/>
              </w:rPr>
            </w:pPr>
            <w:r>
              <w:rPr>
                <w:rFonts w:ascii="Arial" w:cs="Arial" w:eastAsia="Arial" w:hAnsi="Arial"/>
                <w:sz w:val="20"/>
                <w:szCs w:val="20"/>
                <w:color w:val="auto"/>
              </w:rPr>
              <w:t>0</w:t>
            </w:r>
          </w:p>
        </w:tc>
        <w:tc>
          <w:tcPr>
            <w:tcW w:w="1000" w:type="dxa"/>
            <w:vAlign w:val="bottom"/>
          </w:tcPr>
          <w:p>
            <w:pPr>
              <w:jc w:val="center"/>
              <w:ind w:left="161"/>
              <w:spacing w:after="0"/>
              <w:rPr>
                <w:sz w:val="20"/>
                <w:szCs w:val="20"/>
                <w:color w:val="auto"/>
              </w:rPr>
            </w:pPr>
            <w:r>
              <w:rPr>
                <w:rFonts w:ascii="Arial" w:cs="Arial" w:eastAsia="Arial" w:hAnsi="Arial"/>
                <w:sz w:val="20"/>
                <w:szCs w:val="20"/>
                <w:color w:val="auto"/>
                <w:w w:val="89"/>
              </w:rPr>
              <w:t>0</w:t>
            </w:r>
          </w:p>
        </w:tc>
      </w:tr>
      <w:tr>
        <w:trPr>
          <w:trHeight w:val="243"/>
        </w:trPr>
        <w:tc>
          <w:tcPr>
            <w:tcW w:w="1580" w:type="dxa"/>
            <w:vAlign w:val="bottom"/>
            <w:shd w:val="clear" w:color="auto" w:fill="CFF0FC"/>
          </w:tcPr>
          <w:p>
            <w:pPr>
              <w:spacing w:after="0"/>
              <w:rPr>
                <w:sz w:val="20"/>
                <w:szCs w:val="20"/>
                <w:color w:val="auto"/>
              </w:rPr>
            </w:pPr>
            <w:r>
              <w:rPr>
                <w:rFonts w:ascii="Arial" w:cs="Arial" w:eastAsia="Arial" w:hAnsi="Arial"/>
                <w:sz w:val="20"/>
                <w:szCs w:val="20"/>
                <w:color w:val="auto"/>
              </w:rPr>
              <w:t>North Troy</w:t>
            </w:r>
          </w:p>
        </w:tc>
        <w:tc>
          <w:tcPr>
            <w:tcW w:w="90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w w:val="92"/>
              </w:rPr>
              <w:t>3401905</w:t>
            </w:r>
          </w:p>
        </w:tc>
        <w:tc>
          <w:tcPr>
            <w:tcW w:w="740" w:type="dxa"/>
            <w:vAlign w:val="bottom"/>
            <w:shd w:val="clear" w:color="auto" w:fill="CFF0FC"/>
          </w:tcPr>
          <w:p>
            <w:pPr>
              <w:jc w:val="center"/>
              <w:ind w:right="101"/>
              <w:spacing w:after="0"/>
              <w:rPr>
                <w:sz w:val="20"/>
                <w:szCs w:val="20"/>
                <w:color w:val="auto"/>
              </w:rPr>
            </w:pPr>
            <w:r>
              <w:rPr>
                <w:rFonts w:ascii="Arial" w:cs="Arial" w:eastAsia="Arial" w:hAnsi="Arial"/>
                <w:sz w:val="20"/>
                <w:szCs w:val="20"/>
                <w:color w:val="auto"/>
                <w:w w:val="89"/>
              </w:rPr>
              <w:t>0</w:t>
            </w:r>
          </w:p>
        </w:tc>
        <w:tc>
          <w:tcPr>
            <w:tcW w:w="860" w:type="dxa"/>
            <w:vAlign w:val="bottom"/>
            <w:shd w:val="clear" w:color="auto" w:fill="CFF0FC"/>
          </w:tcPr>
          <w:p>
            <w:pPr>
              <w:jc w:val="right"/>
              <w:ind w:right="28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72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4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1000" w:type="dxa"/>
            <w:vAlign w:val="bottom"/>
            <w:shd w:val="clear" w:color="auto" w:fill="CFF0FC"/>
          </w:tcPr>
          <w:p>
            <w:pPr>
              <w:jc w:val="center"/>
              <w:ind w:left="161"/>
              <w:spacing w:after="0"/>
              <w:rPr>
                <w:sz w:val="20"/>
                <w:szCs w:val="20"/>
                <w:color w:val="auto"/>
              </w:rPr>
            </w:pPr>
            <w:r>
              <w:rPr>
                <w:rFonts w:ascii="Arial" w:cs="Arial" w:eastAsia="Arial" w:hAnsi="Arial"/>
                <w:sz w:val="20"/>
                <w:szCs w:val="20"/>
                <w:color w:val="auto"/>
                <w:w w:val="89"/>
              </w:rPr>
              <w:t>0</w:t>
            </w:r>
          </w:p>
        </w:tc>
      </w:tr>
      <w:tr>
        <w:trPr>
          <w:trHeight w:val="226"/>
        </w:trPr>
        <w:tc>
          <w:tcPr>
            <w:tcW w:w="1580" w:type="dxa"/>
            <w:vAlign w:val="bottom"/>
          </w:tcPr>
          <w:p>
            <w:pPr>
              <w:spacing w:after="0" w:line="227" w:lineRule="exact"/>
              <w:rPr>
                <w:sz w:val="20"/>
                <w:szCs w:val="20"/>
                <w:color w:val="auto"/>
              </w:rPr>
            </w:pPr>
            <w:r>
              <w:rPr>
                <w:rFonts w:ascii="Arial" w:cs="Arial" w:eastAsia="Arial" w:hAnsi="Arial"/>
                <w:sz w:val="20"/>
                <w:szCs w:val="20"/>
                <w:color w:val="auto"/>
              </w:rPr>
              <w:t>North Troy</w:t>
            </w:r>
          </w:p>
        </w:tc>
        <w:tc>
          <w:tcPr>
            <w:tcW w:w="9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46"/>
        </w:trPr>
        <w:tc>
          <w:tcPr>
            <w:tcW w:w="1580" w:type="dxa"/>
            <w:vAlign w:val="bottom"/>
          </w:tcPr>
          <w:p>
            <w:pPr>
              <w:spacing w:after="0"/>
              <w:rPr>
                <w:sz w:val="20"/>
                <w:szCs w:val="20"/>
                <w:color w:val="auto"/>
              </w:rPr>
            </w:pPr>
            <w:r>
              <w:rPr>
                <w:rFonts w:ascii="Arial" w:cs="Arial" w:eastAsia="Arial" w:hAnsi="Arial"/>
                <w:sz w:val="20"/>
                <w:szCs w:val="20"/>
                <w:color w:val="auto"/>
              </w:rPr>
              <w:t>Portable</w:t>
            </w:r>
          </w:p>
        </w:tc>
        <w:tc>
          <w:tcPr>
            <w:tcW w:w="900" w:type="dxa"/>
            <w:vAlign w:val="bottom"/>
          </w:tcPr>
          <w:p>
            <w:pPr>
              <w:jc w:val="right"/>
              <w:ind w:right="61"/>
              <w:spacing w:after="0"/>
              <w:rPr>
                <w:sz w:val="20"/>
                <w:szCs w:val="20"/>
                <w:color w:val="auto"/>
              </w:rPr>
            </w:pPr>
            <w:r>
              <w:rPr>
                <w:rFonts w:ascii="Arial" w:cs="Arial" w:eastAsia="Arial" w:hAnsi="Arial"/>
                <w:sz w:val="20"/>
                <w:szCs w:val="20"/>
                <w:color w:val="auto"/>
                <w:w w:val="92"/>
              </w:rPr>
              <w:t>3401949</w:t>
            </w:r>
          </w:p>
        </w:tc>
        <w:tc>
          <w:tcPr>
            <w:tcW w:w="740" w:type="dxa"/>
            <w:vAlign w:val="bottom"/>
          </w:tcPr>
          <w:p>
            <w:pPr>
              <w:jc w:val="center"/>
              <w:ind w:right="101"/>
              <w:spacing w:after="0"/>
              <w:rPr>
                <w:sz w:val="20"/>
                <w:szCs w:val="20"/>
                <w:color w:val="auto"/>
              </w:rPr>
            </w:pPr>
            <w:r>
              <w:rPr>
                <w:rFonts w:ascii="Arial" w:cs="Arial" w:eastAsia="Arial" w:hAnsi="Arial"/>
                <w:sz w:val="20"/>
                <w:szCs w:val="20"/>
                <w:color w:val="auto"/>
                <w:w w:val="89"/>
              </w:rPr>
              <w:t>0</w:t>
            </w:r>
          </w:p>
        </w:tc>
        <w:tc>
          <w:tcPr>
            <w:tcW w:w="860" w:type="dxa"/>
            <w:vAlign w:val="bottom"/>
          </w:tcPr>
          <w:p>
            <w:pPr>
              <w:jc w:val="right"/>
              <w:ind w:right="281"/>
              <w:spacing w:after="0"/>
              <w:rPr>
                <w:sz w:val="20"/>
                <w:szCs w:val="20"/>
                <w:color w:val="auto"/>
              </w:rPr>
            </w:pPr>
            <w:r>
              <w:rPr>
                <w:rFonts w:ascii="Arial" w:cs="Arial" w:eastAsia="Arial" w:hAnsi="Arial"/>
                <w:sz w:val="20"/>
                <w:szCs w:val="20"/>
                <w:color w:val="auto"/>
              </w:rPr>
              <w:t>0</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72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480" w:type="dxa"/>
            <w:vAlign w:val="bottom"/>
          </w:tcPr>
          <w:p>
            <w:pPr>
              <w:jc w:val="right"/>
              <w:ind w:right="121"/>
              <w:spacing w:after="0"/>
              <w:rPr>
                <w:sz w:val="20"/>
                <w:szCs w:val="20"/>
                <w:color w:val="auto"/>
              </w:rPr>
            </w:pPr>
            <w:r>
              <w:rPr>
                <w:rFonts w:ascii="Arial" w:cs="Arial" w:eastAsia="Arial" w:hAnsi="Arial"/>
                <w:sz w:val="20"/>
                <w:szCs w:val="20"/>
                <w:color w:val="auto"/>
              </w:rPr>
              <w:t>0</w:t>
            </w:r>
          </w:p>
        </w:tc>
        <w:tc>
          <w:tcPr>
            <w:tcW w:w="72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460" w:type="dxa"/>
            <w:vAlign w:val="bottom"/>
          </w:tcPr>
          <w:p>
            <w:pPr>
              <w:jc w:val="right"/>
              <w:spacing w:after="0"/>
              <w:rPr>
                <w:sz w:val="20"/>
                <w:szCs w:val="20"/>
                <w:color w:val="auto"/>
              </w:rPr>
            </w:pPr>
            <w:r>
              <w:rPr>
                <w:rFonts w:ascii="Arial" w:cs="Arial" w:eastAsia="Arial" w:hAnsi="Arial"/>
                <w:sz w:val="20"/>
                <w:szCs w:val="20"/>
                <w:color w:val="auto"/>
              </w:rPr>
              <w:t>0</w:t>
            </w:r>
          </w:p>
        </w:tc>
        <w:tc>
          <w:tcPr>
            <w:tcW w:w="1000" w:type="dxa"/>
            <w:vAlign w:val="bottom"/>
          </w:tcPr>
          <w:p>
            <w:pPr>
              <w:jc w:val="center"/>
              <w:ind w:left="161"/>
              <w:spacing w:after="0"/>
              <w:rPr>
                <w:sz w:val="20"/>
                <w:szCs w:val="20"/>
                <w:color w:val="auto"/>
              </w:rPr>
            </w:pPr>
            <w:r>
              <w:rPr>
                <w:rFonts w:ascii="Arial" w:cs="Arial" w:eastAsia="Arial" w:hAnsi="Arial"/>
                <w:sz w:val="20"/>
                <w:szCs w:val="20"/>
                <w:color w:val="auto"/>
                <w:w w:val="89"/>
              </w:rPr>
              <w:t>0</w:t>
            </w:r>
          </w:p>
        </w:tc>
      </w:tr>
      <w:tr>
        <w:trPr>
          <w:trHeight w:val="243"/>
        </w:trPr>
        <w:tc>
          <w:tcPr>
            <w:tcW w:w="1580" w:type="dxa"/>
            <w:vAlign w:val="bottom"/>
            <w:shd w:val="clear" w:color="auto" w:fill="CFF0FC"/>
          </w:tcPr>
          <w:p>
            <w:pPr>
              <w:spacing w:after="0"/>
              <w:rPr>
                <w:sz w:val="20"/>
                <w:szCs w:val="20"/>
                <w:color w:val="auto"/>
              </w:rPr>
            </w:pPr>
            <w:r>
              <w:rPr>
                <w:rFonts w:ascii="Arial" w:cs="Arial" w:eastAsia="Arial" w:hAnsi="Arial"/>
                <w:sz w:val="20"/>
                <w:szCs w:val="20"/>
                <w:color w:val="auto"/>
              </w:rPr>
              <w:t>Woodville</w:t>
            </w:r>
          </w:p>
        </w:tc>
        <w:tc>
          <w:tcPr>
            <w:tcW w:w="90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w w:val="92"/>
              </w:rPr>
              <w:t>3300156</w:t>
            </w:r>
          </w:p>
        </w:tc>
        <w:tc>
          <w:tcPr>
            <w:tcW w:w="740" w:type="dxa"/>
            <w:vAlign w:val="bottom"/>
            <w:shd w:val="clear" w:color="auto" w:fill="CFF0FC"/>
          </w:tcPr>
          <w:p>
            <w:pPr>
              <w:jc w:val="center"/>
              <w:ind w:right="101"/>
              <w:spacing w:after="0"/>
              <w:rPr>
                <w:sz w:val="20"/>
                <w:szCs w:val="20"/>
                <w:color w:val="auto"/>
              </w:rPr>
            </w:pPr>
            <w:r>
              <w:rPr>
                <w:rFonts w:ascii="Arial" w:cs="Arial" w:eastAsia="Arial" w:hAnsi="Arial"/>
                <w:sz w:val="20"/>
                <w:szCs w:val="20"/>
                <w:color w:val="auto"/>
                <w:w w:val="89"/>
              </w:rPr>
              <w:t>0</w:t>
            </w:r>
          </w:p>
        </w:tc>
        <w:tc>
          <w:tcPr>
            <w:tcW w:w="860" w:type="dxa"/>
            <w:vAlign w:val="bottom"/>
            <w:shd w:val="clear" w:color="auto" w:fill="CFF0FC"/>
          </w:tcPr>
          <w:p>
            <w:pPr>
              <w:jc w:val="right"/>
              <w:ind w:right="28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72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4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1000" w:type="dxa"/>
            <w:vAlign w:val="bottom"/>
            <w:shd w:val="clear" w:color="auto" w:fill="CFF0FC"/>
          </w:tcPr>
          <w:p>
            <w:pPr>
              <w:jc w:val="center"/>
              <w:ind w:left="161"/>
              <w:spacing w:after="0"/>
              <w:rPr>
                <w:sz w:val="20"/>
                <w:szCs w:val="20"/>
                <w:color w:val="auto"/>
              </w:rPr>
            </w:pPr>
            <w:r>
              <w:rPr>
                <w:rFonts w:ascii="Arial" w:cs="Arial" w:eastAsia="Arial" w:hAnsi="Arial"/>
                <w:sz w:val="20"/>
                <w:szCs w:val="20"/>
                <w:color w:val="auto"/>
                <w:w w:val="89"/>
              </w:rPr>
              <w:t>0</w:t>
            </w:r>
          </w:p>
        </w:tc>
      </w:tr>
      <w:tr>
        <w:trPr>
          <w:trHeight w:val="243"/>
        </w:trPr>
        <w:tc>
          <w:tcPr>
            <w:tcW w:w="1580" w:type="dxa"/>
            <w:vAlign w:val="bottom"/>
            <w:shd w:val="clear" w:color="auto" w:fill="D9D9D9"/>
          </w:tcPr>
          <w:p>
            <w:pPr>
              <w:ind w:left="400"/>
              <w:spacing w:after="0"/>
              <w:rPr>
                <w:sz w:val="20"/>
                <w:szCs w:val="20"/>
                <w:color w:val="auto"/>
              </w:rPr>
            </w:pPr>
            <w:r>
              <w:rPr>
                <w:rFonts w:ascii="Arial" w:cs="Arial" w:eastAsia="Arial" w:hAnsi="Arial"/>
                <w:sz w:val="20"/>
                <w:szCs w:val="20"/>
                <w:b w:val="1"/>
                <w:bCs w:val="1"/>
                <w:color w:val="auto"/>
              </w:rPr>
              <w:t>TOTALS</w:t>
            </w:r>
          </w:p>
        </w:tc>
        <w:tc>
          <w:tcPr>
            <w:tcW w:w="900" w:type="dxa"/>
            <w:vAlign w:val="bottom"/>
            <w:shd w:val="clear" w:color="auto" w:fill="D9D9D9"/>
          </w:tcPr>
          <w:p>
            <w:pPr>
              <w:spacing w:after="0"/>
              <w:rPr>
                <w:sz w:val="21"/>
                <w:szCs w:val="21"/>
                <w:color w:val="auto"/>
              </w:rPr>
            </w:pPr>
          </w:p>
        </w:tc>
        <w:tc>
          <w:tcPr>
            <w:tcW w:w="740" w:type="dxa"/>
            <w:vAlign w:val="bottom"/>
            <w:shd w:val="clear" w:color="auto" w:fill="D9D9D9"/>
          </w:tcPr>
          <w:p>
            <w:pPr>
              <w:jc w:val="center"/>
              <w:ind w:right="101"/>
              <w:spacing w:after="0"/>
              <w:rPr>
                <w:sz w:val="20"/>
                <w:szCs w:val="20"/>
                <w:color w:val="auto"/>
              </w:rPr>
            </w:pPr>
            <w:r>
              <w:rPr>
                <w:rFonts w:ascii="Arial" w:cs="Arial" w:eastAsia="Arial" w:hAnsi="Arial"/>
                <w:sz w:val="20"/>
                <w:szCs w:val="20"/>
                <w:b w:val="1"/>
                <w:bCs w:val="1"/>
                <w:color w:val="auto"/>
                <w:w w:val="80"/>
              </w:rPr>
              <w:t>44</w:t>
            </w:r>
          </w:p>
        </w:tc>
        <w:tc>
          <w:tcPr>
            <w:tcW w:w="860" w:type="dxa"/>
            <w:vAlign w:val="bottom"/>
            <w:shd w:val="clear" w:color="auto" w:fill="D9D9D9"/>
          </w:tcPr>
          <w:p>
            <w:pPr>
              <w:jc w:val="right"/>
              <w:ind w:right="281"/>
              <w:spacing w:after="0"/>
              <w:rPr>
                <w:sz w:val="20"/>
                <w:szCs w:val="20"/>
                <w:color w:val="auto"/>
              </w:rPr>
            </w:pPr>
            <w:r>
              <w:rPr>
                <w:rFonts w:ascii="Arial" w:cs="Arial" w:eastAsia="Arial" w:hAnsi="Arial"/>
                <w:sz w:val="20"/>
                <w:szCs w:val="20"/>
                <w:b w:val="1"/>
                <w:bCs w:val="1"/>
                <w:color w:val="auto"/>
              </w:rPr>
              <w:t>0</w:t>
            </w:r>
          </w:p>
        </w:tc>
        <w:tc>
          <w:tcPr>
            <w:tcW w:w="760" w:type="dxa"/>
            <w:vAlign w:val="bottom"/>
            <w:shd w:val="clear" w:color="auto" w:fill="D9D9D9"/>
          </w:tcPr>
          <w:p>
            <w:pPr>
              <w:jc w:val="right"/>
              <w:ind w:right="201"/>
              <w:spacing w:after="0"/>
              <w:rPr>
                <w:sz w:val="20"/>
                <w:szCs w:val="20"/>
                <w:color w:val="auto"/>
              </w:rPr>
            </w:pPr>
            <w:r>
              <w:rPr>
                <w:rFonts w:ascii="Arial" w:cs="Arial" w:eastAsia="Arial" w:hAnsi="Arial"/>
                <w:sz w:val="20"/>
                <w:szCs w:val="20"/>
                <w:b w:val="1"/>
                <w:bCs w:val="1"/>
                <w:color w:val="auto"/>
              </w:rPr>
              <w:t>0</w:t>
            </w:r>
          </w:p>
        </w:tc>
        <w:tc>
          <w:tcPr>
            <w:tcW w:w="720" w:type="dxa"/>
            <w:vAlign w:val="bottom"/>
            <w:shd w:val="clear" w:color="auto" w:fill="D9D9D9"/>
          </w:tcPr>
          <w:p>
            <w:pPr>
              <w:jc w:val="right"/>
              <w:ind w:right="201"/>
              <w:spacing w:after="0"/>
              <w:rPr>
                <w:sz w:val="20"/>
                <w:szCs w:val="20"/>
                <w:color w:val="auto"/>
              </w:rPr>
            </w:pPr>
            <w:r>
              <w:rPr>
                <w:rFonts w:ascii="Arial" w:cs="Arial" w:eastAsia="Arial" w:hAnsi="Arial"/>
                <w:sz w:val="20"/>
                <w:szCs w:val="20"/>
                <w:b w:val="1"/>
                <w:bCs w:val="1"/>
                <w:color w:val="auto"/>
              </w:rPr>
              <w:t>0</w:t>
            </w:r>
          </w:p>
        </w:tc>
        <w:tc>
          <w:tcPr>
            <w:tcW w:w="580" w:type="dxa"/>
            <w:vAlign w:val="bottom"/>
            <w:shd w:val="clear" w:color="auto" w:fill="D9D9D9"/>
          </w:tcPr>
          <w:p>
            <w:pPr>
              <w:jc w:val="right"/>
              <w:ind w:right="61"/>
              <w:spacing w:after="0"/>
              <w:rPr>
                <w:sz w:val="20"/>
                <w:szCs w:val="20"/>
                <w:color w:val="auto"/>
              </w:rPr>
            </w:pPr>
            <w:r>
              <w:rPr>
                <w:rFonts w:ascii="Arial" w:cs="Arial" w:eastAsia="Arial" w:hAnsi="Arial"/>
                <w:sz w:val="20"/>
                <w:szCs w:val="20"/>
                <w:b w:val="1"/>
                <w:bCs w:val="1"/>
                <w:color w:val="auto"/>
              </w:rPr>
              <w:t>0</w:t>
            </w:r>
          </w:p>
        </w:tc>
        <w:tc>
          <w:tcPr>
            <w:tcW w:w="300" w:type="dxa"/>
            <w:vAlign w:val="bottom"/>
            <w:shd w:val="clear" w:color="auto" w:fill="D9D9D9"/>
          </w:tcPr>
          <w:p>
            <w:pPr>
              <w:jc w:val="right"/>
              <w:spacing w:after="0"/>
              <w:rPr>
                <w:sz w:val="20"/>
                <w:szCs w:val="20"/>
                <w:color w:val="auto"/>
              </w:rPr>
            </w:pPr>
            <w:r>
              <w:rPr>
                <w:rFonts w:ascii="Arial" w:cs="Arial" w:eastAsia="Arial" w:hAnsi="Arial"/>
                <w:sz w:val="20"/>
                <w:szCs w:val="20"/>
                <w:b w:val="1"/>
                <w:bCs w:val="1"/>
                <w:color w:val="auto"/>
              </w:rPr>
              <w:t>$</w:t>
            </w:r>
          </w:p>
        </w:tc>
        <w:tc>
          <w:tcPr>
            <w:tcW w:w="720" w:type="dxa"/>
            <w:vAlign w:val="bottom"/>
            <w:shd w:val="clear" w:color="auto" w:fill="D9D9D9"/>
          </w:tcPr>
          <w:p>
            <w:pPr>
              <w:jc w:val="right"/>
              <w:ind w:right="41"/>
              <w:spacing w:after="0"/>
              <w:rPr>
                <w:sz w:val="20"/>
                <w:szCs w:val="20"/>
                <w:color w:val="auto"/>
              </w:rPr>
            </w:pPr>
            <w:r>
              <w:rPr>
                <w:rFonts w:ascii="Arial" w:cs="Arial" w:eastAsia="Arial" w:hAnsi="Arial"/>
                <w:sz w:val="20"/>
                <w:szCs w:val="20"/>
                <w:b w:val="1"/>
                <w:bCs w:val="1"/>
                <w:color w:val="auto"/>
                <w:w w:val="91"/>
              </w:rPr>
              <w:t>33,111</w:t>
            </w:r>
          </w:p>
        </w:tc>
        <w:tc>
          <w:tcPr>
            <w:tcW w:w="480" w:type="dxa"/>
            <w:vAlign w:val="bottom"/>
            <w:shd w:val="clear" w:color="auto" w:fill="D9D9D9"/>
          </w:tcPr>
          <w:p>
            <w:pPr>
              <w:jc w:val="right"/>
              <w:ind w:right="121"/>
              <w:spacing w:after="0"/>
              <w:rPr>
                <w:sz w:val="20"/>
                <w:szCs w:val="20"/>
                <w:color w:val="auto"/>
              </w:rPr>
            </w:pPr>
            <w:r>
              <w:rPr>
                <w:rFonts w:ascii="Arial" w:cs="Arial" w:eastAsia="Arial" w:hAnsi="Arial"/>
                <w:sz w:val="20"/>
                <w:szCs w:val="20"/>
                <w:b w:val="1"/>
                <w:bCs w:val="1"/>
                <w:color w:val="auto"/>
              </w:rPr>
              <w:t>0</w:t>
            </w:r>
          </w:p>
        </w:tc>
        <w:tc>
          <w:tcPr>
            <w:tcW w:w="720" w:type="dxa"/>
            <w:vAlign w:val="bottom"/>
            <w:shd w:val="clear" w:color="auto" w:fill="D9D9D9"/>
          </w:tcPr>
          <w:p>
            <w:pPr>
              <w:spacing w:after="0"/>
              <w:rPr>
                <w:sz w:val="21"/>
                <w:szCs w:val="21"/>
                <w:color w:val="auto"/>
              </w:rPr>
            </w:pPr>
          </w:p>
        </w:tc>
        <w:tc>
          <w:tcPr>
            <w:tcW w:w="800" w:type="dxa"/>
            <w:vAlign w:val="bottom"/>
            <w:shd w:val="clear" w:color="auto" w:fill="D9D9D9"/>
          </w:tcPr>
          <w:p>
            <w:pPr>
              <w:spacing w:after="0"/>
              <w:rPr>
                <w:sz w:val="21"/>
                <w:szCs w:val="21"/>
                <w:color w:val="auto"/>
              </w:rPr>
            </w:pPr>
          </w:p>
        </w:tc>
        <w:tc>
          <w:tcPr>
            <w:tcW w:w="800" w:type="dxa"/>
            <w:vAlign w:val="bottom"/>
            <w:shd w:val="clear" w:color="auto" w:fill="D9D9D9"/>
          </w:tcPr>
          <w:p>
            <w:pPr>
              <w:jc w:val="center"/>
              <w:spacing w:after="0"/>
              <w:rPr>
                <w:sz w:val="20"/>
                <w:szCs w:val="20"/>
                <w:color w:val="auto"/>
              </w:rPr>
            </w:pPr>
            <w:r>
              <w:rPr>
                <w:rFonts w:ascii="Arial" w:cs="Arial" w:eastAsia="Arial" w:hAnsi="Arial"/>
                <w:sz w:val="20"/>
                <w:szCs w:val="20"/>
                <w:b w:val="1"/>
                <w:bCs w:val="1"/>
                <w:color w:val="auto"/>
                <w:w w:val="89"/>
              </w:rPr>
              <w:t>24</w:t>
            </w:r>
          </w:p>
        </w:tc>
        <w:tc>
          <w:tcPr>
            <w:tcW w:w="460" w:type="dxa"/>
            <w:vAlign w:val="bottom"/>
            <w:shd w:val="clear" w:color="auto" w:fill="D9D9D9"/>
          </w:tcPr>
          <w:p>
            <w:pPr>
              <w:jc w:val="right"/>
              <w:spacing w:after="0"/>
              <w:rPr>
                <w:sz w:val="20"/>
                <w:szCs w:val="20"/>
                <w:color w:val="auto"/>
              </w:rPr>
            </w:pPr>
            <w:r>
              <w:rPr>
                <w:rFonts w:ascii="Arial" w:cs="Arial" w:eastAsia="Arial" w:hAnsi="Arial"/>
                <w:sz w:val="20"/>
                <w:szCs w:val="20"/>
                <w:b w:val="1"/>
                <w:bCs w:val="1"/>
                <w:color w:val="auto"/>
              </w:rPr>
              <w:t>9</w:t>
            </w:r>
          </w:p>
        </w:tc>
        <w:tc>
          <w:tcPr>
            <w:tcW w:w="1000" w:type="dxa"/>
            <w:vAlign w:val="bottom"/>
            <w:shd w:val="clear" w:color="auto" w:fill="D9D9D9"/>
          </w:tcPr>
          <w:p>
            <w:pPr>
              <w:jc w:val="center"/>
              <w:ind w:left="141"/>
              <w:spacing w:after="0"/>
              <w:rPr>
                <w:sz w:val="20"/>
                <w:szCs w:val="20"/>
                <w:color w:val="auto"/>
              </w:rPr>
            </w:pPr>
            <w:r>
              <w:rPr>
                <w:rFonts w:ascii="Arial" w:cs="Arial" w:eastAsia="Arial" w:hAnsi="Arial"/>
                <w:sz w:val="20"/>
                <w:szCs w:val="20"/>
                <w:b w:val="1"/>
                <w:bCs w:val="1"/>
                <w:color w:val="auto"/>
                <w:w w:val="89"/>
              </w:rPr>
              <w:t>19</w:t>
            </w:r>
          </w:p>
        </w:tc>
      </w:tr>
    </w:tbl>
    <w:p>
      <w:pPr>
        <w:spacing w:after="0" w:line="91" w:lineRule="exact"/>
        <w:rPr>
          <w:sz w:val="20"/>
          <w:szCs w:val="20"/>
          <w:color w:val="auto"/>
        </w:rPr>
      </w:pPr>
    </w:p>
    <w:p>
      <w:pPr>
        <w:jc w:val="both"/>
        <w:ind w:left="80"/>
        <w:spacing w:after="0" w:line="244" w:lineRule="auto"/>
        <w:rPr>
          <w:sz w:val="20"/>
          <w:szCs w:val="20"/>
          <w:color w:val="auto"/>
        </w:rPr>
      </w:pPr>
      <w:r>
        <w:rPr>
          <w:rFonts w:ascii="Arial" w:cs="Arial" w:eastAsia="Arial" w:hAnsi="Arial"/>
          <w:sz w:val="20"/>
          <w:szCs w:val="20"/>
          <w:color w:val="auto"/>
        </w:rPr>
        <w:t>*Of the 24 legal actions pending on September 30, 2015, 14 were contests of citations or orders referenced in Subpart B of CFR Part 2700, which includes contests of citations and orders issued under Section 104 of the Mine Act and contests of imminent danger orders under Section 107 of the Mine Act and 10 were contests of proposed penalties referenced in Subpart C of 29 CFR Part 2700, which are administrative proceedings before the Commission challenging a civil penalty that MSHA has proposed for the violation contained in a citation or order.</w:t>
      </w:r>
    </w:p>
    <w:sectPr>
      <w:pgSz w:w="11900" w:h="16838" w:orient="portrait"/>
      <w:cols w:equalWidth="0" w:num="1">
        <w:col w:w="11420"/>
      </w:cols>
      <w:pgMar w:left="240" w:top="12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8EDBDAB"/>
    <w:multiLevelType w:val="hybridMultilevel"/>
    <w:lvl w:ilvl="0">
      <w:lvlJc w:val="left"/>
      <w:lvlText w:val="☒"/>
      <w:numFmt w:val="bullet"/>
      <w:start w:val="1"/>
    </w:lvl>
  </w:abstractNum>
  <w:abstractNum w:abstractNumId="1">
    <w:nsid w:val="79838CB2"/>
    <w:multiLevelType w:val="hybridMultilevel"/>
    <w:lvl w:ilvl="0">
      <w:lvlJc w:val="left"/>
      <w:lvlText w:val="o"/>
      <w:numFmt w:val="bullet"/>
      <w:start w:val="1"/>
    </w:lvl>
  </w:abstractNum>
  <w:abstractNum w:abstractNumId="2">
    <w:nsid w:val="4353D0CD"/>
    <w:multiLevelType w:val="hybridMultilevel"/>
    <w:lvl w:ilvl="0">
      <w:lvlJc w:val="left"/>
      <w:lvlText w:val="%1."/>
      <w:numFmt w:val="decimal"/>
      <w:start w:val="1"/>
    </w:lvl>
  </w:abstractNum>
  <w:abstractNum w:abstractNumId="3">
    <w:nsid w:val="B03E0C6"/>
    <w:multiLevelType w:val="hybridMultilevel"/>
    <w:lvl w:ilvl="0">
      <w:lvlJc w:val="left"/>
      <w:lvlText w:val="%1."/>
      <w:numFmt w:val="decimal"/>
      <w:start w:val="1"/>
    </w:lvl>
  </w:abstractNum>
  <w:abstractNum w:abstractNumId="4">
    <w:nsid w:val="189A769B"/>
    <w:multiLevelType w:val="hybridMultilevel"/>
    <w:lvl w:ilvl="0">
      <w:lvlJc w:val="left"/>
      <w:lvlText w:val="%1."/>
      <w:numFmt w:val="decimal"/>
      <w:start w:val="1"/>
    </w:lvl>
  </w:abstractNum>
  <w:abstractNum w:abstractNumId="5">
    <w:nsid w:val="54E49EB4"/>
    <w:multiLevelType w:val="hybridMultilevel"/>
    <w:lvl w:ilvl="0">
      <w:lvlJc w:val="left"/>
      <w:lvlText w:val="%1."/>
      <w:numFmt w:val="decimal"/>
      <w:start w:val="1"/>
    </w:lvl>
  </w:abstractNum>
  <w:abstractNum w:abstractNumId="6">
    <w:nsid w:val="71F32454"/>
    <w:multiLevelType w:val="hybridMultilevel"/>
    <w:lvl w:ilvl="0">
      <w:lvlJc w:val="left"/>
      <w:lvlText w:val="%1."/>
      <w:numFmt w:val="decimal"/>
      <w:start w:val="1"/>
    </w:lvl>
  </w:abstractNum>
  <w:abstractNum w:abstractNumId="7">
    <w:nsid w:val="2CA88611"/>
    <w:multiLevelType w:val="hybridMultilevel"/>
    <w:lvl w:ilvl="0">
      <w:lvlJc w:val="left"/>
      <w:lvlText w:val="%1."/>
      <w:numFmt w:val="decimal"/>
      <w:start w:val="1"/>
    </w:lvl>
  </w:abstractNum>
  <w:abstractNum w:abstractNumId="8">
    <w:nsid w:val="836C40E"/>
    <w:multiLevelType w:val="hybridMultilevel"/>
    <w:lvl w:ilvl="0">
      <w:lvlJc w:val="left"/>
      <w:lvlText w:val="%1."/>
      <w:numFmt w:val="decimal"/>
      <w:start w:val="1"/>
    </w:lvl>
  </w:abstractNum>
  <w:abstractNum w:abstractNumId="9">
    <w:nsid w:val="2901D82"/>
    <w:multiLevelType w:val="hybridMultilevel"/>
    <w:lvl w:ilvl="0">
      <w:lvlJc w:val="left"/>
      <w:lvlText w:val="%1."/>
      <w:numFmt w:val="decimal"/>
      <w:start w:val="2"/>
    </w:lvl>
  </w:abstractNum>
  <w:abstractNum w:abstractNumId="10">
    <w:nsid w:val="3A95F874"/>
    <w:multiLevelType w:val="hybridMultilevel"/>
    <w:lvl w:ilvl="0">
      <w:lvlJc w:val="left"/>
      <w:lvlText w:val="%1."/>
      <w:numFmt w:val="decimal"/>
      <w:start w:val="2"/>
    </w:lvl>
  </w:abstractNum>
  <w:abstractNum w:abstractNumId="11">
    <w:nsid w:val="8138641"/>
    <w:multiLevelType w:val="hybridMultilevel"/>
    <w:lvl w:ilvl="0">
      <w:lvlJc w:val="left"/>
      <w:lvlText w:val="%1."/>
      <w:numFmt w:val="decimal"/>
      <w:start w:val="3"/>
    </w:lvl>
  </w:abstractNum>
  <w:abstractNum w:abstractNumId="12">
    <w:nsid w:val="1E7FF521"/>
    <w:multiLevelType w:val="hybridMultilevel"/>
    <w:lvl w:ilvl="0">
      <w:lvlJc w:val="left"/>
      <w:lvlText w:val="%1."/>
      <w:numFmt w:val="decimal"/>
      <w:start w:val="5"/>
    </w:lvl>
  </w:abstractNum>
  <w:abstractNum w:abstractNumId="13">
    <w:nsid w:val="7C3DBD3D"/>
    <w:multiLevelType w:val="hybridMultilevel"/>
    <w:lvl w:ilvl="0">
      <w:lvlJc w:val="left"/>
      <w:lvlText w:val="%1."/>
      <w:numFmt w:val="decimal"/>
      <w:start w:val="6"/>
    </w:lvl>
  </w:abstractNum>
  <w:abstractNum w:abstractNumId="14">
    <w:nsid w:val="737B8DDC"/>
    <w:multiLevelType w:val="hybridMultilevel"/>
    <w:lvl w:ilvl="0">
      <w:lvlJc w:val="left"/>
      <w:lvlText w:val="%1."/>
      <w:numFmt w:val="decimal"/>
      <w:start w:val="8"/>
    </w:lvl>
  </w:abstractNum>
  <w:abstractNum w:abstractNumId="15">
    <w:nsid w:val="6CEAF087"/>
    <w:multiLevelType w:val="hybridMultilevel"/>
    <w:lvl w:ilvl="0">
      <w:lvlJc w:val="left"/>
      <w:lvlText w:val="%1."/>
      <w:numFmt w:val="decimal"/>
      <w:start w:val="9"/>
    </w:lvl>
  </w:abstractNum>
  <w:abstractNum w:abstractNumId="16">
    <w:nsid w:val="22221A70"/>
    <w:multiLevelType w:val="hybridMultilevel"/>
    <w:lvl w:ilvl="0">
      <w:lvlJc w:val="left"/>
      <w:lvlText w:val="%1."/>
      <w:numFmt w:val="decimal"/>
      <w:start w:val="10"/>
    </w:lvl>
  </w:abstractNum>
  <w:abstractNum w:abstractNumId="17">
    <w:nsid w:val="4516DDE9"/>
    <w:multiLevelType w:val="hybridMultilevel"/>
    <w:lvl w:ilvl="0">
      <w:lvlJc w:val="left"/>
      <w:lvlText w:val="%1."/>
      <w:numFmt w:val="decimal"/>
      <w:start w:val="10"/>
    </w:lvl>
  </w:abstractNum>
  <w:abstractNum w:abstractNumId="18">
    <w:nsid w:val="3006C83E"/>
    <w:multiLevelType w:val="hybridMultilevel"/>
    <w:lvl w:ilvl="0">
      <w:lvlJc w:val="left"/>
      <w:lvlText w:val="%1."/>
      <w:numFmt w:val="decimal"/>
      <w:start w:val="10"/>
    </w:lvl>
  </w:abstractNum>
  <w:abstractNum w:abstractNumId="19">
    <w:nsid w:val="614FD4A1"/>
    <w:multiLevelType w:val="hybridMultilevel"/>
    <w:lvl w:ilvl="0">
      <w:lvlJc w:val="left"/>
      <w:lvlText w:val="%1."/>
      <w:numFmt w:val="decimal"/>
      <w:start w:val="11"/>
    </w:lvl>
  </w:abstractNum>
  <w:abstractNum w:abstractNumId="20">
    <w:nsid w:val="419AC241"/>
    <w:multiLevelType w:val="hybridMultilevel"/>
    <w:lvl w:ilvl="0">
      <w:lvlJc w:val="left"/>
      <w:lvlText w:val="$"/>
      <w:numFmt w:val="bullet"/>
      <w:start w:val="1"/>
    </w:lvl>
  </w:abstractNum>
  <w:abstractNum w:abstractNumId="21">
    <w:nsid w:val="5577F8E1"/>
    <w:multiLevelType w:val="hybridMultilevel"/>
    <w:lvl w:ilvl="0">
      <w:lvlJc w:val="left"/>
      <w:lvlText w:val="$"/>
      <w:numFmt w:val="bullet"/>
      <w:start w:val="1"/>
    </w:lvl>
  </w:abstractNum>
  <w:abstractNum w:abstractNumId="22">
    <w:nsid w:val="440BADFC"/>
    <w:multiLevelType w:val="hybridMultilevel"/>
    <w:lvl w:ilvl="0">
      <w:lvlJc w:val="left"/>
      <w:lvlText w:val="$"/>
      <w:numFmt w:val="bullet"/>
      <w:start w:val="1"/>
    </w:lvl>
  </w:abstractNum>
  <w:abstractNum w:abstractNumId="23">
    <w:nsid w:val="5072367"/>
    <w:multiLevelType w:val="hybridMultilevel"/>
    <w:lvl w:ilvl="0">
      <w:lvlJc w:val="left"/>
      <w:lvlText w:val="$"/>
      <w:numFmt w:val="bullet"/>
      <w:start w:val="1"/>
    </w:lvl>
  </w:abstractNum>
  <w:abstractNum w:abstractNumId="24">
    <w:nsid w:val="3804823E"/>
    <w:multiLevelType w:val="hybridMultilevel"/>
    <w:lvl w:ilvl="0">
      <w:lvlJc w:val="left"/>
      <w:lvlText w:val="$"/>
      <w:numFmt w:val="bullet"/>
      <w:start w:val="1"/>
    </w:lvl>
  </w:abstractNum>
  <w:abstractNum w:abstractNumId="25">
    <w:nsid w:val="77465F01"/>
    <w:multiLevelType w:val="hybridMultilevel"/>
    <w:lvl w:ilvl="0">
      <w:lvlJc w:val="left"/>
      <w:lvlText w:val="$"/>
      <w:numFmt w:val="bullet"/>
      <w:start w:val="1"/>
    </w:lvl>
  </w:abstractNum>
  <w:abstractNum w:abstractNumId="26">
    <w:nsid w:val="7724C67E"/>
    <w:multiLevelType w:val="hybridMultilevel"/>
    <w:lvl w:ilvl="0">
      <w:lvlJc w:val="left"/>
      <w:lvlText w:val="$"/>
      <w:numFmt w:val="bullet"/>
      <w:start w:val="1"/>
    </w:lvl>
  </w:abstractNum>
  <w:abstractNum w:abstractNumId="27">
    <w:nsid w:val="5C482A97"/>
    <w:multiLevelType w:val="hybridMultilevel"/>
    <w:lvl w:ilvl="0">
      <w:lvlJc w:val="left"/>
      <w:lvlText w:val="$"/>
      <w:numFmt w:val="bullet"/>
      <w:start w:val="1"/>
    </w:lvl>
  </w:abstractNum>
  <w:abstractNum w:abstractNumId="28">
    <w:nsid w:val="2463B9EA"/>
    <w:multiLevelType w:val="hybridMultilevel"/>
    <w:lvl w:ilvl="0">
      <w:lvlJc w:val="left"/>
      <w:lvlText w:val="·"/>
      <w:numFmt w:val="bullet"/>
      <w:start w:val="1"/>
    </w:lvl>
  </w:abstractNum>
  <w:abstractNum w:abstractNumId="29">
    <w:nsid w:val="5E884ADC"/>
    <w:multiLevelType w:val="hybridMultilevel"/>
    <w:lvl w:ilvl="0">
      <w:lvlJc w:val="left"/>
      <w:lvlText w:val="(%1)"/>
      <w:numFmt w:val="decimal"/>
      <w:start w:val="1"/>
    </w:lvl>
  </w:abstractNum>
  <w:abstractNum w:abstractNumId="30">
    <w:nsid w:val="51EAD36B"/>
    <w:multiLevelType w:val="hybridMultilevel"/>
    <w:lvl w:ilvl="0">
      <w:lvlJc w:val="left"/>
      <w:lvlText w:val="(%1)"/>
      <w:numFmt w:val="decimal"/>
      <w:start w:val="1"/>
    </w:lvl>
  </w:abstractNum>
  <w:abstractNum w:abstractNumId="31">
    <w:nsid w:val="2D517796"/>
    <w:multiLevelType w:val="hybridMultilevel"/>
    <w:lvl w:ilvl="0">
      <w:lvlJc w:val="left"/>
      <w:lvlText w:val="·"/>
      <w:numFmt w:val="bullet"/>
      <w:start w:val="1"/>
    </w:lvl>
  </w:abstractNum>
  <w:abstractNum w:abstractNumId="32">
    <w:nsid w:val="580BD78F"/>
    <w:multiLevelType w:val="hybridMultilevel"/>
    <w:lvl w:ilvl="0">
      <w:lvlJc w:val="left"/>
      <w:lvlText w:val="(%1)"/>
      <w:numFmt w:val="decimal"/>
      <w:start w:val="1"/>
    </w:lvl>
  </w:abstractNum>
  <w:abstractNum w:abstractNumId="33">
    <w:nsid w:val="153EA438"/>
    <w:multiLevelType w:val="hybridMultilevel"/>
    <w:lvl w:ilvl="0">
      <w:lvlJc w:val="left"/>
      <w:lvlText w:val="(%1)"/>
      <w:numFmt w:val="decimal"/>
      <w:start w:val="1"/>
    </w:lvl>
  </w:abstractNum>
  <w:abstractNum w:abstractNumId="34">
    <w:nsid w:val="3855585C"/>
    <w:multiLevelType w:val="hybridMultilevel"/>
    <w:lvl w:ilvl="0">
      <w:lvlJc w:val="left"/>
      <w:lvlText w:val="(%1)"/>
      <w:numFmt w:val="decimal"/>
      <w:start w:val="4"/>
    </w:lvl>
  </w:abstractNum>
  <w:abstractNum w:abstractNumId="35">
    <w:nsid w:val="70A64E2A"/>
    <w:multiLevelType w:val="hybridMultilevel"/>
    <w:lvl w:ilvl="0">
      <w:lvlJc w:val="left"/>
      <w:lvlText w:val="·"/>
      <w:numFmt w:val="bullet"/>
      <w:start w:val="1"/>
    </w:lvl>
  </w:abstractNum>
  <w:abstractNum w:abstractNumId="36">
    <w:nsid w:val="6A2342EC"/>
    <w:multiLevelType w:val="hybridMultilevel"/>
    <w:lvl w:ilvl="0">
      <w:lvlJc w:val="left"/>
      <w:lvlText w:val="·"/>
      <w:numFmt w:val="bullet"/>
      <w:start w:val="1"/>
    </w:lvl>
  </w:abstractNum>
  <w:abstractNum w:abstractNumId="37">
    <w:nsid w:val="2A487CB0"/>
    <w:multiLevelType w:val="hybridMultilevel"/>
    <w:lvl w:ilvl="0">
      <w:lvlJc w:val="left"/>
      <w:lvlText w:val="·"/>
      <w:numFmt w:val="bullet"/>
      <w:start w:val="1"/>
    </w:lvl>
    <w:lvl w:ilvl="1">
      <w:lvlJc w:val="left"/>
      <w:lvlText w:val="o"/>
      <w:numFmt w:val="bullet"/>
      <w:start w:val="1"/>
    </w:lvl>
  </w:abstractNum>
  <w:abstractNum w:abstractNumId="38">
    <w:nsid w:val="1D4ED43B"/>
    <w:multiLevelType w:val="hybridMultilevel"/>
    <w:lvl w:ilvl="0">
      <w:lvlJc w:val="left"/>
      <w:lvlText w:val="•"/>
      <w:numFmt w:val="bullet"/>
      <w:start w:val="1"/>
    </w:lvl>
  </w:abstractNum>
  <w:abstractNum w:abstractNumId="39">
    <w:nsid w:val="725A06FB"/>
    <w:multiLevelType w:val="hybridMultilevel"/>
    <w:lvl w:ilvl="0">
      <w:lvlJc w:val="left"/>
      <w:lvlText w:val="%1."/>
      <w:numFmt w:val="decimal"/>
      <w:start w:val="1"/>
    </w:lvl>
    <w:lvl w:ilvl="1">
      <w:lvlJc w:val="left"/>
      <w:lvlText w:val="%2."/>
      <w:numFmt w:val="lowerLetter"/>
      <w:start w:val="1"/>
    </w:lvl>
  </w:abstractNum>
  <w:abstractNum w:abstractNumId="40">
    <w:nsid w:val="2CD89A32"/>
    <w:multiLevelType w:val="hybridMultilevel"/>
    <w:lvl w:ilvl="0">
      <w:lvlJc w:val="left"/>
      <w:lvlText w:val="%1."/>
      <w:numFmt w:val="decimal"/>
      <w:start w:val="5"/>
    </w:lvl>
    <w:lvl w:ilvl="1">
      <w:lvlJc w:val="left"/>
      <w:lvlText w:val="%2."/>
      <w:numFmt w:val="lowerLetter"/>
      <w:start w:val="1"/>
    </w:lvl>
  </w:abstractNum>
  <w:abstractNum w:abstractNumId="41">
    <w:nsid w:val="57E4CCAF"/>
    <w:multiLevelType w:val="hybridMultilevel"/>
    <w:lvl w:ilvl="0">
      <w:lvlJc w:val="left"/>
      <w:lvlText w:val="%1."/>
      <w:numFmt w:val="decimal"/>
      <w:start w:val="1"/>
    </w:lvl>
    <w:lvl w:ilvl="1">
      <w:lvlJc w:val="left"/>
      <w:lvlText w:val="%2."/>
      <w:numFmt w:val="lowerLetter"/>
      <w:start w:val="1"/>
    </w:lvl>
  </w:abstractNum>
  <w:abstractNum w:abstractNumId="42">
    <w:nsid w:val="7A6D8D3C"/>
    <w:multiLevelType w:val="hybridMultilevel"/>
    <w:lvl w:ilvl="0">
      <w:lvlJc w:val="left"/>
      <w:lvlText w:val="%1."/>
      <w:numFmt w:val="decimal"/>
      <w:start w:val="5"/>
    </w:lvl>
    <w:lvl w:ilvl="1">
      <w:lvlJc w:val="left"/>
      <w:lvlText w:val="%2."/>
      <w:numFmt w:val="lowerLetter"/>
      <w:start w:val="1"/>
    </w:lvl>
  </w:abstractNum>
  <w:abstractNum w:abstractNumId="43">
    <w:nsid w:val="4B588F54"/>
    <w:multiLevelType w:val="hybridMultilevel"/>
    <w:lvl w:ilvl="0">
      <w:lvlJc w:val="left"/>
      <w:lvlText w:val="(%1)"/>
      <w:numFmt w:val="decimal"/>
      <w:start w:val="1"/>
    </w:lvl>
  </w:abstractNum>
  <w:abstractNum w:abstractNumId="44">
    <w:nsid w:val="542289EC"/>
    <w:multiLevelType w:val="hybridMultilevel"/>
    <w:lvl w:ilvl="0">
      <w:lvlJc w:val="left"/>
      <w:lvlText w:val="(%1)"/>
      <w:numFmt w:val="decimal"/>
      <w:start w:val="1"/>
    </w:lvl>
  </w:abstractNum>
  <w:abstractNum w:abstractNumId="45">
    <w:nsid w:val="6DE91B18"/>
    <w:multiLevelType w:val="hybridMultilevel"/>
    <w:lvl w:ilvl="0">
      <w:lvlJc w:val="left"/>
      <w:lvlText w:val="•"/>
      <w:numFmt w:val="bullet"/>
      <w:start w:val="1"/>
    </w:lvl>
  </w:abstractNum>
  <w:abstractNum w:abstractNumId="46">
    <w:nsid w:val="38437FDB"/>
    <w:multiLevelType w:val="hybridMultilevel"/>
    <w:lvl w:ilvl="0">
      <w:lvlJc w:val="left"/>
      <w:lvlText w:val="•"/>
      <w:numFmt w:val="bullet"/>
      <w:start w:val="1"/>
    </w:lvl>
  </w:abstractNum>
  <w:abstractNum w:abstractNumId="47">
    <w:nsid w:val="7644A45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2019-12-29T14:35:16Z</dcterms:created>
  <dcterms:modified xsi:type="dcterms:W3CDTF">2019-12-29T14:35:16Z</dcterms:modified>
</cp:coreProperties>
</file>