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197485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MARTIN MARIETTA MATERIALS, INC.</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232410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3140" w:type="dxa"/>
            <w:vAlign w:val="bottom"/>
          </w:tcPr>
          <w:p>
            <w:pPr>
              <w:jc w:val="center"/>
              <w:ind w:right="501"/>
              <w:spacing w:after="0"/>
              <w:rPr>
                <w:sz w:val="20"/>
                <w:szCs w:val="20"/>
                <w:color w:val="auto"/>
              </w:rPr>
            </w:pPr>
            <w:r>
              <w:rPr>
                <w:rFonts w:ascii="Arial" w:cs="Arial" w:eastAsia="Arial" w:hAnsi="Arial"/>
                <w:sz w:val="18"/>
                <w:szCs w:val="18"/>
                <w:b w:val="1"/>
                <w:bCs w:val="1"/>
                <w:color w:val="auto"/>
                <w:w w:val="99"/>
              </w:rPr>
              <w:t>North Carolina</w:t>
            </w:r>
          </w:p>
        </w:tc>
        <w:tc>
          <w:tcPr>
            <w:tcW w:w="3240" w:type="dxa"/>
            <w:vAlign w:val="bottom"/>
          </w:tcPr>
          <w:p>
            <w:pPr>
              <w:jc w:val="right"/>
              <w:ind w:right="1381"/>
              <w:spacing w:after="0"/>
              <w:rPr>
                <w:sz w:val="20"/>
                <w:szCs w:val="20"/>
                <w:color w:val="auto"/>
              </w:rPr>
            </w:pPr>
            <w:r>
              <w:rPr>
                <w:rFonts w:ascii="Arial" w:cs="Arial" w:eastAsia="Arial" w:hAnsi="Arial"/>
                <w:sz w:val="18"/>
                <w:szCs w:val="18"/>
                <w:b w:val="1"/>
                <w:bCs w:val="1"/>
                <w:color w:val="auto"/>
              </w:rPr>
              <w:t>1-12744</w:t>
            </w:r>
          </w:p>
        </w:tc>
        <w:tc>
          <w:tcPr>
            <w:tcW w:w="2080" w:type="dxa"/>
            <w:vAlign w:val="bottom"/>
          </w:tcPr>
          <w:p>
            <w:pPr>
              <w:jc w:val="right"/>
              <w:ind w:right="4"/>
              <w:spacing w:after="0"/>
              <w:rPr>
                <w:sz w:val="20"/>
                <w:szCs w:val="20"/>
                <w:color w:val="auto"/>
              </w:rPr>
            </w:pPr>
            <w:r>
              <w:rPr>
                <w:rFonts w:ascii="Arial" w:cs="Arial" w:eastAsia="Arial" w:hAnsi="Arial"/>
                <w:sz w:val="18"/>
                <w:szCs w:val="18"/>
                <w:b w:val="1"/>
                <w:bCs w:val="1"/>
                <w:color w:val="auto"/>
              </w:rPr>
              <w:t>56-1848578</w:t>
            </w:r>
          </w:p>
        </w:tc>
      </w:tr>
      <w:tr>
        <w:trPr>
          <w:trHeight w:val="149"/>
        </w:trPr>
        <w:tc>
          <w:tcPr>
            <w:tcW w:w="3140" w:type="dxa"/>
            <w:vAlign w:val="bottom"/>
          </w:tcPr>
          <w:p>
            <w:pPr>
              <w:jc w:val="center"/>
              <w:ind w:right="501"/>
              <w:spacing w:after="0"/>
              <w:rPr>
                <w:sz w:val="20"/>
                <w:szCs w:val="20"/>
                <w:color w:val="auto"/>
              </w:rPr>
            </w:pPr>
            <w:r>
              <w:rPr>
                <w:rFonts w:ascii="Arial" w:cs="Arial" w:eastAsia="Arial" w:hAnsi="Arial"/>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Arial" w:cs="Arial" w:eastAsia="Arial" w:hAnsi="Arial"/>
                <w:sz w:val="13"/>
                <w:szCs w:val="13"/>
                <w:b w:val="1"/>
                <w:bCs w:val="1"/>
                <w:color w:val="auto"/>
              </w:rPr>
              <w:t>(Commission File Number)</w:t>
            </w:r>
          </w:p>
        </w:tc>
        <w:tc>
          <w:tcPr>
            <w:tcW w:w="2080" w:type="dxa"/>
            <w:vAlign w:val="bottom"/>
          </w:tcPr>
          <w:p>
            <w:pPr>
              <w:jc w:val="center"/>
              <w:ind w:left="884"/>
              <w:spacing w:after="0"/>
              <w:rPr>
                <w:sz w:val="20"/>
                <w:szCs w:val="20"/>
                <w:color w:val="auto"/>
              </w:rPr>
            </w:pPr>
            <w:r>
              <w:rPr>
                <w:rFonts w:ascii="Arial" w:cs="Arial" w:eastAsia="Arial" w:hAnsi="Arial"/>
                <w:sz w:val="13"/>
                <w:szCs w:val="13"/>
                <w:b w:val="1"/>
                <w:bCs w:val="1"/>
                <w:color w:val="auto"/>
              </w:rPr>
              <w:t>(IRS Employer</w:t>
            </w:r>
          </w:p>
        </w:tc>
      </w:tr>
      <w:tr>
        <w:trPr>
          <w:trHeight w:val="186"/>
        </w:trPr>
        <w:tc>
          <w:tcPr>
            <w:tcW w:w="3140" w:type="dxa"/>
            <w:vAlign w:val="bottom"/>
          </w:tcPr>
          <w:p>
            <w:pPr>
              <w:jc w:val="center"/>
              <w:ind w:right="501"/>
              <w:spacing w:after="0"/>
              <w:rPr>
                <w:sz w:val="20"/>
                <w:szCs w:val="20"/>
                <w:color w:val="auto"/>
              </w:rPr>
            </w:pPr>
            <w:r>
              <w:rPr>
                <w:rFonts w:ascii="Arial" w:cs="Arial" w:eastAsia="Arial" w:hAnsi="Arial"/>
                <w:sz w:val="13"/>
                <w:szCs w:val="13"/>
                <w:b w:val="1"/>
                <w:bCs w:val="1"/>
                <w:color w:val="auto"/>
              </w:rPr>
              <w:t>of Incorporation)</w:t>
            </w:r>
          </w:p>
        </w:tc>
        <w:tc>
          <w:tcPr>
            <w:tcW w:w="3240" w:type="dxa"/>
            <w:vAlign w:val="bottom"/>
          </w:tcPr>
          <w:p>
            <w:pPr>
              <w:spacing w:after="0"/>
              <w:rPr>
                <w:sz w:val="16"/>
                <w:szCs w:val="16"/>
                <w:color w:val="auto"/>
              </w:rPr>
            </w:pPr>
          </w:p>
        </w:tc>
        <w:tc>
          <w:tcPr>
            <w:tcW w:w="2080" w:type="dxa"/>
            <w:vAlign w:val="bottom"/>
          </w:tcPr>
          <w:p>
            <w:pPr>
              <w:jc w:val="center"/>
              <w:ind w:left="864"/>
              <w:spacing w:after="0"/>
              <w:rPr>
                <w:sz w:val="20"/>
                <w:szCs w:val="20"/>
                <w:color w:val="auto"/>
              </w:rPr>
            </w:pPr>
            <w:r>
              <w:rPr>
                <w:rFonts w:ascii="Arial" w:cs="Arial" w:eastAsia="Arial" w:hAnsi="Arial"/>
                <w:sz w:val="13"/>
                <w:szCs w:val="13"/>
                <w:b w:val="1"/>
                <w:bCs w:val="1"/>
                <w:color w:val="auto"/>
              </w:rPr>
              <w:t>Identification No.)</w:t>
            </w:r>
          </w:p>
        </w:tc>
      </w:tr>
      <w:tr>
        <w:trPr>
          <w:trHeight w:val="363"/>
        </w:trPr>
        <w:tc>
          <w:tcPr>
            <w:tcW w:w="3140" w:type="dxa"/>
            <w:vAlign w:val="bottom"/>
          </w:tcPr>
          <w:p>
            <w:pPr>
              <w:jc w:val="center"/>
              <w:ind w:right="501"/>
              <w:spacing w:after="0"/>
              <w:rPr>
                <w:sz w:val="20"/>
                <w:szCs w:val="20"/>
                <w:color w:val="auto"/>
              </w:rPr>
            </w:pPr>
            <w:r>
              <w:rPr>
                <w:rFonts w:ascii="Arial" w:cs="Arial" w:eastAsia="Arial" w:hAnsi="Arial"/>
                <w:sz w:val="18"/>
                <w:szCs w:val="18"/>
                <w:b w:val="1"/>
                <w:bCs w:val="1"/>
                <w:color w:val="auto"/>
                <w:w w:val="99"/>
              </w:rPr>
              <w:t>4123 Parklake Avenue</w:t>
            </w:r>
          </w:p>
        </w:tc>
        <w:tc>
          <w:tcPr>
            <w:tcW w:w="32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07"/>
        </w:trPr>
        <w:tc>
          <w:tcPr>
            <w:tcW w:w="3140" w:type="dxa"/>
            <w:vAlign w:val="bottom"/>
          </w:tcPr>
          <w:p>
            <w:pPr>
              <w:jc w:val="center"/>
              <w:ind w:right="501"/>
              <w:spacing w:after="0"/>
              <w:rPr>
                <w:sz w:val="20"/>
                <w:szCs w:val="20"/>
                <w:color w:val="auto"/>
              </w:rPr>
            </w:pPr>
            <w:r>
              <w:rPr>
                <w:rFonts w:ascii="Arial" w:cs="Arial" w:eastAsia="Arial" w:hAnsi="Arial"/>
                <w:sz w:val="18"/>
                <w:szCs w:val="18"/>
                <w:b w:val="1"/>
                <w:bCs w:val="1"/>
                <w:color w:val="auto"/>
                <w:w w:val="99"/>
              </w:rPr>
              <w:t>Raleigh, North Carolina</w:t>
            </w:r>
          </w:p>
        </w:tc>
        <w:tc>
          <w:tcPr>
            <w:tcW w:w="3240" w:type="dxa"/>
            <w:vAlign w:val="bottom"/>
          </w:tcPr>
          <w:p>
            <w:pPr>
              <w:spacing w:after="0"/>
              <w:rPr>
                <w:sz w:val="17"/>
                <w:szCs w:val="17"/>
                <w:color w:val="auto"/>
              </w:rPr>
            </w:pPr>
          </w:p>
        </w:tc>
        <w:tc>
          <w:tcPr>
            <w:tcW w:w="2080" w:type="dxa"/>
            <w:vAlign w:val="bottom"/>
          </w:tcPr>
          <w:p>
            <w:pPr>
              <w:jc w:val="right"/>
              <w:ind w:right="244"/>
              <w:spacing w:after="0"/>
              <w:rPr>
                <w:sz w:val="20"/>
                <w:szCs w:val="20"/>
                <w:color w:val="auto"/>
              </w:rPr>
            </w:pPr>
            <w:r>
              <w:rPr>
                <w:rFonts w:ascii="Arial" w:cs="Arial" w:eastAsia="Arial" w:hAnsi="Arial"/>
                <w:sz w:val="18"/>
                <w:szCs w:val="18"/>
                <w:b w:val="1"/>
                <w:bCs w:val="1"/>
                <w:color w:val="auto"/>
              </w:rPr>
              <w:t>27612</w:t>
            </w:r>
          </w:p>
        </w:tc>
      </w:tr>
      <w:tr>
        <w:trPr>
          <w:trHeight w:val="186"/>
        </w:trPr>
        <w:tc>
          <w:tcPr>
            <w:tcW w:w="3140" w:type="dxa"/>
            <w:vAlign w:val="bottom"/>
          </w:tcPr>
          <w:p>
            <w:pPr>
              <w:jc w:val="center"/>
              <w:ind w:right="501"/>
              <w:spacing w:after="0"/>
              <w:rPr>
                <w:sz w:val="20"/>
                <w:szCs w:val="20"/>
                <w:color w:val="auto"/>
              </w:rPr>
            </w:pPr>
            <w:r>
              <w:rPr>
                <w:rFonts w:ascii="Arial" w:cs="Arial" w:eastAsia="Arial" w:hAnsi="Arial"/>
                <w:sz w:val="13"/>
                <w:szCs w:val="13"/>
                <w:b w:val="1"/>
                <w:bCs w:val="1"/>
                <w:color w:val="auto"/>
              </w:rPr>
              <w:t>(Address of Principal Executive Offices)</w:t>
            </w:r>
          </w:p>
        </w:tc>
        <w:tc>
          <w:tcPr>
            <w:tcW w:w="3240" w:type="dxa"/>
            <w:vAlign w:val="bottom"/>
          </w:tcPr>
          <w:p>
            <w:pPr>
              <w:spacing w:after="0"/>
              <w:rPr>
                <w:sz w:val="16"/>
                <w:szCs w:val="16"/>
                <w:color w:val="auto"/>
              </w:rPr>
            </w:pPr>
          </w:p>
        </w:tc>
        <w:tc>
          <w:tcPr>
            <w:tcW w:w="2080" w:type="dxa"/>
            <w:vAlign w:val="bottom"/>
          </w:tcPr>
          <w:p>
            <w:pPr>
              <w:jc w:val="center"/>
              <w:ind w:left="884"/>
              <w:spacing w:after="0"/>
              <w:rPr>
                <w:sz w:val="20"/>
                <w:szCs w:val="20"/>
                <w:color w:val="auto"/>
              </w:rPr>
            </w:pPr>
            <w:r>
              <w:rPr>
                <w:rFonts w:ascii="Arial" w:cs="Arial" w:eastAsia="Arial" w:hAnsi="Arial"/>
                <w:sz w:val="13"/>
                <w:szCs w:val="13"/>
                <w:b w:val="1"/>
                <w:bCs w:val="1"/>
                <w:color w:val="auto"/>
              </w:rPr>
              <w:t>(Zip Code)</w:t>
            </w:r>
          </w:p>
        </w:tc>
      </w:tr>
    </w:tbl>
    <w:p>
      <w:pPr>
        <w:spacing w:after="0" w:line="39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919 781-4550</w:t>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248920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14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2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Symbol(s)</w:t>
            </w:r>
          </w:p>
        </w:tc>
        <w:tc>
          <w:tcPr>
            <w:tcW w:w="120" w:type="dxa"/>
            <w:vAlign w:val="bottom"/>
          </w:tcPr>
          <w:p>
            <w:pPr>
              <w:spacing w:after="0"/>
              <w:rPr>
                <w:sz w:val="19"/>
                <w:szCs w:val="19"/>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MLM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8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1" w:lineRule="exact"/>
        <w:rPr>
          <w:sz w:val="24"/>
          <w:szCs w:val="24"/>
          <w:color w:val="auto"/>
        </w:rPr>
      </w:pPr>
    </w:p>
    <w:p>
      <w:pPr>
        <w:ind w:right="2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96"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On April 30, 2026, the Company announced financial results for the first quarter ended March 31, 2026. The press release, dated April 30, 2026, is furnished as Exhibit 99.1 to this report and is incorporated by reference herein.</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9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On April 30, 2026, the Company announced financial results for the first quarter ended March 31, 2026. The press release, dated April 30, 2026, is furnished as Exhibit 99.1 to this report and is incorporated by reference herein. Additional information about the quarter, and the Company’s use of non-GAAP financial measures, is available on the Company’s website at www.martinmarietta.com by clicking the heading “Reports &amp; Filings” in the “Investors” section and then clicking the quick link “Non-GAAP Measures”.</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Company will host an online web simulcast of its first quarter 2026 earnings conference call on Thursday, April 30, 2026. The live broadcast of the Company’s conference call will begin at 10:00 a.m., Eastern Time, on April 30, 2026 and can be accessed by dialing +1 (646) 307-1963 and using conference ID 6288728. An online replay will be available approximately two hours following the conclusion of the live broadcast and will remain available for one year. A link to these events will be available on the Company’s website at www.martinmarietta.com. Additional information about the Company’s use of non-GAAP financial measures, as well as certain other financial or statistical information the Company may present at the conference call, will be provided on the Company’s website.</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u w:val="single" w:color="auto"/>
          <w:color w:val="0000FF"/>
        </w:rPr>
        <w:t>99.1</w:t>
      </w:r>
      <w:r>
        <w:rPr>
          <w:sz w:val="20"/>
          <w:szCs w:val="20"/>
          <w:color w:val="auto"/>
        </w:rPr>
        <w:tab/>
      </w:r>
      <w:r>
        <w:rPr>
          <w:rFonts w:ascii="Arial" w:cs="Arial" w:eastAsia="Arial" w:hAnsi="Arial"/>
          <w:sz w:val="19"/>
          <w:szCs w:val="19"/>
          <w:color w:val="auto"/>
        </w:rPr>
        <w:t>Press Release dated April 30, 2026, announcing financial results for the first quarter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44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4475" cy="8890"/>
                    </a:xfrm>
                    <a:prstGeom prst="rect">
                      <a:avLst/>
                    </a:prstGeom>
                    <a:noFill/>
                  </pic:spPr>
                </pic:pic>
              </a:graphicData>
            </a:graphic>
          </wp:anchor>
        </w:drawing>
      </w:r>
    </w:p>
    <w:p>
      <w:pPr>
        <w:spacing w:after="0" w:line="182"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55"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MARTIN MARIETTA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5080</wp:posOffset>
            </wp:positionV>
            <wp:extent cx="3437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ind w:left="6440"/>
        <w:spacing w:after="0"/>
        <w:rPr>
          <w:sz w:val="20"/>
          <w:szCs w:val="20"/>
          <w:color w:val="auto"/>
        </w:rPr>
      </w:pPr>
      <w:r>
        <w:rPr>
          <w:rFonts w:ascii="Arial" w:cs="Arial" w:eastAsia="Arial" w:hAnsi="Arial"/>
          <w:sz w:val="20"/>
          <w:szCs w:val="20"/>
          <w:color w:val="auto"/>
        </w:rPr>
        <w:t>(Registrant)</w:t>
      </w:r>
    </w:p>
    <w:p>
      <w:pPr>
        <w:spacing w:after="0" w:line="184" w:lineRule="exact"/>
        <w:rPr>
          <w:sz w:val="20"/>
          <w:szCs w:val="20"/>
          <w:color w:val="auto"/>
        </w:rPr>
      </w:pPr>
    </w:p>
    <w:p>
      <w:pPr>
        <w:spacing w:after="0"/>
        <w:tabs>
          <w:tab w:leader="none" w:pos="5800" w:val="left"/>
          <w:tab w:leader="none" w:pos="6420" w:val="left"/>
        </w:tabs>
        <w:rPr>
          <w:sz w:val="20"/>
          <w:szCs w:val="20"/>
          <w:color w:val="auto"/>
        </w:rPr>
      </w:pPr>
      <w:r>
        <w:rPr>
          <w:rFonts w:ascii="Arial" w:cs="Arial" w:eastAsia="Arial" w:hAnsi="Arial"/>
          <w:sz w:val="20"/>
          <w:szCs w:val="20"/>
          <w:color w:val="auto"/>
        </w:rPr>
        <w:t>Date: April 30, 2026</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Michael J. Petro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5080</wp:posOffset>
            </wp:positionV>
            <wp:extent cx="3042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6440"/>
        <w:spacing w:after="0"/>
        <w:rPr>
          <w:sz w:val="20"/>
          <w:szCs w:val="20"/>
          <w:color w:val="auto"/>
        </w:rPr>
      </w:pPr>
      <w:r>
        <w:rPr>
          <w:rFonts w:ascii="Arial" w:cs="Arial" w:eastAsia="Arial" w:hAnsi="Arial"/>
          <w:sz w:val="20"/>
          <w:szCs w:val="20"/>
          <w:color w:val="auto"/>
        </w:rPr>
        <w:t>Michael J. Petro,</w:t>
      </w:r>
    </w:p>
    <w:p>
      <w:pPr>
        <w:ind w:left="6440"/>
        <w:spacing w:after="0" w:line="225" w:lineRule="auto"/>
        <w:rPr>
          <w:sz w:val="20"/>
          <w:szCs w:val="20"/>
          <w:color w:val="auto"/>
        </w:rPr>
      </w:pPr>
      <w:r>
        <w:rPr>
          <w:rFonts w:ascii="Arial" w:cs="Arial" w:eastAsia="Arial" w:hAnsi="Arial"/>
          <w:sz w:val="20"/>
          <w:szCs w:val="20"/>
          <w:color w:val="auto"/>
        </w:rPr>
        <w:t>Senior Vice President and Chief Financial Officer</w:t>
      </w:r>
    </w:p>
    <w:p>
      <w:pPr>
        <w:ind w:left="6440"/>
        <w:spacing w:after="0"/>
        <w:rPr>
          <w:sz w:val="20"/>
          <w:szCs w:val="20"/>
          <w:color w:val="auto"/>
        </w:rPr>
      </w:pPr>
      <w:r>
        <w:rPr>
          <w:rFonts w:ascii="Arial" w:cs="Arial" w:eastAsia="Arial" w:hAnsi="Arial"/>
          <w:sz w:val="20"/>
          <w:szCs w:val="20"/>
          <w:color w:val="auto"/>
        </w:rPr>
        <w:t>(Authorized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6106160</wp:posOffset>
            </wp:positionH>
            <wp:positionV relativeFrom="page">
              <wp:posOffset>500380</wp:posOffset>
            </wp:positionV>
            <wp:extent cx="1234440" cy="506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506095"/>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32"/>
          <w:szCs w:val="32"/>
          <w:color w:val="007DC6"/>
        </w:rPr>
        <w:t>MARTIN MARIETTA REPORTS FIRST-QUARTER 2026 RESULTS</w:t>
      </w:r>
    </w:p>
    <w:p>
      <w:pPr>
        <w:spacing w:after="0" w:line="253" w:lineRule="exact"/>
        <w:rPr>
          <w:sz w:val="20"/>
          <w:szCs w:val="20"/>
          <w:color w:val="auto"/>
        </w:rPr>
      </w:pPr>
    </w:p>
    <w:p>
      <w:pPr>
        <w:jc w:val="center"/>
        <w:ind w:left="340" w:right="1820"/>
        <w:spacing w:after="0" w:line="432" w:lineRule="auto"/>
        <w:rPr>
          <w:sz w:val="20"/>
          <w:szCs w:val="20"/>
          <w:color w:val="auto"/>
        </w:rPr>
      </w:pPr>
      <w:r>
        <w:rPr>
          <w:rFonts w:ascii="Arial" w:cs="Arial" w:eastAsia="Arial" w:hAnsi="Arial"/>
          <w:sz w:val="22"/>
          <w:szCs w:val="22"/>
          <w:b w:val="1"/>
          <w:bCs w:val="1"/>
          <w:color w:val="auto"/>
        </w:rPr>
        <w:t>Revenues Increased 17% with Momentum Continuing in April Completed Asset Exchange with QUIKRETE Entered into a Definitive Agreement to Acquire New Frontier Materials Reaffirmed Full-Year 2026 Guidance Based on Strong Underlying Demand</w:t>
      </w:r>
    </w:p>
    <w:p>
      <w:pPr>
        <w:spacing w:after="0" w:line="3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RALEIGH, N.C. (April 30, 2026) – Martin Marietta Materials, Inc. (NYSE: MLM) (Martin Marietta or the Company), a leading national supplier of aggregates and other building materials, today reported results for the first quarter ended March 31, 2026.</w:t>
      </w:r>
    </w:p>
    <w:p>
      <w:pPr>
        <w:spacing w:after="0" w:line="91" w:lineRule="exact"/>
        <w:rPr>
          <w:sz w:val="20"/>
          <w:szCs w:val="20"/>
          <w:color w:val="auto"/>
        </w:rPr>
      </w:pPr>
    </w:p>
    <w:p>
      <w:pPr>
        <w:spacing w:after="0"/>
        <w:rPr>
          <w:sz w:val="20"/>
          <w:szCs w:val="20"/>
          <w:color w:val="auto"/>
        </w:rPr>
      </w:pPr>
      <w:r>
        <w:rPr>
          <w:rFonts w:ascii="Arial" w:cs="Arial" w:eastAsia="Arial" w:hAnsi="Arial"/>
          <w:sz w:val="29"/>
          <w:szCs w:val="29"/>
          <w:color w:val="007DC6"/>
        </w:rPr>
        <w:t>First-Quarter Highlights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(Financial highlights are for continuing operations)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360" w:type="dxa"/>
            <w:vAlign w:val="bottom"/>
            <w:gridSpan w:val="5"/>
          </w:tcPr>
          <w:p>
            <w:pPr>
              <w:ind w:left="20"/>
              <w:spacing w:after="0"/>
              <w:rPr>
                <w:sz w:val="20"/>
                <w:szCs w:val="20"/>
                <w:color w:val="auto"/>
              </w:rPr>
            </w:pPr>
            <w:r>
              <w:rPr>
                <w:rFonts w:ascii="Arial" w:cs="Arial" w:eastAsia="Arial" w:hAnsi="Arial"/>
                <w:sz w:val="20"/>
                <w:szCs w:val="20"/>
                <w:color w:val="auto"/>
              </w:rPr>
              <w:t>Quarter Ended March 31,</w:t>
            </w:r>
          </w:p>
        </w:tc>
        <w:tc>
          <w:tcPr>
            <w:tcW w:w="1360" w:type="dxa"/>
            <w:vAlign w:val="bottom"/>
          </w:tcPr>
          <w:p>
            <w:pPr>
              <w:spacing w:after="0"/>
              <w:rPr>
                <w:sz w:val="19"/>
                <w:szCs w:val="19"/>
                <w:color w:val="auto"/>
              </w:rPr>
            </w:pPr>
          </w:p>
        </w:tc>
      </w:tr>
      <w:tr>
        <w:trPr>
          <w:trHeight w:val="258"/>
        </w:trPr>
        <w:tc>
          <w:tcPr>
            <w:tcW w:w="5420" w:type="dxa"/>
            <w:vAlign w:val="bottom"/>
            <w:tcBorders>
              <w:bottom w:val="single" w:sz="8" w:color="auto"/>
            </w:tcBorders>
          </w:tcPr>
          <w:p>
            <w:pPr>
              <w:spacing w:after="0"/>
              <w:rPr>
                <w:sz w:val="20"/>
                <w:szCs w:val="20"/>
                <w:color w:val="auto"/>
              </w:rPr>
            </w:pPr>
            <w:r>
              <w:rPr>
                <w:rFonts w:ascii="Arial" w:cs="Arial" w:eastAsia="Arial" w:hAnsi="Arial"/>
                <w:sz w:val="20"/>
                <w:szCs w:val="20"/>
                <w:i w:val="1"/>
                <w:iCs w:val="1"/>
                <w:color w:val="auto"/>
              </w:rPr>
              <w:t>(In millions, except per share and per ton data)</w:t>
            </w:r>
          </w:p>
        </w:tc>
        <w:tc>
          <w:tcPr>
            <w:tcW w:w="9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2026</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2025</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 Change</w:t>
            </w:r>
          </w:p>
        </w:tc>
      </w:tr>
      <w:tr>
        <w:trPr>
          <w:trHeight w:val="216"/>
        </w:trPr>
        <w:tc>
          <w:tcPr>
            <w:tcW w:w="5420" w:type="dxa"/>
            <w:vAlign w:val="bottom"/>
            <w:shd w:val="clear" w:color="auto" w:fill="CFF0FC"/>
          </w:tcPr>
          <w:p>
            <w:pPr>
              <w:spacing w:after="0" w:line="216" w:lineRule="exact"/>
              <w:rPr>
                <w:sz w:val="20"/>
                <w:szCs w:val="20"/>
                <w:color w:val="auto"/>
              </w:rPr>
            </w:pPr>
            <w:r>
              <w:rPr>
                <w:rFonts w:ascii="Arial" w:cs="Arial" w:eastAsia="Arial" w:hAnsi="Arial"/>
                <w:sz w:val="19"/>
                <w:szCs w:val="19"/>
                <w:color w:val="auto"/>
              </w:rPr>
              <w:t>Revenues</w:t>
            </w:r>
            <w:r>
              <w:rPr>
                <w:rFonts w:ascii="Arial" w:cs="Arial" w:eastAsia="Arial" w:hAnsi="Arial"/>
                <w:sz w:val="25"/>
                <w:szCs w:val="25"/>
                <w:color w:val="auto"/>
                <w:vertAlign w:val="superscript"/>
              </w:rPr>
              <w:t>2</w:t>
            </w:r>
          </w:p>
        </w:tc>
        <w:tc>
          <w:tcPr>
            <w:tcW w:w="960" w:type="dxa"/>
            <w:vAlign w:val="bottom"/>
            <w:shd w:val="clear" w:color="auto" w:fill="CFF0FC"/>
          </w:tcPr>
          <w:p>
            <w:pPr>
              <w:jc w:val="right"/>
              <w:ind w:right="101"/>
              <w:spacing w:after="0" w:line="216" w:lineRule="exact"/>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1,362</w:t>
            </w:r>
          </w:p>
        </w:tc>
        <w:tc>
          <w:tcPr>
            <w:tcW w:w="660" w:type="dxa"/>
            <w:vAlign w:val="bottom"/>
            <w:gridSpan w:val="2"/>
            <w:shd w:val="clear" w:color="auto" w:fill="CFF0FC"/>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1,162</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jc w:val="center"/>
              <w:ind w:right="101"/>
              <w:spacing w:after="0" w:line="216" w:lineRule="exact"/>
              <w:rPr>
                <w:sz w:val="20"/>
                <w:szCs w:val="20"/>
                <w:color w:val="auto"/>
              </w:rPr>
            </w:pPr>
            <w:r>
              <w:rPr>
                <w:rFonts w:ascii="Arial" w:cs="Arial" w:eastAsia="Arial" w:hAnsi="Arial"/>
                <w:sz w:val="20"/>
                <w:szCs w:val="20"/>
                <w:color w:val="auto"/>
                <w:w w:val="99"/>
              </w:rPr>
              <w:t>17%</w:t>
            </w:r>
          </w:p>
        </w:tc>
      </w:tr>
      <w:tr>
        <w:trPr>
          <w:trHeight w:val="216"/>
        </w:trPr>
        <w:tc>
          <w:tcPr>
            <w:tcW w:w="5420" w:type="dxa"/>
            <w:vAlign w:val="bottom"/>
          </w:tcPr>
          <w:p>
            <w:pPr>
              <w:spacing w:after="0" w:line="216" w:lineRule="exact"/>
              <w:rPr>
                <w:sz w:val="20"/>
                <w:szCs w:val="20"/>
                <w:color w:val="auto"/>
              </w:rPr>
            </w:pPr>
            <w:r>
              <w:rPr>
                <w:rFonts w:ascii="Arial" w:cs="Arial" w:eastAsia="Arial" w:hAnsi="Arial"/>
                <w:sz w:val="18"/>
                <w:szCs w:val="18"/>
                <w:color w:val="auto"/>
              </w:rPr>
              <w:t>Gross profit</w:t>
            </w:r>
            <w:r>
              <w:rPr>
                <w:rFonts w:ascii="Times New Roman" w:cs="Times New Roman" w:eastAsia="Times New Roman" w:hAnsi="Times New Roman"/>
                <w:sz w:val="24"/>
                <w:szCs w:val="24"/>
                <w:color w:val="auto"/>
                <w:vertAlign w:val="superscript"/>
              </w:rPr>
              <w:t>3</w:t>
            </w:r>
          </w:p>
        </w:tc>
        <w:tc>
          <w:tcPr>
            <w:tcW w:w="960" w:type="dxa"/>
            <w:vAlign w:val="bottom"/>
          </w:tcPr>
          <w:p>
            <w:pPr>
              <w:jc w:val="right"/>
              <w:ind w:right="101"/>
              <w:spacing w:after="0" w:line="216" w:lineRule="exact"/>
              <w:rPr>
                <w:sz w:val="20"/>
                <w:szCs w:val="20"/>
                <w:color w:val="auto"/>
              </w:rPr>
            </w:pPr>
            <w:r>
              <w:rPr>
                <w:rFonts w:ascii="Arial" w:cs="Arial" w:eastAsia="Arial" w:hAnsi="Arial"/>
                <w:sz w:val="20"/>
                <w:szCs w:val="20"/>
                <w:color w:val="auto"/>
              </w:rPr>
              <w:t>$</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310</w:t>
            </w:r>
          </w:p>
        </w:tc>
        <w:tc>
          <w:tcPr>
            <w:tcW w:w="66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315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center"/>
              <w:ind w:right="121"/>
              <w:spacing w:after="0" w:line="216" w:lineRule="exact"/>
              <w:rPr>
                <w:sz w:val="20"/>
                <w:szCs w:val="20"/>
                <w:color w:val="auto"/>
              </w:rPr>
            </w:pPr>
            <w:r>
              <w:rPr>
                <w:rFonts w:ascii="Arial" w:cs="Arial" w:eastAsia="Arial" w:hAnsi="Arial"/>
                <w:sz w:val="20"/>
                <w:szCs w:val="20"/>
                <w:color w:val="auto"/>
                <w:w w:val="99"/>
              </w:rPr>
              <w:t>(2)%</w:t>
            </w:r>
          </w:p>
        </w:tc>
      </w:tr>
      <w:tr>
        <w:trPr>
          <w:trHeight w:val="216"/>
        </w:trPr>
        <w:tc>
          <w:tcPr>
            <w:tcW w:w="5420" w:type="dxa"/>
            <w:vAlign w:val="bottom"/>
            <w:shd w:val="clear" w:color="auto" w:fill="CFF0FC"/>
          </w:tcPr>
          <w:p>
            <w:pPr>
              <w:spacing w:after="0" w:line="216" w:lineRule="exact"/>
              <w:rPr>
                <w:sz w:val="20"/>
                <w:szCs w:val="20"/>
                <w:color w:val="auto"/>
              </w:rPr>
            </w:pPr>
            <w:r>
              <w:rPr>
                <w:rFonts w:ascii="Arial" w:cs="Arial" w:eastAsia="Arial" w:hAnsi="Arial"/>
                <w:sz w:val="19"/>
                <w:szCs w:val="19"/>
                <w:color w:val="auto"/>
              </w:rPr>
              <w:t>Earnings from operations</w:t>
            </w:r>
            <w:r>
              <w:rPr>
                <w:rFonts w:ascii="Arial" w:cs="Arial" w:eastAsia="Arial" w:hAnsi="Arial"/>
                <w:sz w:val="25"/>
                <w:szCs w:val="25"/>
                <w:color w:val="auto"/>
                <w:vertAlign w:val="superscript"/>
              </w:rPr>
              <w:t>4</w:t>
            </w:r>
          </w:p>
        </w:tc>
        <w:tc>
          <w:tcPr>
            <w:tcW w:w="960" w:type="dxa"/>
            <w:vAlign w:val="bottom"/>
            <w:shd w:val="clear" w:color="auto" w:fill="CFF0FC"/>
          </w:tcPr>
          <w:p>
            <w:pPr>
              <w:jc w:val="right"/>
              <w:ind w:right="101"/>
              <w:spacing w:after="0" w:line="216" w:lineRule="exact"/>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162</w:t>
            </w:r>
          </w:p>
        </w:tc>
        <w:tc>
          <w:tcPr>
            <w:tcW w:w="660" w:type="dxa"/>
            <w:vAlign w:val="bottom"/>
            <w:gridSpan w:val="2"/>
            <w:shd w:val="clear" w:color="auto" w:fill="CFF0FC"/>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179</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jc w:val="center"/>
              <w:ind w:right="121"/>
              <w:spacing w:after="0" w:line="216" w:lineRule="exact"/>
              <w:rPr>
                <w:sz w:val="20"/>
                <w:szCs w:val="20"/>
                <w:color w:val="auto"/>
              </w:rPr>
            </w:pPr>
            <w:r>
              <w:rPr>
                <w:rFonts w:ascii="Arial" w:cs="Arial" w:eastAsia="Arial" w:hAnsi="Arial"/>
                <w:sz w:val="20"/>
                <w:szCs w:val="20"/>
                <w:color w:val="auto"/>
                <w:w w:val="99"/>
              </w:rPr>
              <w:t>(9)%</w:t>
            </w:r>
          </w:p>
        </w:tc>
      </w:tr>
      <w:tr>
        <w:trPr>
          <w:trHeight w:val="175"/>
        </w:trPr>
        <w:tc>
          <w:tcPr>
            <w:tcW w:w="5420" w:type="dxa"/>
            <w:vAlign w:val="bottom"/>
          </w:tcPr>
          <w:p>
            <w:pPr>
              <w:spacing w:after="0" w:line="176" w:lineRule="exact"/>
              <w:rPr>
                <w:sz w:val="20"/>
                <w:szCs w:val="20"/>
                <w:color w:val="auto"/>
              </w:rPr>
            </w:pPr>
            <w:r>
              <w:rPr>
                <w:rFonts w:ascii="Arial" w:cs="Arial" w:eastAsia="Arial" w:hAnsi="Arial"/>
                <w:sz w:val="20"/>
                <w:szCs w:val="20"/>
                <w:color w:val="auto"/>
              </w:rPr>
              <w:t>Net earnings from continuing operations attributable to</w:t>
            </w: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56"/>
        </w:trPr>
        <w:tc>
          <w:tcPr>
            <w:tcW w:w="5420" w:type="dxa"/>
            <w:vAlign w:val="bottom"/>
          </w:tcPr>
          <w:p>
            <w:pPr>
              <w:ind w:left="120"/>
              <w:spacing w:after="0" w:line="256" w:lineRule="exact"/>
              <w:rPr>
                <w:sz w:val="20"/>
                <w:szCs w:val="20"/>
                <w:color w:val="auto"/>
              </w:rPr>
            </w:pPr>
            <w:r>
              <w:rPr>
                <w:rFonts w:ascii="Arial" w:cs="Arial" w:eastAsia="Arial" w:hAnsi="Arial"/>
                <w:sz w:val="20"/>
                <w:szCs w:val="20"/>
                <w:color w:val="auto"/>
              </w:rPr>
              <w:t>Martin Marietta</w:t>
            </w:r>
            <w:r>
              <w:rPr>
                <w:rFonts w:ascii="Arial" w:cs="Arial" w:eastAsia="Arial" w:hAnsi="Arial"/>
                <w:sz w:val="26"/>
                <w:szCs w:val="26"/>
                <w:color w:val="auto"/>
                <w:vertAlign w:val="superscript"/>
              </w:rPr>
              <w:t>5</w:t>
            </w:r>
          </w:p>
        </w:tc>
        <w:tc>
          <w:tcPr>
            <w:tcW w:w="9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79</w:t>
            </w:r>
          </w:p>
        </w:tc>
        <w:tc>
          <w:tcPr>
            <w:tcW w:w="66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104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center"/>
              <w:ind w:right="101"/>
              <w:spacing w:after="0"/>
              <w:rPr>
                <w:sz w:val="20"/>
                <w:szCs w:val="20"/>
                <w:color w:val="auto"/>
              </w:rPr>
            </w:pPr>
            <w:r>
              <w:rPr>
                <w:rFonts w:ascii="Arial" w:cs="Arial" w:eastAsia="Arial" w:hAnsi="Arial"/>
                <w:sz w:val="20"/>
                <w:szCs w:val="20"/>
                <w:color w:val="auto"/>
                <w:w w:val="97"/>
              </w:rPr>
              <w:t>(24)%</w:t>
            </w:r>
          </w:p>
        </w:tc>
      </w:tr>
      <w:tr>
        <w:trPr>
          <w:trHeight w:val="216"/>
        </w:trPr>
        <w:tc>
          <w:tcPr>
            <w:tcW w:w="5420" w:type="dxa"/>
            <w:vAlign w:val="bottom"/>
            <w:shd w:val="clear" w:color="auto" w:fill="CFF0FC"/>
          </w:tcPr>
          <w:p>
            <w:pPr>
              <w:spacing w:after="0" w:line="216" w:lineRule="exact"/>
              <w:rPr>
                <w:sz w:val="20"/>
                <w:szCs w:val="20"/>
                <w:color w:val="auto"/>
              </w:rPr>
            </w:pPr>
            <w:r>
              <w:rPr>
                <w:rFonts w:ascii="Arial" w:cs="Arial" w:eastAsia="Arial" w:hAnsi="Arial"/>
                <w:sz w:val="19"/>
                <w:szCs w:val="19"/>
                <w:color w:val="auto"/>
              </w:rPr>
              <w:t>Adjusted EBITDA from continuing operations</w:t>
            </w:r>
            <w:r>
              <w:rPr>
                <w:rFonts w:ascii="Arial" w:cs="Arial" w:eastAsia="Arial" w:hAnsi="Arial"/>
                <w:sz w:val="25"/>
                <w:szCs w:val="25"/>
                <w:color w:val="auto"/>
                <w:vertAlign w:val="superscript"/>
              </w:rPr>
              <w:t>1</w:t>
            </w:r>
          </w:p>
        </w:tc>
        <w:tc>
          <w:tcPr>
            <w:tcW w:w="960" w:type="dxa"/>
            <w:vAlign w:val="bottom"/>
            <w:shd w:val="clear" w:color="auto" w:fill="CFF0FC"/>
          </w:tcPr>
          <w:p>
            <w:pPr>
              <w:jc w:val="right"/>
              <w:ind w:right="101"/>
              <w:spacing w:after="0" w:line="216" w:lineRule="exact"/>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364</w:t>
            </w:r>
          </w:p>
        </w:tc>
        <w:tc>
          <w:tcPr>
            <w:tcW w:w="660" w:type="dxa"/>
            <w:vAlign w:val="bottom"/>
            <w:gridSpan w:val="2"/>
            <w:shd w:val="clear" w:color="auto" w:fill="CFF0FC"/>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319</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jc w:val="center"/>
              <w:ind w:right="101"/>
              <w:spacing w:after="0" w:line="216" w:lineRule="exact"/>
              <w:rPr>
                <w:sz w:val="20"/>
                <w:szCs w:val="20"/>
                <w:color w:val="auto"/>
              </w:rPr>
            </w:pPr>
            <w:r>
              <w:rPr>
                <w:rFonts w:ascii="Arial" w:cs="Arial" w:eastAsia="Arial" w:hAnsi="Arial"/>
                <w:sz w:val="20"/>
                <w:szCs w:val="20"/>
                <w:color w:val="auto"/>
                <w:w w:val="99"/>
              </w:rPr>
              <w:t>14%</w:t>
            </w:r>
          </w:p>
        </w:tc>
      </w:tr>
      <w:tr>
        <w:trPr>
          <w:trHeight w:val="216"/>
        </w:trPr>
        <w:tc>
          <w:tcPr>
            <w:tcW w:w="5420" w:type="dxa"/>
            <w:vAlign w:val="bottom"/>
          </w:tcPr>
          <w:p>
            <w:pPr>
              <w:spacing w:after="0" w:line="216" w:lineRule="exact"/>
              <w:rPr>
                <w:sz w:val="20"/>
                <w:szCs w:val="20"/>
                <w:color w:val="auto"/>
              </w:rPr>
            </w:pPr>
            <w:r>
              <w:rPr>
                <w:rFonts w:ascii="Arial" w:cs="Arial" w:eastAsia="Arial" w:hAnsi="Arial"/>
                <w:sz w:val="19"/>
                <w:szCs w:val="19"/>
                <w:color w:val="auto"/>
              </w:rPr>
              <w:t>Earnings per diluted share from continuing operations</w:t>
            </w:r>
            <w:r>
              <w:rPr>
                <w:rFonts w:ascii="Arial" w:cs="Arial" w:eastAsia="Arial" w:hAnsi="Arial"/>
                <w:sz w:val="25"/>
                <w:szCs w:val="25"/>
                <w:color w:val="auto"/>
                <w:vertAlign w:val="superscript"/>
              </w:rPr>
              <w:t>5</w:t>
            </w:r>
          </w:p>
        </w:tc>
        <w:tc>
          <w:tcPr>
            <w:tcW w:w="960" w:type="dxa"/>
            <w:vAlign w:val="bottom"/>
          </w:tcPr>
          <w:p>
            <w:pPr>
              <w:jc w:val="right"/>
              <w:ind w:right="101"/>
              <w:spacing w:after="0" w:line="216" w:lineRule="exact"/>
              <w:rPr>
                <w:sz w:val="20"/>
                <w:szCs w:val="20"/>
                <w:color w:val="auto"/>
              </w:rPr>
            </w:pPr>
            <w:r>
              <w:rPr>
                <w:rFonts w:ascii="Arial" w:cs="Arial" w:eastAsia="Arial" w:hAnsi="Arial"/>
                <w:sz w:val="20"/>
                <w:szCs w:val="20"/>
                <w:color w:val="auto"/>
              </w:rPr>
              <w:t>$</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1.31</w:t>
            </w:r>
          </w:p>
        </w:tc>
        <w:tc>
          <w:tcPr>
            <w:tcW w:w="66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1.70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center"/>
              <w:ind w:right="101"/>
              <w:spacing w:after="0" w:line="216" w:lineRule="exact"/>
              <w:rPr>
                <w:sz w:val="20"/>
                <w:szCs w:val="20"/>
                <w:color w:val="auto"/>
              </w:rPr>
            </w:pPr>
            <w:r>
              <w:rPr>
                <w:rFonts w:ascii="Arial" w:cs="Arial" w:eastAsia="Arial" w:hAnsi="Arial"/>
                <w:sz w:val="20"/>
                <w:szCs w:val="20"/>
                <w:color w:val="auto"/>
                <w:w w:val="97"/>
              </w:rPr>
              <w:t>(23)%</w:t>
            </w:r>
          </w:p>
        </w:tc>
      </w:tr>
      <w:tr>
        <w:trPr>
          <w:trHeight w:val="175"/>
        </w:trPr>
        <w:tc>
          <w:tcPr>
            <w:tcW w:w="5420" w:type="dxa"/>
            <w:vAlign w:val="bottom"/>
            <w:shd w:val="clear" w:color="auto" w:fill="CFF0FC"/>
          </w:tcPr>
          <w:p>
            <w:pPr>
              <w:spacing w:after="0" w:line="176" w:lineRule="exact"/>
              <w:rPr>
                <w:sz w:val="20"/>
                <w:szCs w:val="20"/>
                <w:color w:val="auto"/>
              </w:rPr>
            </w:pPr>
            <w:r>
              <w:rPr>
                <w:rFonts w:ascii="Arial" w:cs="Arial" w:eastAsia="Arial" w:hAnsi="Arial"/>
                <w:sz w:val="20"/>
                <w:szCs w:val="20"/>
                <w:color w:val="auto"/>
              </w:rPr>
              <w:t>Adjusted earnings per diluted share from continuing</w:t>
            </w:r>
          </w:p>
        </w:tc>
        <w:tc>
          <w:tcPr>
            <w:tcW w:w="9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r>
      <w:tr>
        <w:trPr>
          <w:trHeight w:val="257"/>
        </w:trPr>
        <w:tc>
          <w:tcPr>
            <w:tcW w:w="5420" w:type="dxa"/>
            <w:vAlign w:val="bottom"/>
            <w:shd w:val="clear" w:color="auto" w:fill="CFF0FC"/>
          </w:tcPr>
          <w:p>
            <w:pPr>
              <w:ind w:left="120"/>
              <w:spacing w:after="0" w:line="256" w:lineRule="exact"/>
              <w:rPr>
                <w:sz w:val="20"/>
                <w:szCs w:val="20"/>
                <w:color w:val="auto"/>
              </w:rPr>
            </w:pPr>
            <w:r>
              <w:rPr>
                <w:rFonts w:ascii="Arial" w:cs="Arial" w:eastAsia="Arial" w:hAnsi="Arial"/>
                <w:sz w:val="20"/>
                <w:szCs w:val="20"/>
                <w:color w:val="auto"/>
              </w:rPr>
              <w:t>operations</w:t>
            </w:r>
            <w:r>
              <w:rPr>
                <w:rFonts w:ascii="Arial" w:cs="Arial" w:eastAsia="Arial" w:hAnsi="Arial"/>
                <w:sz w:val="26"/>
                <w:szCs w:val="26"/>
                <w:color w:val="auto"/>
                <w:vertAlign w:val="superscript"/>
              </w:rPr>
              <w:t>1</w:t>
            </w:r>
          </w:p>
        </w:tc>
        <w:tc>
          <w:tcPr>
            <w:tcW w:w="96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1.93</w:t>
            </w: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1.70</w:t>
            </w:r>
          </w:p>
        </w:tc>
        <w:tc>
          <w:tcPr>
            <w:tcW w:w="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360" w:type="dxa"/>
            <w:vAlign w:val="bottom"/>
            <w:shd w:val="clear" w:color="auto" w:fill="CFF0FC"/>
          </w:tcPr>
          <w:p>
            <w:pPr>
              <w:jc w:val="center"/>
              <w:ind w:right="101"/>
              <w:spacing w:after="0"/>
              <w:rPr>
                <w:sz w:val="20"/>
                <w:szCs w:val="20"/>
                <w:color w:val="auto"/>
              </w:rPr>
            </w:pPr>
            <w:r>
              <w:rPr>
                <w:rFonts w:ascii="Arial" w:cs="Arial" w:eastAsia="Arial" w:hAnsi="Arial"/>
                <w:sz w:val="20"/>
                <w:szCs w:val="20"/>
                <w:color w:val="auto"/>
                <w:w w:val="99"/>
              </w:rPr>
              <w:t>14%</w:t>
            </w:r>
          </w:p>
        </w:tc>
      </w:tr>
      <w:tr>
        <w:trPr>
          <w:trHeight w:val="216"/>
        </w:trPr>
        <w:tc>
          <w:tcPr>
            <w:tcW w:w="5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42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Aggregates product line:</w:t>
            </w:r>
          </w:p>
        </w:tc>
        <w:tc>
          <w:tcPr>
            <w:tcW w:w="9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6"/>
        </w:trPr>
        <w:tc>
          <w:tcPr>
            <w:tcW w:w="5420" w:type="dxa"/>
            <w:vAlign w:val="bottom"/>
          </w:tcPr>
          <w:p>
            <w:pPr>
              <w:ind w:left="60"/>
              <w:spacing w:after="0" w:line="216" w:lineRule="exact"/>
              <w:rPr>
                <w:sz w:val="20"/>
                <w:szCs w:val="20"/>
                <w:color w:val="auto"/>
              </w:rPr>
            </w:pPr>
            <w:r>
              <w:rPr>
                <w:rFonts w:ascii="Arial" w:cs="Arial" w:eastAsia="Arial" w:hAnsi="Arial"/>
                <w:sz w:val="20"/>
                <w:szCs w:val="20"/>
                <w:color w:val="auto"/>
              </w:rPr>
              <w:t>Shipments (tons)</w:t>
            </w:r>
          </w:p>
        </w:tc>
        <w:tc>
          <w:tcPr>
            <w:tcW w:w="96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43.9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39.0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center"/>
              <w:ind w:right="101"/>
              <w:spacing w:after="0" w:line="216" w:lineRule="exact"/>
              <w:rPr>
                <w:sz w:val="20"/>
                <w:szCs w:val="20"/>
                <w:color w:val="auto"/>
              </w:rPr>
            </w:pPr>
            <w:r>
              <w:rPr>
                <w:rFonts w:ascii="Arial" w:cs="Arial" w:eastAsia="Arial" w:hAnsi="Arial"/>
                <w:sz w:val="20"/>
                <w:szCs w:val="20"/>
                <w:color w:val="auto"/>
                <w:w w:val="99"/>
              </w:rPr>
              <w:t>12%</w:t>
            </w:r>
          </w:p>
        </w:tc>
      </w:tr>
      <w:tr>
        <w:trPr>
          <w:trHeight w:val="216"/>
        </w:trPr>
        <w:tc>
          <w:tcPr>
            <w:tcW w:w="5420" w:type="dxa"/>
            <w:vAlign w:val="bottom"/>
            <w:shd w:val="clear" w:color="auto" w:fill="CFF0FC"/>
          </w:tcPr>
          <w:p>
            <w:pPr>
              <w:ind w:left="60"/>
              <w:spacing w:after="0" w:line="216" w:lineRule="exact"/>
              <w:rPr>
                <w:sz w:val="20"/>
                <w:szCs w:val="20"/>
                <w:color w:val="auto"/>
              </w:rPr>
            </w:pPr>
            <w:r>
              <w:rPr>
                <w:rFonts w:ascii="Arial" w:cs="Arial" w:eastAsia="Arial" w:hAnsi="Arial"/>
                <w:sz w:val="20"/>
                <w:szCs w:val="20"/>
                <w:color w:val="auto"/>
              </w:rPr>
              <w:t>Average selling price per ton</w:t>
            </w:r>
          </w:p>
        </w:tc>
        <w:tc>
          <w:tcPr>
            <w:tcW w:w="960" w:type="dxa"/>
            <w:vAlign w:val="bottom"/>
            <w:shd w:val="clear" w:color="auto" w:fill="CFF0FC"/>
          </w:tcPr>
          <w:p>
            <w:pPr>
              <w:jc w:val="right"/>
              <w:ind w:right="101"/>
              <w:spacing w:after="0" w:line="216" w:lineRule="exact"/>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23.70</w:t>
            </w:r>
          </w:p>
        </w:tc>
        <w:tc>
          <w:tcPr>
            <w:tcW w:w="660" w:type="dxa"/>
            <w:vAlign w:val="bottom"/>
            <w:gridSpan w:val="2"/>
            <w:shd w:val="clear" w:color="auto" w:fill="CFF0FC"/>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23.77</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jc w:val="center"/>
              <w:ind w:right="121"/>
              <w:spacing w:after="0" w:line="216" w:lineRule="exact"/>
              <w:rPr>
                <w:sz w:val="20"/>
                <w:szCs w:val="20"/>
                <w:color w:val="auto"/>
              </w:rPr>
            </w:pPr>
            <w:r>
              <w:rPr>
                <w:rFonts w:ascii="Arial" w:cs="Arial" w:eastAsia="Arial" w:hAnsi="Arial"/>
                <w:sz w:val="20"/>
                <w:szCs w:val="20"/>
                <w:color w:val="auto"/>
                <w:w w:val="99"/>
              </w:rPr>
              <w:t>(0)%</w:t>
            </w:r>
          </w:p>
        </w:tc>
      </w:tr>
      <w:tr>
        <w:trPr>
          <w:trHeight w:val="216"/>
        </w:trPr>
        <w:tc>
          <w:tcPr>
            <w:tcW w:w="5420" w:type="dxa"/>
            <w:vAlign w:val="bottom"/>
          </w:tcPr>
          <w:p>
            <w:pPr>
              <w:ind w:left="60"/>
              <w:spacing w:after="0" w:line="216" w:lineRule="exact"/>
              <w:rPr>
                <w:sz w:val="20"/>
                <w:szCs w:val="20"/>
                <w:color w:val="auto"/>
              </w:rPr>
            </w:pPr>
            <w:r>
              <w:rPr>
                <w:rFonts w:ascii="Arial" w:cs="Arial" w:eastAsia="Arial" w:hAnsi="Arial"/>
                <w:sz w:val="20"/>
                <w:szCs w:val="20"/>
                <w:color w:val="auto"/>
              </w:rPr>
              <w:t>Revenues</w:t>
            </w:r>
          </w:p>
        </w:tc>
        <w:tc>
          <w:tcPr>
            <w:tcW w:w="960" w:type="dxa"/>
            <w:vAlign w:val="bottom"/>
          </w:tcPr>
          <w:p>
            <w:pPr>
              <w:jc w:val="right"/>
              <w:ind w:right="101"/>
              <w:spacing w:after="0" w:line="216" w:lineRule="exact"/>
              <w:rPr>
                <w:sz w:val="20"/>
                <w:szCs w:val="20"/>
                <w:color w:val="auto"/>
              </w:rPr>
            </w:pPr>
            <w:r>
              <w:rPr>
                <w:rFonts w:ascii="Arial" w:cs="Arial" w:eastAsia="Arial" w:hAnsi="Arial"/>
                <w:sz w:val="20"/>
                <w:szCs w:val="20"/>
                <w:color w:val="auto"/>
              </w:rPr>
              <w:t>$</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1,142</w:t>
            </w:r>
          </w:p>
        </w:tc>
        <w:tc>
          <w:tcPr>
            <w:tcW w:w="66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1,002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center"/>
              <w:ind w:right="101"/>
              <w:spacing w:after="0" w:line="216" w:lineRule="exact"/>
              <w:rPr>
                <w:sz w:val="20"/>
                <w:szCs w:val="20"/>
                <w:color w:val="auto"/>
              </w:rPr>
            </w:pPr>
            <w:r>
              <w:rPr>
                <w:rFonts w:ascii="Arial" w:cs="Arial" w:eastAsia="Arial" w:hAnsi="Arial"/>
                <w:sz w:val="20"/>
                <w:szCs w:val="20"/>
                <w:color w:val="auto"/>
                <w:w w:val="99"/>
              </w:rPr>
              <w:t>14%</w:t>
            </w:r>
          </w:p>
        </w:tc>
      </w:tr>
      <w:tr>
        <w:trPr>
          <w:trHeight w:val="216"/>
        </w:trPr>
        <w:tc>
          <w:tcPr>
            <w:tcW w:w="5420" w:type="dxa"/>
            <w:vAlign w:val="bottom"/>
            <w:shd w:val="clear" w:color="auto" w:fill="CFF0FC"/>
          </w:tcPr>
          <w:p>
            <w:pPr>
              <w:ind w:left="60"/>
              <w:spacing w:after="0" w:line="216" w:lineRule="exact"/>
              <w:rPr>
                <w:sz w:val="20"/>
                <w:szCs w:val="20"/>
                <w:color w:val="auto"/>
              </w:rPr>
            </w:pPr>
            <w:r>
              <w:rPr>
                <w:rFonts w:ascii="Arial" w:cs="Arial" w:eastAsia="Arial" w:hAnsi="Arial"/>
                <w:sz w:val="19"/>
                <w:szCs w:val="19"/>
                <w:color w:val="auto"/>
              </w:rPr>
              <w:t>Gross profit</w:t>
            </w:r>
            <w:r>
              <w:rPr>
                <w:rFonts w:ascii="Arial" w:cs="Arial" w:eastAsia="Arial" w:hAnsi="Arial"/>
                <w:sz w:val="25"/>
                <w:szCs w:val="25"/>
                <w:color w:val="auto"/>
                <w:vertAlign w:val="superscript"/>
              </w:rPr>
              <w:t>3</w:t>
            </w:r>
          </w:p>
        </w:tc>
        <w:tc>
          <w:tcPr>
            <w:tcW w:w="960" w:type="dxa"/>
            <w:vAlign w:val="bottom"/>
            <w:shd w:val="clear" w:color="auto" w:fill="CFF0FC"/>
          </w:tcPr>
          <w:p>
            <w:pPr>
              <w:jc w:val="right"/>
              <w:ind w:right="101"/>
              <w:spacing w:after="0" w:line="216" w:lineRule="exact"/>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288</w:t>
            </w:r>
          </w:p>
        </w:tc>
        <w:tc>
          <w:tcPr>
            <w:tcW w:w="660" w:type="dxa"/>
            <w:vAlign w:val="bottom"/>
            <w:gridSpan w:val="2"/>
            <w:shd w:val="clear" w:color="auto" w:fill="CFF0FC"/>
          </w:tcPr>
          <w:p>
            <w:pPr>
              <w:jc w:val="right"/>
              <w:ind w:right="200"/>
              <w:spacing w:after="0" w:line="216" w:lineRule="exact"/>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297</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jc w:val="center"/>
              <w:ind w:right="121"/>
              <w:spacing w:after="0" w:line="216" w:lineRule="exact"/>
              <w:rPr>
                <w:sz w:val="20"/>
                <w:szCs w:val="20"/>
                <w:color w:val="auto"/>
              </w:rPr>
            </w:pPr>
            <w:r>
              <w:rPr>
                <w:rFonts w:ascii="Arial" w:cs="Arial" w:eastAsia="Arial" w:hAnsi="Arial"/>
                <w:sz w:val="20"/>
                <w:szCs w:val="20"/>
                <w:color w:val="auto"/>
                <w:w w:val="99"/>
              </w:rPr>
              <w:t>(3)%</w:t>
            </w:r>
          </w:p>
        </w:tc>
      </w:tr>
      <w:tr>
        <w:trPr>
          <w:trHeight w:val="354"/>
        </w:trPr>
        <w:tc>
          <w:tcPr>
            <w:tcW w:w="5420" w:type="dxa"/>
            <w:vAlign w:val="bottom"/>
          </w:tcPr>
          <w:p>
            <w:pPr>
              <w:ind w:left="60"/>
              <w:spacing w:after="0"/>
              <w:rPr>
                <w:sz w:val="20"/>
                <w:szCs w:val="20"/>
                <w:color w:val="auto"/>
              </w:rPr>
            </w:pPr>
            <w:r>
              <w:rPr>
                <w:rFonts w:ascii="Arial" w:cs="Arial" w:eastAsia="Arial" w:hAnsi="Arial"/>
                <w:sz w:val="20"/>
                <w:szCs w:val="20"/>
                <w:color w:val="auto"/>
              </w:rPr>
              <w:t>Gross profit per ton</w:t>
            </w:r>
            <w:r>
              <w:rPr>
                <w:rFonts w:ascii="Arial" w:cs="Arial" w:eastAsia="Arial" w:hAnsi="Arial"/>
                <w:sz w:val="26"/>
                <w:szCs w:val="26"/>
                <w:color w:val="auto"/>
                <w:vertAlign w:val="superscript"/>
              </w:rPr>
              <w:t>3</w:t>
            </w:r>
          </w:p>
        </w:tc>
        <w:tc>
          <w:tcPr>
            <w:tcW w:w="9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6.56</w:t>
            </w:r>
          </w:p>
        </w:tc>
        <w:tc>
          <w:tcPr>
            <w:tcW w:w="66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7.59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jc w:val="center"/>
              <w:ind w:right="101"/>
              <w:spacing w:after="0"/>
              <w:rPr>
                <w:sz w:val="20"/>
                <w:szCs w:val="20"/>
                <w:color w:val="auto"/>
              </w:rPr>
            </w:pPr>
            <w:r>
              <w:rPr>
                <w:rFonts w:ascii="Arial" w:cs="Arial" w:eastAsia="Arial" w:hAnsi="Arial"/>
                <w:sz w:val="20"/>
                <w:szCs w:val="20"/>
                <w:color w:val="auto"/>
                <w:w w:val="97"/>
              </w:rPr>
              <w:t>(14)%</w:t>
            </w:r>
          </w:p>
        </w:tc>
      </w:tr>
    </w:tbl>
    <w:p>
      <w:pPr>
        <w:spacing w:after="0" w:line="2" w:lineRule="exact"/>
        <w:rPr>
          <w:sz w:val="20"/>
          <w:szCs w:val="20"/>
          <w:color w:val="auto"/>
        </w:rPr>
      </w:pPr>
    </w:p>
    <w:p>
      <w:pPr>
        <w:ind w:right="1080" w:firstLine="102"/>
        <w:spacing w:after="0" w:line="241" w:lineRule="auto"/>
        <w:tabs>
          <w:tab w:leader="none" w:pos="285" w:val="left"/>
        </w:tabs>
        <w:numPr>
          <w:ilvl w:val="0"/>
          <w:numId w:val="2"/>
        </w:numPr>
        <w:rPr>
          <w:rFonts w:ascii="Calibri" w:cs="Calibri" w:eastAsia="Calibri" w:hAnsi="Calibri"/>
          <w:sz w:val="10"/>
          <w:szCs w:val="10"/>
          <w:i w:val="1"/>
          <w:iCs w:val="1"/>
          <w:color w:val="auto"/>
        </w:rPr>
      </w:pPr>
      <w:r>
        <w:rPr>
          <w:rFonts w:ascii="Arial" w:cs="Arial" w:eastAsia="Arial" w:hAnsi="Arial"/>
          <w:sz w:val="20"/>
          <w:szCs w:val="20"/>
          <w:i w:val="1"/>
          <w:iCs w:val="1"/>
          <w:color w:val="auto"/>
        </w:rPr>
        <w:t>Non-GAAP financial measures; see pages 15 and 17 for reconciliations to the nearest GAAP financial measures. For additional notes, see page 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6106160</wp:posOffset>
            </wp:positionH>
            <wp:positionV relativeFrom="page">
              <wp:posOffset>500380</wp:posOffset>
            </wp:positionV>
            <wp:extent cx="1234440" cy="506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506095"/>
                    </a:xfrm>
                    <a:prstGeom prst="rect">
                      <a:avLst/>
                    </a:prstGeom>
                    <a:noFill/>
                  </pic:spPr>
                </pic:pic>
              </a:graphicData>
            </a:graphic>
          </wp:anchor>
        </w:drawing>
      </w:r>
    </w:p>
    <w:p>
      <w:pPr>
        <w:spacing w:after="0" w:line="35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Ward Nye, Chair, President and CEO of Martin Marietta, stated, “2026 is off to a strong start, with revenues improving 17% to a new first-quarter record. Organic aggregates shipment growth of 7% meaningfully exceeded expectations, benefiting from an early start to the construction season in the Midwest and Colorado, as well as strong infrastructure and heavy nonresidential demand across our geographic footprint. The quarter's results reflect a 14% improvement in both Adjusted EBITDA from continuing operations and Adjusted earnings per diluted share from continuing operations. Importantly, our teams delivered the best first-quarter safety performance in the Company's history, underscoring our unwavering commitment to world-class safety and operational excellence.</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"As noted, on February 23 we closed our largest aggregates acquisition to date through an Internal Revenue Code Section 1031 asset exchange with Quikrete Holdings, Inc. (QUIKRETE). This milestone enhanced the quality and durability of our earnings profile and provided $450 million of cash to redeploy into M&amp;A opportunities. As such, and consistent with the Company's strategic plan, on April 19, we signed a definitive agreement to acquire New Frontier Materials (NFM). NFM is a leading Midwestern aggregates-led producer with high-quality, strategically located reserves complementing Martin Marietta's existing footprint and long-term growth objectives.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"With April's continued strong product demand, the impact of April 1 price increases, and ongoing optimization efforts, we are reaffirming our full-year 2026 Adjusted EBITDA from continuing operations guidance of $2.43 billion at the midpoint."</w:t>
      </w:r>
    </w:p>
    <w:p>
      <w:pPr>
        <w:spacing w:after="0" w:line="155" w:lineRule="exact"/>
        <w:rPr>
          <w:sz w:val="20"/>
          <w:szCs w:val="20"/>
          <w:color w:val="auto"/>
        </w:rPr>
      </w:pPr>
    </w:p>
    <w:p>
      <w:pPr>
        <w:jc w:val="both"/>
        <w:ind w:right="20"/>
        <w:spacing w:after="0" w:line="237" w:lineRule="auto"/>
        <w:rPr>
          <w:sz w:val="20"/>
          <w:szCs w:val="20"/>
          <w:color w:val="auto"/>
        </w:rPr>
      </w:pPr>
      <w:r>
        <w:rPr>
          <w:rFonts w:ascii="Arial" w:cs="Arial" w:eastAsia="Arial" w:hAnsi="Arial"/>
          <w:sz w:val="20"/>
          <w:szCs w:val="20"/>
          <w:color w:val="auto"/>
        </w:rPr>
        <w:t>Mr. Nye concluded, "Our increasingly aggregates-focused portfolio, complemented by a differentiated Specialties business with aggregates-like characteristics, positions us to deliver superior performance across a broad range of economic environments while maintaining discipline through periods of macroeconomic volatility. With SOAR 2030 underway, we remain confident in our ability to achieve our 2026 objectives while creating sustainable long-term value for shareholders."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6106160</wp:posOffset>
            </wp:positionH>
            <wp:positionV relativeFrom="page">
              <wp:posOffset>500380</wp:posOffset>
            </wp:positionV>
            <wp:extent cx="1234440" cy="506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50609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9"/>
          <w:szCs w:val="29"/>
          <w:color w:val="007DC6"/>
        </w:rPr>
        <w:t>First-Quarter Financial and Operating Results</w:t>
      </w:r>
    </w:p>
    <w:p>
      <w:pPr>
        <w:spacing w:after="0" w:line="23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(All financial and operating results are for continuing operations and comparisons are versus the prior-year first quarter, unless otherwise noted)</w:t>
      </w:r>
    </w:p>
    <w:p>
      <w:pPr>
        <w:spacing w:after="0" w:line="1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Building Materials Business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7DC6"/>
        </w:rPr>
        <w:t>Aggregates</w:t>
      </w:r>
    </w:p>
    <w:p>
      <w:pPr>
        <w:spacing w:after="0" w:line="21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First-quarter aggregates shipments increased 12.4 percent to a first-quarter record 43.9 million tons, driven by organic growth and partial-quarter contributions from the operations acquired from QUIKRETE on February 23, 2026. Average selling price (ASP) of $23.70 per ton was in line with the prior-year quarter, reflecting acquisition and geographic mix headwinds, as combined organic shipments increased more than 20 percent in the Central and West Divisions, which typically carry lower ASPs and related gross margins.</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Aggregates gross profit decreased $9 million, or 3 percent, to $288 million, inclusive of the $22 million charge for the impact of selling acquired inventory after markup to fair market value as part of purchase accounting and higher depreciation, depletion and amortization expense. Organic cost of goods sold per ton increased 5.6 percent and included approximately 300 basis points of headwinds from higher pass-through external freight costs and other timing-related items.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7DC6"/>
        </w:rPr>
        <w:t>Other Building Materials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Other Building Materials revenues decreased 5 percent to $116 million. Consistent with historical first-quarter trends, the business posted a gross loss of $16 million due to seasonal winter operational shutdowns in Colorado and Minnesota.</w:t>
      </w:r>
    </w:p>
    <w:p>
      <w:pPr>
        <w:spacing w:after="0" w:line="1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Specialties Business</w:t>
      </w:r>
    </w:p>
    <w:p>
      <w:pPr>
        <w:spacing w:after="0" w:line="22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Specialties delivered revenues of $143 million and gross profit of $45 million, both quarterly records. These results reflected contributions from the 2025 Premier Magnesia, LLC acquisition and organic pricing gains, partially offset by lower organic shipments and higher energy costs, which weighed on input cost trends during the quarter.</w:t>
      </w:r>
    </w:p>
    <w:p>
      <w:pPr>
        <w:spacing w:after="0" w:line="1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Portfolio Optimization</w:t>
      </w:r>
    </w:p>
    <w:p>
      <w:pPr>
        <w:spacing w:after="0" w:line="22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On February 23, 2026, the Company completed the asset exchange with QUIKRETE. Under the terms of the transaction, Martin Marietta acquired aggregates operations producing approximately 20 million tons annually in Virginia, Missouri, Kansas and Vancouver, British Columbia, along with $450 million in cash. In exchange, QUIKRETE acquired the Company’s Midlothian cement plant, related cement terminals, Texas ready mixed concrete plants and certain nonoperating land.</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On April 19, 2026, the Company entered into a definitive agreement to acquire NFM, a complementary bolt-on aggregates-led business operating in the greater St. Louis metropolitan area that produces over 8 million tons of aggregates annually. The transaction is expected to close in the second half of this year, subject to regulatory approvals and other customary closing conditions.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6106160</wp:posOffset>
            </wp:positionH>
            <wp:positionV relativeFrom="page">
              <wp:posOffset>500380</wp:posOffset>
            </wp:positionV>
            <wp:extent cx="1234440" cy="506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50609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Discontinued Operations</w:t>
      </w:r>
    </w:p>
    <w:p>
      <w:pPr>
        <w:spacing w:after="0" w:line="22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In connection with the QUIKRETE asset exchange, the Company's Midlothian cement plant, related cement terminals and Texas ready mixed concrete plants were reported as discontinued operations through the transaction close date. Earnings from discontinued operations, net of income tax expense, totaled $1.4 billion and $12 million for the quarters ended March 31, 2026 and 2025, respectively. Earnings for the quarter ended March 31, 2026, included a $1.4 billion after-tax gain on the asset exchange.</w:t>
      </w:r>
    </w:p>
    <w:p>
      <w:pPr>
        <w:spacing w:after="0" w:line="245" w:lineRule="exact"/>
        <w:rPr>
          <w:sz w:val="20"/>
          <w:szCs w:val="20"/>
          <w:color w:val="auto"/>
        </w:rPr>
      </w:pPr>
    </w:p>
    <w:p>
      <w:pPr>
        <w:spacing w:after="0"/>
        <w:rPr>
          <w:sz w:val="20"/>
          <w:szCs w:val="20"/>
          <w:color w:val="auto"/>
        </w:rPr>
      </w:pPr>
      <w:r>
        <w:rPr>
          <w:rFonts w:ascii="Arial" w:cs="Arial" w:eastAsia="Arial" w:hAnsi="Arial"/>
          <w:sz w:val="29"/>
          <w:szCs w:val="29"/>
          <w:color w:val="007DC6"/>
        </w:rPr>
        <w:t>Cash Generation, Capital Allocation and Liquidity</w:t>
      </w:r>
    </w:p>
    <w:p>
      <w:pPr>
        <w:spacing w:after="0" w:line="23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Cash provided by operating activities for the three months ended March 31, 2026, was $227 million, a first-quarter record, compared with $218 million for the prior-year period.</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Cash paid for property, plant and equipment additions for the three months ended March 31, 2026, was $186 million.</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During the three months ended March 31, 2026, the Company returned $251 million to shareholders through dividend payments and share repurchases. As of March 31, 2026, 10.7 million shares remained available under the current repurchase authorization.</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As of March 31, 2026, the Company had $273 million of unrestricted cash and cash equivalents on hand and $1.2 billion of unused borrowing capacity on its existing credit facilities, providing substantial financial flexibility to support the execution of a robust M&amp;A pipeline.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6106160</wp:posOffset>
            </wp:positionH>
            <wp:positionV relativeFrom="page">
              <wp:posOffset>500380</wp:posOffset>
            </wp:positionV>
            <wp:extent cx="1234440" cy="506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50609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29"/>
          <w:szCs w:val="29"/>
          <w:color w:val="007DC6"/>
        </w:rPr>
        <w:t>Full-Year 2026 Guidance</w:t>
      </w:r>
    </w:p>
    <w:p>
      <w:pPr>
        <w:spacing w:after="0" w:line="231"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Company's 2026 guidance provided below reflects continuing operations only and is inclusive of contributions from the operations acquired from QUIKRETE on February 23, 2026.</w:t>
      </w:r>
    </w:p>
    <w:p>
      <w:pPr>
        <w:spacing w:after="0" w:line="153"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2026 GUIDANCE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080" w:type="dxa"/>
            <w:vAlign w:val="bottom"/>
            <w:tcBorders>
              <w:top w:val="single" w:sz="8" w:color="auto"/>
            </w:tcBorders>
          </w:tcPr>
          <w:p>
            <w:pPr>
              <w:spacing w:after="0"/>
              <w:rPr>
                <w:sz w:val="20"/>
                <w:szCs w:val="20"/>
                <w:color w:val="auto"/>
              </w:rPr>
            </w:pPr>
            <w:r>
              <w:rPr>
                <w:rFonts w:ascii="Arial" w:cs="Arial" w:eastAsia="Arial" w:hAnsi="Arial"/>
                <w:sz w:val="20"/>
                <w:szCs w:val="20"/>
                <w:i w:val="1"/>
                <w:iCs w:val="1"/>
                <w:color w:val="auto"/>
              </w:rPr>
              <w:t>(Dollars in Millions)</w:t>
            </w:r>
          </w:p>
        </w:tc>
        <w:tc>
          <w:tcPr>
            <w:tcW w:w="7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20"/>
                <w:szCs w:val="20"/>
                <w:color w:val="auto"/>
              </w:rPr>
              <w:t>Low</w:t>
            </w:r>
          </w:p>
        </w:tc>
        <w:tc>
          <w:tcPr>
            <w:tcW w:w="2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20"/>
                <w:szCs w:val="20"/>
                <w:color w:val="auto"/>
              </w:rPr>
              <w:t>Midpoint</w:t>
            </w:r>
          </w:p>
        </w:tc>
        <w:tc>
          <w:tcPr>
            <w:tcW w:w="18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20"/>
                <w:szCs w:val="20"/>
                <w:color w:val="auto"/>
              </w:rPr>
              <w:t>High</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Revenues</w:t>
            </w:r>
          </w:p>
        </w:tc>
        <w:tc>
          <w:tcPr>
            <w:tcW w:w="980" w:type="dxa"/>
            <w:vAlign w:val="bottom"/>
            <w:gridSpan w:val="2"/>
            <w:shd w:val="clear" w:color="auto" w:fill="CFF0FC"/>
          </w:tcPr>
          <w:p>
            <w:pPr>
              <w:jc w:val="right"/>
              <w:ind w:right="180"/>
              <w:spacing w:after="0" w:line="216" w:lineRule="exact"/>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7,000</w:t>
            </w:r>
          </w:p>
        </w:tc>
        <w:tc>
          <w:tcPr>
            <w:tcW w:w="400" w:type="dxa"/>
            <w:vAlign w:val="bottom"/>
            <w:gridSpan w:val="2"/>
            <w:shd w:val="clear" w:color="auto" w:fill="CFF0FC"/>
          </w:tcPr>
          <w:p>
            <w:pPr>
              <w:jc w:val="right"/>
              <w:ind w:right="100"/>
              <w:spacing w:after="0" w:line="216" w:lineRule="exact"/>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7,160</w:t>
            </w:r>
          </w:p>
        </w:tc>
        <w:tc>
          <w:tcPr>
            <w:tcW w:w="440" w:type="dxa"/>
            <w:vAlign w:val="bottom"/>
            <w:gridSpan w:val="2"/>
            <w:shd w:val="clear" w:color="auto" w:fill="CFF0FC"/>
          </w:tcPr>
          <w:p>
            <w:pPr>
              <w:jc w:val="right"/>
              <w:ind w:right="140"/>
              <w:spacing w:after="0" w:line="216" w:lineRule="exact"/>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7,320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80" w:type="dxa"/>
            <w:vAlign w:val="bottom"/>
          </w:tcPr>
          <w:p>
            <w:pPr>
              <w:spacing w:after="0" w:line="194" w:lineRule="exact"/>
              <w:rPr>
                <w:sz w:val="20"/>
                <w:szCs w:val="20"/>
                <w:color w:val="auto"/>
              </w:rPr>
            </w:pPr>
            <w:r>
              <w:rPr>
                <w:rFonts w:ascii="Arial" w:cs="Arial" w:eastAsia="Arial" w:hAnsi="Arial"/>
                <w:sz w:val="20"/>
                <w:szCs w:val="20"/>
                <w:color w:val="auto"/>
              </w:rPr>
              <w:t>Net earnings from continuing operations attributable to Martin</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1,062</w:t>
            </w: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w:t>
            </w: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1,115</w:t>
            </w: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1,168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80" w:type="dxa"/>
            <w:vAlign w:val="bottom"/>
            <w:vMerge w:val="restart"/>
          </w:tcPr>
          <w:p>
            <w:pPr>
              <w:ind w:left="120"/>
              <w:spacing w:after="0"/>
              <w:rPr>
                <w:sz w:val="20"/>
                <w:szCs w:val="20"/>
                <w:color w:val="auto"/>
              </w:rPr>
            </w:pPr>
            <w:r>
              <w:rPr>
                <w:rFonts w:ascii="Arial" w:cs="Arial" w:eastAsia="Arial" w:hAnsi="Arial"/>
                <w:sz w:val="20"/>
                <w:szCs w:val="20"/>
                <w:color w:val="auto"/>
              </w:rPr>
              <w:t>Marietta</w:t>
            </w:r>
          </w:p>
        </w:tc>
        <w:tc>
          <w:tcPr>
            <w:tcW w:w="98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60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spacing w:after="0" w:line="216" w:lineRule="exact"/>
              <w:rPr>
                <w:sz w:val="20"/>
                <w:szCs w:val="20"/>
                <w:color w:val="auto"/>
              </w:rPr>
            </w:pPr>
            <w:r>
              <w:rPr>
                <w:rFonts w:ascii="Arial" w:cs="Arial" w:eastAsia="Arial" w:hAnsi="Arial"/>
                <w:sz w:val="19"/>
                <w:szCs w:val="19"/>
                <w:color w:val="auto"/>
              </w:rPr>
              <w:t>Adjusted EBITDA from continuing operations</w:t>
            </w:r>
            <w:r>
              <w:rPr>
                <w:rFonts w:ascii="Arial" w:cs="Arial" w:eastAsia="Arial" w:hAnsi="Arial"/>
                <w:sz w:val="25"/>
                <w:szCs w:val="25"/>
                <w:color w:val="auto"/>
                <w:vertAlign w:val="superscript"/>
              </w:rPr>
              <w:t>1</w:t>
            </w:r>
          </w:p>
        </w:tc>
        <w:tc>
          <w:tcPr>
            <w:tcW w:w="980" w:type="dxa"/>
            <w:vAlign w:val="bottom"/>
            <w:gridSpan w:val="2"/>
            <w:shd w:val="clear" w:color="auto" w:fill="CFF0FC"/>
          </w:tcPr>
          <w:p>
            <w:pPr>
              <w:jc w:val="right"/>
              <w:ind w:right="180"/>
              <w:spacing w:after="0" w:line="216" w:lineRule="exact"/>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2,360</w:t>
            </w:r>
          </w:p>
        </w:tc>
        <w:tc>
          <w:tcPr>
            <w:tcW w:w="400" w:type="dxa"/>
            <w:vAlign w:val="bottom"/>
            <w:gridSpan w:val="2"/>
            <w:shd w:val="clear" w:color="auto" w:fill="CFF0FC"/>
          </w:tcPr>
          <w:p>
            <w:pPr>
              <w:jc w:val="right"/>
              <w:ind w:right="100"/>
              <w:spacing w:after="0" w:line="216" w:lineRule="exact"/>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2,430</w:t>
            </w:r>
          </w:p>
        </w:tc>
        <w:tc>
          <w:tcPr>
            <w:tcW w:w="440" w:type="dxa"/>
            <w:vAlign w:val="bottom"/>
            <w:gridSpan w:val="2"/>
            <w:shd w:val="clear" w:color="auto" w:fill="CFF0FC"/>
          </w:tcPr>
          <w:p>
            <w:pPr>
              <w:jc w:val="right"/>
              <w:ind w:right="140"/>
              <w:spacing w:after="0" w:line="216" w:lineRule="exact"/>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2,500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line="216" w:lineRule="exact"/>
              <w:rPr>
                <w:sz w:val="20"/>
                <w:szCs w:val="20"/>
                <w:color w:val="auto"/>
              </w:rPr>
            </w:pPr>
            <w:r>
              <w:rPr>
                <w:rFonts w:ascii="Arial" w:cs="Arial" w:eastAsia="Arial" w:hAnsi="Arial"/>
                <w:sz w:val="20"/>
                <w:szCs w:val="20"/>
                <w:color w:val="auto"/>
              </w:rPr>
              <w:t>Capital expenditures</w:t>
            </w:r>
          </w:p>
        </w:tc>
        <w:tc>
          <w:tcPr>
            <w:tcW w:w="980" w:type="dxa"/>
            <w:vAlign w:val="bottom"/>
            <w:gridSpan w:val="2"/>
          </w:tcPr>
          <w:p>
            <w:pPr>
              <w:jc w:val="right"/>
              <w:ind w:right="180"/>
              <w:spacing w:after="0" w:line="216" w:lineRule="exact"/>
              <w:rPr>
                <w:sz w:val="20"/>
                <w:szCs w:val="20"/>
                <w:color w:val="auto"/>
              </w:rPr>
            </w:pPr>
            <w:r>
              <w:rPr>
                <w:rFonts w:ascii="Arial" w:cs="Arial" w:eastAsia="Arial" w:hAnsi="Arial"/>
                <w:sz w:val="20"/>
                <w:szCs w:val="20"/>
                <w:color w:val="auto"/>
              </w:rPr>
              <w:t>$</w:t>
            </w:r>
          </w:p>
        </w:tc>
        <w:tc>
          <w:tcPr>
            <w:tcW w:w="1040" w:type="dxa"/>
            <w:vAlign w:val="bottom"/>
          </w:tcPr>
          <w:p>
            <w:pPr>
              <w:jc w:val="right"/>
              <w:spacing w:after="0" w:line="216" w:lineRule="exact"/>
              <w:rPr>
                <w:sz w:val="20"/>
                <w:szCs w:val="20"/>
                <w:color w:val="auto"/>
              </w:rPr>
            </w:pPr>
            <w:r>
              <w:rPr>
                <w:rFonts w:ascii="Arial" w:cs="Arial" w:eastAsia="Arial" w:hAnsi="Arial"/>
                <w:sz w:val="20"/>
                <w:szCs w:val="20"/>
                <w:color w:val="auto"/>
              </w:rPr>
              <w:t>550</w:t>
            </w:r>
          </w:p>
        </w:tc>
        <w:tc>
          <w:tcPr>
            <w:tcW w:w="400" w:type="dxa"/>
            <w:vAlign w:val="bottom"/>
            <w:gridSpan w:val="2"/>
          </w:tcPr>
          <w:p>
            <w:pPr>
              <w:jc w:val="right"/>
              <w:ind w:right="100"/>
              <w:spacing w:after="0" w:line="216" w:lineRule="exact"/>
              <w:rPr>
                <w:sz w:val="20"/>
                <w:szCs w:val="20"/>
                <w:color w:val="auto"/>
              </w:rPr>
            </w:pPr>
            <w:r>
              <w:rPr>
                <w:rFonts w:ascii="Arial" w:cs="Arial" w:eastAsia="Arial" w:hAnsi="Arial"/>
                <w:sz w:val="20"/>
                <w:szCs w:val="20"/>
                <w:color w:val="auto"/>
              </w:rPr>
              <w:t>$</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575</w:t>
            </w:r>
          </w:p>
        </w:tc>
        <w:tc>
          <w:tcPr>
            <w:tcW w:w="44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auto"/>
              </w:rPr>
              <w:t>$</w:t>
            </w:r>
          </w:p>
        </w:tc>
        <w:tc>
          <w:tcPr>
            <w:tcW w:w="980" w:type="dxa"/>
            <w:vAlign w:val="bottom"/>
          </w:tcPr>
          <w:p>
            <w:pPr>
              <w:jc w:val="right"/>
              <w:spacing w:after="0" w:line="216" w:lineRule="exact"/>
              <w:rPr>
                <w:sz w:val="20"/>
                <w:szCs w:val="20"/>
                <w:color w:val="auto"/>
              </w:rPr>
            </w:pPr>
            <w:r>
              <w:rPr>
                <w:rFonts w:ascii="Arial" w:cs="Arial" w:eastAsia="Arial" w:hAnsi="Arial"/>
                <w:sz w:val="20"/>
                <w:szCs w:val="20"/>
                <w:color w:val="auto"/>
              </w:rPr>
              <w:t>600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608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14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00" w:type="dxa"/>
            <w:vAlign w:val="bottom"/>
            <w:shd w:val="clear" w:color="auto" w:fill="CFF0FC"/>
          </w:tcPr>
          <w:p>
            <w:pPr>
              <w:spacing w:after="0"/>
              <w:rPr>
                <w:sz w:val="17"/>
                <w:szCs w:val="17"/>
                <w:color w:val="auto"/>
              </w:rPr>
            </w:pPr>
          </w:p>
        </w:tc>
        <w:tc>
          <w:tcPr>
            <w:tcW w:w="3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16"/>
        </w:trPr>
        <w:tc>
          <w:tcPr>
            <w:tcW w:w="5100" w:type="dxa"/>
            <w:vAlign w:val="bottom"/>
          </w:tcPr>
          <w:p>
            <w:pPr>
              <w:spacing w:after="0" w:line="216" w:lineRule="exact"/>
              <w:rPr>
                <w:sz w:val="20"/>
                <w:szCs w:val="20"/>
                <w:color w:val="auto"/>
              </w:rPr>
            </w:pPr>
            <w:r>
              <w:rPr>
                <w:rFonts w:ascii="Arial" w:cs="Arial" w:eastAsia="Arial" w:hAnsi="Arial"/>
                <w:sz w:val="20"/>
                <w:szCs w:val="20"/>
                <w:i w:val="1"/>
                <w:iCs w:val="1"/>
                <w:color w:val="auto"/>
              </w:rPr>
              <w:t>Aggregates</w:t>
            </w: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100" w:type="dxa"/>
            <w:vAlign w:val="bottom"/>
            <w:shd w:val="clear" w:color="auto" w:fill="CFF0FC"/>
          </w:tcPr>
          <w:p>
            <w:pPr>
              <w:ind w:left="140"/>
              <w:spacing w:after="0" w:line="216" w:lineRule="exact"/>
              <w:rPr>
                <w:sz w:val="20"/>
                <w:szCs w:val="20"/>
                <w:color w:val="auto"/>
              </w:rPr>
            </w:pPr>
            <w:r>
              <w:rPr>
                <w:rFonts w:ascii="Arial" w:cs="Arial" w:eastAsia="Arial" w:hAnsi="Arial"/>
                <w:sz w:val="19"/>
                <w:szCs w:val="19"/>
                <w:color w:val="auto"/>
              </w:rPr>
              <w:t>Volume % growth</w:t>
            </w:r>
            <w:r>
              <w:rPr>
                <w:rFonts w:ascii="Arial" w:cs="Arial" w:eastAsia="Arial" w:hAnsi="Arial"/>
                <w:sz w:val="25"/>
                <w:szCs w:val="25"/>
                <w:color w:val="auto"/>
                <w:vertAlign w:val="superscript"/>
              </w:rPr>
              <w:t>2</w:t>
            </w:r>
          </w:p>
        </w:tc>
        <w:tc>
          <w:tcPr>
            <w:tcW w:w="3200" w:type="dxa"/>
            <w:vAlign w:val="bottom"/>
            <w:gridSpan w:val="2"/>
            <w:shd w:val="clear" w:color="auto" w:fill="CFF0FC"/>
          </w:tcPr>
          <w:p>
            <w:pPr>
              <w:jc w:val="right"/>
              <w:ind w:right="20"/>
              <w:spacing w:after="0" w:line="216" w:lineRule="exact"/>
              <w:rPr>
                <w:sz w:val="20"/>
                <w:szCs w:val="20"/>
                <w:color w:val="auto"/>
              </w:rPr>
            </w:pPr>
            <w:r>
              <w:rPr>
                <w:rFonts w:ascii="Arial" w:cs="Arial" w:eastAsia="Arial" w:hAnsi="Arial"/>
                <w:sz w:val="20"/>
                <w:szCs w:val="20"/>
                <w:color w:val="auto"/>
              </w:rPr>
              <w:t>11.0%</w:t>
            </w:r>
          </w:p>
        </w:tc>
        <w:tc>
          <w:tcPr>
            <w:tcW w:w="1520" w:type="dxa"/>
            <w:vAlign w:val="bottom"/>
            <w:gridSpan w:val="2"/>
            <w:shd w:val="clear" w:color="auto" w:fill="CFF0FC"/>
          </w:tcPr>
          <w:p>
            <w:pPr>
              <w:jc w:val="right"/>
              <w:ind w:right="20"/>
              <w:spacing w:after="0" w:line="216" w:lineRule="exact"/>
              <w:rPr>
                <w:sz w:val="20"/>
                <w:szCs w:val="20"/>
                <w:color w:val="auto"/>
              </w:rPr>
            </w:pPr>
            <w:r>
              <w:rPr>
                <w:rFonts w:ascii="Arial" w:cs="Arial" w:eastAsia="Arial" w:hAnsi="Arial"/>
                <w:sz w:val="20"/>
                <w:szCs w:val="20"/>
                <w:color w:val="auto"/>
              </w:rPr>
              <w:t>12.0%</w:t>
            </w:r>
          </w:p>
        </w:tc>
        <w:tc>
          <w:tcPr>
            <w:tcW w:w="1420" w:type="dxa"/>
            <w:vAlign w:val="bottom"/>
            <w:gridSpan w:val="2"/>
            <w:shd w:val="clear" w:color="auto" w:fill="CFF0FC"/>
          </w:tcPr>
          <w:p>
            <w:pPr>
              <w:jc w:val="right"/>
              <w:ind w:right="20"/>
              <w:spacing w:after="0" w:line="216" w:lineRule="exact"/>
              <w:rPr>
                <w:sz w:val="20"/>
                <w:szCs w:val="20"/>
                <w:color w:val="auto"/>
              </w:rPr>
            </w:pPr>
            <w:r>
              <w:rPr>
                <w:rFonts w:ascii="Arial" w:cs="Arial" w:eastAsia="Arial" w:hAnsi="Arial"/>
                <w:sz w:val="20"/>
                <w:szCs w:val="20"/>
                <w:color w:val="auto"/>
              </w:rPr>
              <w:t>13.0%</w:t>
            </w:r>
          </w:p>
        </w:tc>
      </w:tr>
      <w:tr>
        <w:trPr>
          <w:trHeight w:val="216"/>
        </w:trPr>
        <w:tc>
          <w:tcPr>
            <w:tcW w:w="5100" w:type="dxa"/>
            <w:vAlign w:val="bottom"/>
          </w:tcPr>
          <w:p>
            <w:pPr>
              <w:ind w:left="140"/>
              <w:spacing w:after="0" w:line="216" w:lineRule="exact"/>
              <w:rPr>
                <w:sz w:val="20"/>
                <w:szCs w:val="20"/>
                <w:color w:val="auto"/>
              </w:rPr>
            </w:pPr>
            <w:r>
              <w:rPr>
                <w:rFonts w:ascii="Arial" w:cs="Arial" w:eastAsia="Arial" w:hAnsi="Arial"/>
                <w:sz w:val="19"/>
                <w:szCs w:val="19"/>
                <w:color w:val="auto"/>
              </w:rPr>
              <w:t>Organic volume % growth</w:t>
            </w:r>
            <w:r>
              <w:rPr>
                <w:rFonts w:ascii="Arial" w:cs="Arial" w:eastAsia="Arial" w:hAnsi="Arial"/>
                <w:sz w:val="25"/>
                <w:szCs w:val="25"/>
                <w:color w:val="auto"/>
                <w:vertAlign w:val="superscript"/>
              </w:rPr>
              <w:t>2</w:t>
            </w:r>
          </w:p>
        </w:tc>
        <w:tc>
          <w:tcPr>
            <w:tcW w:w="320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1.0%</w:t>
            </w:r>
          </w:p>
        </w:tc>
        <w:tc>
          <w:tcPr>
            <w:tcW w:w="152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2.0%</w:t>
            </w:r>
          </w:p>
        </w:tc>
        <w:tc>
          <w:tcPr>
            <w:tcW w:w="142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3.0%</w:t>
            </w:r>
          </w:p>
        </w:tc>
      </w:tr>
      <w:tr>
        <w:trPr>
          <w:trHeight w:val="216"/>
        </w:trPr>
        <w:tc>
          <w:tcPr>
            <w:tcW w:w="5100" w:type="dxa"/>
            <w:vAlign w:val="bottom"/>
            <w:shd w:val="clear" w:color="auto" w:fill="CFF0FC"/>
          </w:tcPr>
          <w:p>
            <w:pPr>
              <w:ind w:left="140"/>
              <w:spacing w:after="0" w:line="216" w:lineRule="exact"/>
              <w:rPr>
                <w:sz w:val="20"/>
                <w:szCs w:val="20"/>
                <w:color w:val="auto"/>
              </w:rPr>
            </w:pPr>
            <w:r>
              <w:rPr>
                <w:rFonts w:ascii="Arial" w:cs="Arial" w:eastAsia="Arial" w:hAnsi="Arial"/>
                <w:sz w:val="19"/>
                <w:szCs w:val="19"/>
                <w:color w:val="auto"/>
              </w:rPr>
              <w:t>ASP % growth</w:t>
            </w:r>
            <w:r>
              <w:rPr>
                <w:rFonts w:ascii="Arial" w:cs="Arial" w:eastAsia="Arial" w:hAnsi="Arial"/>
                <w:sz w:val="25"/>
                <w:szCs w:val="25"/>
                <w:color w:val="auto"/>
                <w:vertAlign w:val="superscript"/>
              </w:rPr>
              <w:t>3</w:t>
            </w:r>
          </w:p>
        </w:tc>
        <w:tc>
          <w:tcPr>
            <w:tcW w:w="3200" w:type="dxa"/>
            <w:vAlign w:val="bottom"/>
            <w:gridSpan w:val="2"/>
            <w:shd w:val="clear" w:color="auto" w:fill="CFF0FC"/>
          </w:tcPr>
          <w:p>
            <w:pPr>
              <w:jc w:val="right"/>
              <w:ind w:right="20"/>
              <w:spacing w:after="0" w:line="216" w:lineRule="exact"/>
              <w:rPr>
                <w:sz w:val="20"/>
                <w:szCs w:val="20"/>
                <w:color w:val="auto"/>
              </w:rPr>
            </w:pPr>
            <w:r>
              <w:rPr>
                <w:rFonts w:ascii="Arial" w:cs="Arial" w:eastAsia="Arial" w:hAnsi="Arial"/>
                <w:sz w:val="20"/>
                <w:szCs w:val="20"/>
                <w:color w:val="auto"/>
              </w:rPr>
              <w:t>1.5%</w:t>
            </w:r>
          </w:p>
        </w:tc>
        <w:tc>
          <w:tcPr>
            <w:tcW w:w="1520" w:type="dxa"/>
            <w:vAlign w:val="bottom"/>
            <w:gridSpan w:val="2"/>
            <w:shd w:val="clear" w:color="auto" w:fill="CFF0FC"/>
          </w:tcPr>
          <w:p>
            <w:pPr>
              <w:jc w:val="right"/>
              <w:ind w:right="20"/>
              <w:spacing w:after="0" w:line="216" w:lineRule="exact"/>
              <w:rPr>
                <w:sz w:val="20"/>
                <w:szCs w:val="20"/>
                <w:color w:val="auto"/>
              </w:rPr>
            </w:pPr>
            <w:r>
              <w:rPr>
                <w:rFonts w:ascii="Arial" w:cs="Arial" w:eastAsia="Arial" w:hAnsi="Arial"/>
                <w:sz w:val="20"/>
                <w:szCs w:val="20"/>
                <w:color w:val="auto"/>
              </w:rPr>
              <w:t>2.5%</w:t>
            </w:r>
          </w:p>
        </w:tc>
        <w:tc>
          <w:tcPr>
            <w:tcW w:w="1420" w:type="dxa"/>
            <w:vAlign w:val="bottom"/>
            <w:gridSpan w:val="2"/>
            <w:shd w:val="clear" w:color="auto" w:fill="CFF0FC"/>
          </w:tcPr>
          <w:p>
            <w:pPr>
              <w:jc w:val="right"/>
              <w:ind w:right="20"/>
              <w:spacing w:after="0" w:line="216" w:lineRule="exact"/>
              <w:rPr>
                <w:sz w:val="20"/>
                <w:szCs w:val="20"/>
                <w:color w:val="auto"/>
              </w:rPr>
            </w:pPr>
            <w:r>
              <w:rPr>
                <w:rFonts w:ascii="Arial" w:cs="Arial" w:eastAsia="Arial" w:hAnsi="Arial"/>
                <w:sz w:val="20"/>
                <w:szCs w:val="20"/>
                <w:color w:val="auto"/>
              </w:rPr>
              <w:t>3.5%</w:t>
            </w:r>
          </w:p>
        </w:tc>
      </w:tr>
      <w:tr>
        <w:trPr>
          <w:trHeight w:val="216"/>
        </w:trPr>
        <w:tc>
          <w:tcPr>
            <w:tcW w:w="5100" w:type="dxa"/>
            <w:vAlign w:val="bottom"/>
          </w:tcPr>
          <w:p>
            <w:pPr>
              <w:ind w:left="140"/>
              <w:spacing w:after="0" w:line="216" w:lineRule="exact"/>
              <w:rPr>
                <w:sz w:val="20"/>
                <w:szCs w:val="20"/>
                <w:color w:val="auto"/>
              </w:rPr>
            </w:pPr>
            <w:r>
              <w:rPr>
                <w:rFonts w:ascii="Arial" w:cs="Arial" w:eastAsia="Arial" w:hAnsi="Arial"/>
                <w:sz w:val="19"/>
                <w:szCs w:val="19"/>
                <w:color w:val="auto"/>
              </w:rPr>
              <w:t>Organic ASP % growth</w:t>
            </w:r>
            <w:r>
              <w:rPr>
                <w:rFonts w:ascii="Arial" w:cs="Arial" w:eastAsia="Arial" w:hAnsi="Arial"/>
                <w:sz w:val="25"/>
                <w:szCs w:val="25"/>
                <w:color w:val="auto"/>
                <w:vertAlign w:val="superscript"/>
              </w:rPr>
              <w:t>3</w:t>
            </w:r>
          </w:p>
        </w:tc>
        <w:tc>
          <w:tcPr>
            <w:tcW w:w="320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4.0%</w:t>
            </w:r>
          </w:p>
        </w:tc>
        <w:tc>
          <w:tcPr>
            <w:tcW w:w="152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5.0%</w:t>
            </w:r>
          </w:p>
        </w:tc>
        <w:tc>
          <w:tcPr>
            <w:tcW w:w="142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6.0%</w:t>
            </w:r>
          </w:p>
        </w:tc>
      </w:tr>
      <w:tr>
        <w:trPr>
          <w:trHeight w:val="41"/>
        </w:trPr>
        <w:tc>
          <w:tcPr>
            <w:tcW w:w="5100" w:type="dxa"/>
            <w:vAlign w:val="bottom"/>
            <w:shd w:val="clear" w:color="auto" w:fill="000000"/>
          </w:tcPr>
          <w:p>
            <w:pPr>
              <w:spacing w:after="0"/>
              <w:rPr>
                <w:sz w:val="3"/>
                <w:szCs w:val="3"/>
                <w:color w:val="auto"/>
              </w:rPr>
            </w:pPr>
          </w:p>
        </w:tc>
        <w:tc>
          <w:tcPr>
            <w:tcW w:w="30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r>
    </w:tbl>
    <w:p>
      <w:pPr>
        <w:spacing w:after="0" w:line="140" w:lineRule="exact"/>
        <w:rPr>
          <w:sz w:val="20"/>
          <w:szCs w:val="20"/>
          <w:color w:val="auto"/>
        </w:rPr>
      </w:pPr>
    </w:p>
    <w:p>
      <w:pPr>
        <w:ind w:left="300" w:hanging="198"/>
        <w:spacing w:after="0" w:line="234" w:lineRule="auto"/>
        <w:tabs>
          <w:tab w:leader="none" w:pos="300" w:val="left"/>
        </w:tabs>
        <w:numPr>
          <w:ilvl w:val="0"/>
          <w:numId w:val="3"/>
        </w:numPr>
        <w:rPr>
          <w:rFonts w:ascii="Calibri" w:cs="Calibri" w:eastAsia="Calibri" w:hAnsi="Calibri"/>
          <w:sz w:val="10"/>
          <w:szCs w:val="10"/>
          <w:i w:val="1"/>
          <w:iCs w:val="1"/>
          <w:color w:val="auto"/>
        </w:rPr>
      </w:pPr>
      <w:r>
        <w:rPr>
          <w:rFonts w:ascii="Arial" w:cs="Arial" w:eastAsia="Arial" w:hAnsi="Arial"/>
          <w:sz w:val="20"/>
          <w:szCs w:val="20"/>
          <w:i w:val="1"/>
          <w:iCs w:val="1"/>
          <w:color w:val="auto"/>
        </w:rPr>
        <w:t>Non-GAAP financial measure; see page 16 for a reconciliation to net earnings from continuing operations attributable to Martin Marietta.</w:t>
      </w:r>
    </w:p>
    <w:p>
      <w:pPr>
        <w:spacing w:after="0" w:line="1" w:lineRule="exact"/>
        <w:rPr>
          <w:sz w:val="20"/>
          <w:szCs w:val="20"/>
          <w:color w:val="auto"/>
        </w:rPr>
      </w:pPr>
    </w:p>
    <w:p>
      <w:pPr>
        <w:ind w:left="300" w:hanging="198"/>
        <w:spacing w:after="0"/>
        <w:tabs>
          <w:tab w:leader="none" w:pos="300" w:val="left"/>
        </w:tabs>
        <w:numPr>
          <w:ilvl w:val="0"/>
          <w:numId w:val="4"/>
        </w:numPr>
        <w:rPr>
          <w:rFonts w:ascii="Calibri" w:cs="Calibri" w:eastAsia="Calibri" w:hAnsi="Calibri"/>
          <w:sz w:val="10"/>
          <w:szCs w:val="10"/>
          <w:i w:val="1"/>
          <w:iCs w:val="1"/>
          <w:color w:val="auto"/>
        </w:rPr>
      </w:pPr>
      <w:r>
        <w:rPr>
          <w:rFonts w:ascii="Arial" w:cs="Arial" w:eastAsia="Arial" w:hAnsi="Arial"/>
          <w:sz w:val="20"/>
          <w:szCs w:val="20"/>
          <w:i w:val="1"/>
          <w:iCs w:val="1"/>
          <w:color w:val="auto"/>
        </w:rPr>
        <w:t>Volume change is based on total aggregates shipments and is in comparison to 2025 shipments of 198.5 million tons.</w:t>
      </w:r>
    </w:p>
    <w:p>
      <w:pPr>
        <w:ind w:left="100"/>
        <w:spacing w:after="0"/>
        <w:rPr>
          <w:rFonts w:ascii="Calibri" w:cs="Calibri" w:eastAsia="Calibri" w:hAnsi="Calibri"/>
          <w:sz w:val="10"/>
          <w:szCs w:val="10"/>
          <w:i w:val="1"/>
          <w:iCs w:val="1"/>
          <w:color w:val="auto"/>
        </w:rPr>
      </w:pPr>
      <w:r>
        <w:rPr>
          <w:rFonts w:ascii="Calibri" w:cs="Calibri" w:eastAsia="Calibri" w:hAnsi="Calibri"/>
          <w:sz w:val="10"/>
          <w:szCs w:val="10"/>
          <w:i w:val="1"/>
          <w:iCs w:val="1"/>
          <w:color w:val="auto"/>
        </w:rPr>
        <w:t xml:space="preserve">3   </w:t>
      </w:r>
      <w:r>
        <w:rPr>
          <w:rFonts w:ascii="Arial" w:cs="Arial" w:eastAsia="Arial" w:hAnsi="Arial"/>
          <w:sz w:val="19"/>
          <w:szCs w:val="19"/>
          <w:i w:val="1"/>
          <w:iCs w:val="1"/>
          <w:color w:val="auto"/>
        </w:rPr>
        <w:t>ASP change is based on aggregates average selling price and is in comparison to 2025 ASP of $23.30 per ton.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6106160</wp:posOffset>
            </wp:positionH>
            <wp:positionV relativeFrom="page">
              <wp:posOffset>500380</wp:posOffset>
            </wp:positionV>
            <wp:extent cx="1234440" cy="5060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50609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29"/>
          <w:szCs w:val="29"/>
          <w:color w:val="007DC6"/>
        </w:rPr>
        <w:t>Non-GAAP Financial Information</w:t>
      </w:r>
    </w:p>
    <w:p>
      <w:pPr>
        <w:spacing w:after="0" w:line="12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This earnings release includes financial measures not prepared in accordance with United States generally accepted accounting principles (GAAP). Reconciliations of these non-GAAP financial measures to the most comparable GAAP measures are provided in the Appendix. Management believes these non-GAAP measures are widely used by investors to evaluate the Company’s performance and, when considered alongside the Company’s consolidated financial statements, offer valuable insight into the Company’s ongoing and expected business results. These measures also inform internal evaluations of overall business performance. Management recognizes that reported results are influenced by numerous factors, and the adjustments in non-GAAP measures may not reflect all such impacts. Additionally, these measures may not be comparable to similarly titled measures used by other companies.</w:t>
      </w:r>
    </w:p>
    <w:p>
      <w:pPr>
        <w:spacing w:after="0" w:line="55" w:lineRule="exact"/>
        <w:rPr>
          <w:sz w:val="20"/>
          <w:szCs w:val="20"/>
          <w:color w:val="auto"/>
        </w:rPr>
      </w:pPr>
    </w:p>
    <w:p>
      <w:pPr>
        <w:spacing w:after="0"/>
        <w:rPr>
          <w:sz w:val="20"/>
          <w:szCs w:val="20"/>
          <w:color w:val="auto"/>
        </w:rPr>
      </w:pPr>
      <w:r>
        <w:rPr>
          <w:rFonts w:ascii="Arial" w:cs="Arial" w:eastAsia="Arial" w:hAnsi="Arial"/>
          <w:sz w:val="29"/>
          <w:szCs w:val="29"/>
          <w:color w:val="007DC6"/>
        </w:rPr>
        <w:t>Conference Call Information</w:t>
      </w:r>
    </w:p>
    <w:p>
      <w:pPr>
        <w:spacing w:after="0" w:line="123"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 xml:space="preserve">Martin Marietta will discuss its first-quarter 2026 earnings results today, April 30, 2026, via a conference call and live webcast beginning at 10:00 a.m. Eastern Time. To participate, dial +1 (646) 307-1963 and enter conference ID 6288728. Participants are encouraged to dial-in at least 15 minutes prior to the scheduled start time to ensure a timely connection. A replay of the webcast will be available approximately two hours after the live broadcast concludes. Access links for both the live and archived events, along with the Q1 2026 Supplemental Information, are available on the </w:t>
      </w:r>
      <w:r>
        <w:rPr>
          <w:rFonts w:ascii="Arial" w:cs="Arial" w:eastAsia="Arial" w:hAnsi="Arial"/>
          <w:sz w:val="19"/>
          <w:szCs w:val="19"/>
          <w:b w:val="1"/>
          <w:bCs w:val="1"/>
          <w:color w:val="auto"/>
        </w:rPr>
        <w:t>Investors</w:t>
      </w:r>
      <w:r>
        <w:rPr>
          <w:rFonts w:ascii="Arial" w:cs="Arial" w:eastAsia="Arial" w:hAnsi="Arial"/>
          <w:sz w:val="19"/>
          <w:szCs w:val="19"/>
          <w:color w:val="auto"/>
        </w:rPr>
        <w:t xml:space="preserve"> section of the Company's website.</w:t>
      </w:r>
    </w:p>
    <w:p>
      <w:pPr>
        <w:spacing w:after="0" w:line="35" w:lineRule="exact"/>
        <w:rPr>
          <w:sz w:val="20"/>
          <w:szCs w:val="20"/>
          <w:color w:val="auto"/>
        </w:rPr>
      </w:pPr>
    </w:p>
    <w:p>
      <w:pPr>
        <w:spacing w:after="0"/>
        <w:rPr>
          <w:sz w:val="20"/>
          <w:szCs w:val="20"/>
          <w:color w:val="auto"/>
        </w:rPr>
      </w:pPr>
      <w:r>
        <w:rPr>
          <w:rFonts w:ascii="Arial" w:cs="Arial" w:eastAsia="Arial" w:hAnsi="Arial"/>
          <w:sz w:val="29"/>
          <w:szCs w:val="29"/>
          <w:color w:val="007DC6"/>
        </w:rPr>
        <w:t>About Martin Marietta</w:t>
      </w:r>
    </w:p>
    <w:p>
      <w:pPr>
        <w:spacing w:after="0" w:line="123"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Martin Marietta, a member of the S&amp;P 500 Index, is an American-based company and a leading supplier of aggregates and other building materials. Through a network of operations spanning 28 states, Canada and The Bahamas, dedicated Martin Marietta teams supply the resources necessary for building the solid foundations on which our communities thrive. Martin Marietta’s Specialties business provides high-purity magnesia and dolomitic lime products used worldwide in environmental, industrial, agricultural and specialty applications. For more information, visit www.martinmarietta.com or www.magnesiaspecialties.com.</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auto"/>
        </w:rPr>
        <w:t>Investor Contact: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Jacklyn Rooker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225" w:lineRule="auto"/>
        <w:rPr>
          <w:sz w:val="20"/>
          <w:szCs w:val="20"/>
          <w:color w:val="auto"/>
        </w:rPr>
      </w:pPr>
      <w:r>
        <w:rPr>
          <w:rFonts w:ascii="Arial" w:cs="Arial" w:eastAsia="Arial" w:hAnsi="Arial"/>
          <w:sz w:val="20"/>
          <w:szCs w:val="20"/>
          <w:color w:val="auto"/>
        </w:rPr>
        <w:t>+1 (919) 510-4736</w:t>
      </w:r>
    </w:p>
    <w:p>
      <w:pPr>
        <w:spacing w:after="0"/>
        <w:rPr>
          <w:sz w:val="20"/>
          <w:szCs w:val="20"/>
          <w:color w:val="auto"/>
        </w:rPr>
      </w:pPr>
      <w:r>
        <w:rPr>
          <w:rFonts w:ascii="Arial" w:cs="Arial" w:eastAsia="Arial" w:hAnsi="Arial"/>
          <w:sz w:val="20"/>
          <w:szCs w:val="20"/>
          <w:u w:val="single" w:color="auto"/>
          <w:color w:val="0000FF"/>
        </w:rPr>
        <w:t>Jacklyn.Rooker@martinmarietta.com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MLM-E</w:t>
      </w:r>
      <w:r>
        <w:rPr>
          <w:rFonts w:ascii="Arial" w:cs="Arial" w:eastAsia="Arial" w:hAnsi="Arial"/>
          <w:sz w:val="20"/>
          <w:szCs w:val="20"/>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6106160</wp:posOffset>
            </wp:positionH>
            <wp:positionV relativeFrom="page">
              <wp:posOffset>500380</wp:posOffset>
            </wp:positionV>
            <wp:extent cx="1234440" cy="5060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506095"/>
                    </a:xfrm>
                    <a:prstGeom prst="rect">
                      <a:avLst/>
                    </a:prstGeom>
                    <a:noFill/>
                  </pic:spPr>
                </pic:pic>
              </a:graphicData>
            </a:graphic>
          </wp:anchor>
        </w:drawing>
      </w:r>
    </w:p>
    <w:p>
      <w:pPr>
        <w:spacing w:after="0" w:line="35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i w:val="1"/>
          <w:iCs w:val="1"/>
          <w:color w:val="auto"/>
        </w:rPr>
        <w:t>This earnings release contains forward-looking statements under the federal securities laws, including the Private Securities Litigation Reform Act of 1995 that involve risks and uncertainties and are based on assumptions that the Company believes are reasonable, but which may differ materially from actual results. These statements reflect the Company’s current expectations or forecasts of future events. You can identify these statements because they do not relate only to historical or current facts and may use words such as “guidance”, “anticipate”, “may”, “expect”, “should”, “believe”, “will”, and other words of similar meaning in connection with future events or future performance. Any or all the Company’s forward-looking statements herein and in other publications may prove to be incorrect.</w:t>
      </w:r>
    </w:p>
    <w:p>
      <w:pPr>
        <w:spacing w:after="0" w:line="104" w:lineRule="exact"/>
        <w:rPr>
          <w:sz w:val="20"/>
          <w:szCs w:val="20"/>
          <w:color w:val="auto"/>
        </w:rPr>
      </w:pPr>
    </w:p>
    <w:p>
      <w:pPr>
        <w:jc w:val="both"/>
        <w:spacing w:after="0" w:line="226" w:lineRule="auto"/>
        <w:rPr>
          <w:sz w:val="20"/>
          <w:szCs w:val="20"/>
          <w:color w:val="auto"/>
        </w:rPr>
      </w:pPr>
      <w:r>
        <w:rPr>
          <w:rFonts w:ascii="Arial" w:cs="Arial" w:eastAsia="Arial" w:hAnsi="Arial"/>
          <w:sz w:val="20"/>
          <w:szCs w:val="20"/>
          <w:i w:val="1"/>
          <w:iCs w:val="1"/>
          <w:color w:val="auto"/>
        </w:rPr>
        <w:t>First-quarter results and trends described in this release may not necessarily be indicative of the Company’s future performance. The Company’s outlook is subject to risks and uncertainties and is based on assumptions that the Company believes are reasonable but which may be materially different from actual results. Factors that the Company currently believes could cause actual results to differ materially from the forward-looking statements, including the outlook and 2026 Guidance, include, but are not limited to: the Company’s ability to address challenges, including shipment declines caused by economic and weather events beyond its control; a widespread decline in aggregates pricing, including reduced shipment volume negatively affecting price; the termination, capping, reduction or suspension of federal and/or state fuel tax(es) or other revenue related to public construction; the impact of the Administration on the availability and timing of federal and state infrastructure investment; the level and timing of federal, state or local transportation or infrastructure or public projects funding, including any issues arising from such budgets, particularly in Texas, North Carolina, Colorado, California, Georgia, Florida, South Carolina, Arizona, Iowa and Minnesota; the United States Congress’ inability to reach agreement internally or with the Executive Branch on policy affecting the federal budget; a prolonged Federal government shutdown; the ability of states or other entities to finance approved projects through tax revenues or alternative financing; construction spending levels in the Company’s markets; reductions in defense spending and impacts on construction activity on or near military bases; declines in energy-related construction due to sustained low global oil prices or changes in oil production or capital spending, particularly in Texas; sustained high mortgage interest rates and factors leading to a slowdown in private construction in some areas; unfavorable weather, including storms, hurricanes, wildfires, timing of seasons, drought, rainfall, or extreme temperatures affecting production schedules, shipment volumes, product/geographic mix and profitability; volatility in fuel and energy costs, including diesel, electricity, natural gas and consumables like steel, explosives, tires and conveyor belts, as well as natural gas for the Company’s Specialties business; increased raw materials costs, such as bitumen; rising costs of repair and supply parts; construction labor shortages and supply chain challenges; labor relations risks, such as unionization efforts, work stoppages or strikes (particularly in jurisdictions with evolving labor laws); workforce demographics-related challenges in recruiting and retaining skilled employees, particularly for physically demanding roles in rural or less-populated areas; unexpected equipment failures, unscheduled maintenance, industrial accident or prolonged production disruption; resiliency and potential declines of the Company's construction end-use markets; potential impacts of disease outbreaks, epidemics, pandemics, or similar health threats, or fear of such events, and related economic/societal responses, affecting suppliers, customers, partners or employees; the performance of the overall United States economy; governmental regulation, including environmental laws and climate change regulations at state and federal levels; implementation of emissions taxes, carbon-pricing schemes, or stricter climate-related rules that could increase operating costs or restrict Specialties production; delays or difficulties in securing timely land use approvals or environmental permits amid changing regulatory expectations; increasing legal actions or public pressure related to environmental impact, emissions, or land use could result in reputational harm or financial liability; failure to meet evolving environmental, social, 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6106160</wp:posOffset>
            </wp:positionH>
            <wp:positionV relativeFrom="page">
              <wp:posOffset>500380</wp:posOffset>
            </wp:positionV>
            <wp:extent cx="1234440" cy="506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506095"/>
                    </a:xfrm>
                    <a:prstGeom prst="rect">
                      <a:avLst/>
                    </a:prstGeom>
                    <a:noFill/>
                  </pic:spPr>
                </pic:pic>
              </a:graphicData>
            </a:graphic>
          </wp:anchor>
        </w:drawing>
      </w:r>
    </w:p>
    <w:p>
      <w:pPr>
        <w:spacing w:after="0" w:line="355" w:lineRule="exact"/>
        <w:rPr>
          <w:sz w:val="20"/>
          <w:szCs w:val="20"/>
          <w:color w:val="auto"/>
        </w:rPr>
      </w:pPr>
    </w:p>
    <w:p>
      <w:pPr>
        <w:jc w:val="both"/>
        <w:spacing w:after="0" w:line="226" w:lineRule="auto"/>
        <w:rPr>
          <w:sz w:val="20"/>
          <w:szCs w:val="20"/>
          <w:color w:val="auto"/>
        </w:rPr>
      </w:pPr>
      <w:r>
        <w:rPr>
          <w:rFonts w:ascii="Arial" w:cs="Arial" w:eastAsia="Arial" w:hAnsi="Arial"/>
          <w:sz w:val="20"/>
          <w:szCs w:val="20"/>
          <w:i w:val="1"/>
          <w:iCs w:val="1"/>
          <w:color w:val="auto"/>
        </w:rPr>
        <w:t>governance (ESG) standards or investor benchmarks may affect access to capital or shareholder confidence; changes in external ESG ratings or methodologies could affect investor sentiment or index inclusion; increasing competition for water access or stricter water usage regulations could impact production, especially in drought-prone regions; outcomes of environmental or land-use proceedings, or increased costs associated with regulatory obligations, including site reclamation; elevated premiums or reduced coverage availability for property, casualty, or environmental liability could increase risk exposure; online misinformation campaigns or social media-driven reputational harm could affect stakeholder trust and market perception; transportation availability and investment in rail infrastructure impacting the movement of materials especially to the Company’s Texas, Southeast and Gulf Coast markets, the movement of essential dolomitic lime to the Company’s Specialties plant in Manistee, Michigan and its customers, and the movement of magnesite from the Company's Specialties' Gabbs, Nevada facility to processing plants in North Carolina, Indiana and Pennsylvania and the Company's customers; increased transportation costs, including increases from energy price fluctuations, fuel surcharges, and compliance with tightening regulations, including water shipments; availability of trucks and licensed drivers for material transport; availability and cost of construction equipment in the United States; weakness in the steel industry markets served by the Company’s dolomitic lime products; geopolitical risks affecting costs, supply chain, oil and gas prices, including conflict zones such as Iran, Russia-Ukraine, Israel-Middle East and potential China-Taiwan tensions; trade disputes and tariffs impacting the U.S. economy; unplanned cost changes or customer realignments affecting earnings; dependence on information technology and automated systems; risks related to third-party vendors, including exposure to cybersecurity vulnerabilities or service outages; inflation pressures on production and interest costs; customer concentration in construction markets increasing the risk of potential losses on customer receivables; demand levels, production volumes, and cost management affecting operating leverage and profitability; risks related to acquisitions, including, integration challenges and the possibility that acquisition synergies may not be realized as expected or within anticipated timeframes, potentially impacting profitability and debt covenant compliance; risks related to executive succession, retention and leadership development critical to strategy execution, including impacts from unexpected leadership changes; changes in tax laws or interpretations, including those related to acquisitions or divestitures, which could increase tax rates; violation of the Company’s debt covenants in the event of price and/or volume instability; new or revised accounting rules could impact financial reporting, asset valuations, or covenant compliance; challenges in implementing new technologies or automation systems could lead to inefficiencies, cost overruns, or operational disruptions; improper use or reliance on predictive analytics or AI-driven decision-making could result in flawed forecasting, compliance issues, or reputational damage; cybersecurity risks; downward pressure on the Company’s common stock price affecting goodwill impairment evaluations; potential credit rating downgrades to non-investment grade; and other risk factors listed from time to time in the Company’s SEC filings.</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i w:val="1"/>
          <w:iCs w:val="1"/>
          <w:color w:val="auto"/>
        </w:rPr>
        <w:t>You should also review the risk factors discussed in Martin Marietta’s Annual Report on Form 10-K for the year ended December 31, 2025, and other periodic SEC filings. All forward-looking statements should be evaluated with these considerations in mind. Other risks and uncertainties not presently known or currently deemed immaterial may also affect the Company’s performance or the accuracy of forward-looking statements. The Company undertakes no obligation to update any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Appendix</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MARTIN MARIETTA MATERIALS,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Statements of Earnings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160" w:type="dxa"/>
            <w:vAlign w:val="bottom"/>
            <w:gridSpan w:val="4"/>
          </w:tcPr>
          <w:p>
            <w:pPr>
              <w:jc w:val="center"/>
              <w:ind w:left="461"/>
              <w:spacing w:after="0"/>
              <w:rPr>
                <w:sz w:val="20"/>
                <w:szCs w:val="20"/>
                <w:color w:val="auto"/>
              </w:rPr>
            </w:pPr>
            <w:r>
              <w:rPr>
                <w:rFonts w:ascii="Arial" w:cs="Arial" w:eastAsia="Arial" w:hAnsi="Arial"/>
                <w:sz w:val="20"/>
                <w:szCs w:val="20"/>
                <w:color w:val="auto"/>
                <w:w w:val="98"/>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ind w:right="481"/>
              <w:spacing w:after="0"/>
              <w:rPr>
                <w:sz w:val="20"/>
                <w:szCs w:val="20"/>
                <w:color w:val="auto"/>
              </w:rPr>
            </w:pPr>
            <w:r>
              <w:rPr>
                <w:rFonts w:ascii="Arial" w:cs="Arial" w:eastAsia="Arial" w:hAnsi="Arial"/>
                <w:sz w:val="20"/>
                <w:szCs w:val="20"/>
                <w:color w:val="auto"/>
                <w:w w:val="98"/>
              </w:rPr>
              <w:t>March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2026</w:t>
            </w:r>
          </w:p>
        </w:tc>
        <w:tc>
          <w:tcPr>
            <w:tcW w:w="5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40" w:type="dxa"/>
            <w:vAlign w:val="bottom"/>
            <w:gridSpan w:val="6"/>
          </w:tcPr>
          <w:p>
            <w:pPr>
              <w:jc w:val="center"/>
              <w:ind w:right="140"/>
              <w:spacing w:after="0" w:line="209" w:lineRule="exact"/>
              <w:rPr>
                <w:sz w:val="20"/>
                <w:szCs w:val="20"/>
                <w:color w:val="auto"/>
              </w:rPr>
            </w:pPr>
            <w:r>
              <w:rPr>
                <w:rFonts w:ascii="Arial" w:cs="Arial" w:eastAsia="Arial" w:hAnsi="Arial"/>
                <w:sz w:val="20"/>
                <w:szCs w:val="20"/>
                <w:i w:val="1"/>
                <w:iCs w:val="1"/>
                <w:color w:val="auto"/>
                <w:w w:val="98"/>
              </w:rPr>
              <w:t>(In Millions, Except Per Share Data)</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Revenues</w:t>
            </w:r>
          </w:p>
        </w:tc>
        <w:tc>
          <w:tcPr>
            <w:tcW w:w="3260" w:type="dxa"/>
            <w:vAlign w:val="bottom"/>
            <w:gridSpan w:val="2"/>
            <w:shd w:val="clear" w:color="auto" w:fill="CFF0FC"/>
          </w:tcPr>
          <w:p>
            <w:pPr>
              <w:jc w:val="right"/>
              <w:ind w:right="941"/>
              <w:spacing w:after="0" w:line="216" w:lineRule="exact"/>
              <w:rPr>
                <w:sz w:val="20"/>
                <w:szCs w:val="20"/>
                <w:color w:val="auto"/>
              </w:rPr>
            </w:pPr>
            <w:r>
              <w:rPr>
                <w:rFonts w:ascii="Arial" w:cs="Arial" w:eastAsia="Arial" w:hAnsi="Arial"/>
                <w:sz w:val="20"/>
                <w:szCs w:val="20"/>
                <w:color w:val="auto"/>
              </w:rPr>
              <w:t>$</w:t>
            </w:r>
          </w:p>
        </w:tc>
        <w:tc>
          <w:tcPr>
            <w:tcW w:w="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1,362</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941"/>
              <w:spacing w:after="0" w:line="216" w:lineRule="exact"/>
              <w:rPr>
                <w:sz w:val="20"/>
                <w:szCs w:val="20"/>
                <w:color w:val="auto"/>
              </w:rPr>
            </w:pPr>
            <w:r>
              <w:rPr>
                <w:rFonts w:ascii="Arial" w:cs="Arial" w:eastAsia="Arial" w:hAnsi="Arial"/>
                <w:sz w:val="20"/>
                <w:szCs w:val="20"/>
                <w:color w:val="auto"/>
                <w:w w:val="89"/>
              </w:rPr>
              <w:t>$</w:t>
            </w:r>
          </w:p>
        </w:tc>
        <w:tc>
          <w:tcPr>
            <w:tcW w:w="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1,162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line="216" w:lineRule="exact"/>
              <w:rPr>
                <w:sz w:val="20"/>
                <w:szCs w:val="20"/>
                <w:color w:val="auto"/>
              </w:rPr>
            </w:pPr>
            <w:r>
              <w:rPr>
                <w:rFonts w:ascii="Arial" w:cs="Arial" w:eastAsia="Arial" w:hAnsi="Arial"/>
                <w:sz w:val="20"/>
                <w:szCs w:val="20"/>
                <w:color w:val="auto"/>
              </w:rPr>
              <w:t>Cost of revenues</w:t>
            </w:r>
          </w:p>
        </w:tc>
        <w:tc>
          <w:tcPr>
            <w:tcW w:w="2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1,052</w:t>
            </w:r>
          </w:p>
        </w:tc>
        <w:tc>
          <w:tcPr>
            <w:tcW w:w="2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line="216" w:lineRule="exact"/>
              <w:rPr>
                <w:sz w:val="20"/>
                <w:szCs w:val="20"/>
                <w:color w:val="auto"/>
              </w:rPr>
            </w:pPr>
            <w:r>
              <w:rPr>
                <w:rFonts w:ascii="Arial" w:cs="Arial" w:eastAsia="Arial" w:hAnsi="Arial"/>
                <w:sz w:val="20"/>
                <w:szCs w:val="20"/>
                <w:color w:val="auto"/>
              </w:rPr>
              <w:t>Gross Profit</w:t>
            </w:r>
          </w:p>
        </w:tc>
        <w:tc>
          <w:tcPr>
            <w:tcW w:w="2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line="216" w:lineRule="exact"/>
              <w:rPr>
                <w:sz w:val="20"/>
                <w:szCs w:val="20"/>
                <w:color w:val="auto"/>
              </w:rPr>
            </w:pPr>
            <w:r>
              <w:rPr>
                <w:rFonts w:ascii="Arial" w:cs="Arial" w:eastAsia="Arial" w:hAnsi="Arial"/>
                <w:sz w:val="20"/>
                <w:szCs w:val="20"/>
                <w:color w:val="auto"/>
              </w:rPr>
              <w:t>310</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jc w:val="right"/>
              <w:spacing w:after="0" w:line="216" w:lineRule="exact"/>
              <w:rPr>
                <w:sz w:val="20"/>
                <w:szCs w:val="20"/>
                <w:color w:val="auto"/>
              </w:rPr>
            </w:pPr>
            <w:r>
              <w:rPr>
                <w:rFonts w:ascii="Arial" w:cs="Arial" w:eastAsia="Arial" w:hAnsi="Arial"/>
                <w:sz w:val="20"/>
                <w:szCs w:val="20"/>
                <w:color w:val="auto"/>
              </w:rPr>
              <w:t>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line="216" w:lineRule="exact"/>
              <w:rPr>
                <w:sz w:val="20"/>
                <w:szCs w:val="20"/>
                <w:color w:val="auto"/>
              </w:rPr>
            </w:pPr>
            <w:r>
              <w:rPr>
                <w:rFonts w:ascii="Arial" w:cs="Arial" w:eastAsia="Arial" w:hAnsi="Arial"/>
                <w:sz w:val="20"/>
                <w:szCs w:val="20"/>
                <w:color w:val="auto"/>
              </w:rPr>
              <w:t>Selling, general and administrative expenses</w:t>
            </w:r>
          </w:p>
        </w:tc>
        <w:tc>
          <w:tcPr>
            <w:tcW w:w="2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line="216" w:lineRule="exact"/>
              <w:rPr>
                <w:sz w:val="20"/>
                <w:szCs w:val="20"/>
                <w:color w:val="auto"/>
              </w:rPr>
            </w:pPr>
            <w:r>
              <w:rPr>
                <w:rFonts w:ascii="Arial" w:cs="Arial" w:eastAsia="Arial" w:hAnsi="Arial"/>
                <w:sz w:val="20"/>
                <w:szCs w:val="20"/>
                <w:color w:val="auto"/>
              </w:rPr>
              <w:t>133</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jc w:val="right"/>
              <w:spacing w:after="0" w:line="216" w:lineRule="exact"/>
              <w:rPr>
                <w:sz w:val="20"/>
                <w:szCs w:val="20"/>
                <w:color w:val="auto"/>
              </w:rPr>
            </w:pPr>
            <w:r>
              <w:rPr>
                <w:rFonts w:ascii="Arial" w:cs="Arial" w:eastAsia="Arial" w:hAnsi="Arial"/>
                <w:sz w:val="20"/>
                <w:szCs w:val="20"/>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Acquisition, divestiture and integration expenses</w:t>
            </w:r>
          </w:p>
        </w:tc>
        <w:tc>
          <w:tcPr>
            <w:tcW w:w="2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line="216" w:lineRule="exact"/>
              <w:rPr>
                <w:sz w:val="20"/>
                <w:szCs w:val="20"/>
                <w:color w:val="auto"/>
              </w:rPr>
            </w:pPr>
            <w:r>
              <w:rPr>
                <w:rFonts w:ascii="Arial" w:cs="Arial" w:eastAsia="Arial" w:hAnsi="Arial"/>
                <w:sz w:val="20"/>
                <w:szCs w:val="20"/>
                <w:color w:val="auto"/>
              </w:rPr>
              <w:t>Other operating expense, net</w:t>
            </w:r>
          </w:p>
        </w:tc>
        <w:tc>
          <w:tcPr>
            <w:tcW w:w="2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10</w:t>
            </w:r>
          </w:p>
        </w:tc>
        <w:tc>
          <w:tcPr>
            <w:tcW w:w="2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ind w:left="80"/>
              <w:spacing w:after="0" w:line="209" w:lineRule="exact"/>
              <w:rPr>
                <w:sz w:val="20"/>
                <w:szCs w:val="20"/>
                <w:color w:val="auto"/>
              </w:rPr>
            </w:pPr>
            <w:r>
              <w:rPr>
                <w:rFonts w:ascii="Arial" w:cs="Arial" w:eastAsia="Arial" w:hAnsi="Arial"/>
                <w:sz w:val="20"/>
                <w:szCs w:val="20"/>
                <w:color w:val="auto"/>
              </w:rPr>
              <w:t>Earnings from Operations</w:t>
            </w:r>
          </w:p>
        </w:tc>
        <w:tc>
          <w:tcPr>
            <w:tcW w:w="2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162</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Interest expense</w:t>
            </w:r>
          </w:p>
        </w:tc>
        <w:tc>
          <w:tcPr>
            <w:tcW w:w="2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56</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line="216" w:lineRule="exact"/>
              <w:rPr>
                <w:sz w:val="20"/>
                <w:szCs w:val="20"/>
                <w:color w:val="auto"/>
              </w:rPr>
            </w:pPr>
            <w:r>
              <w:rPr>
                <w:rFonts w:ascii="Arial" w:cs="Arial" w:eastAsia="Arial" w:hAnsi="Arial"/>
                <w:sz w:val="20"/>
                <w:szCs w:val="20"/>
                <w:color w:val="auto"/>
              </w:rPr>
              <w:t>Other nonoperating income, net</w:t>
            </w:r>
          </w:p>
        </w:tc>
        <w:tc>
          <w:tcPr>
            <w:tcW w:w="2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gridSpan w:val="2"/>
          </w:tcPr>
          <w:p>
            <w:pPr>
              <w:jc w:val="right"/>
              <w:ind w:right="220"/>
              <w:spacing w:after="0" w:line="216" w:lineRule="exact"/>
              <w:rPr>
                <w:sz w:val="20"/>
                <w:szCs w:val="20"/>
                <w:color w:val="auto"/>
              </w:rPr>
            </w:pPr>
            <w:r>
              <w:rPr>
                <w:rFonts w:ascii="Arial" w:cs="Arial" w:eastAsia="Arial" w:hAnsi="Arial"/>
                <w:sz w:val="20"/>
                <w:szCs w:val="20"/>
                <w:color w:val="auto"/>
              </w:rPr>
              <w:t>(11)</w:t>
            </w:r>
          </w:p>
        </w:tc>
        <w:tc>
          <w:tcPr>
            <w:tcW w:w="1160" w:type="dxa"/>
            <w:vAlign w:val="bottom"/>
          </w:tcPr>
          <w:p>
            <w:pPr>
              <w:spacing w:after="0"/>
              <w:rPr>
                <w:sz w:val="18"/>
                <w:szCs w:val="18"/>
                <w:color w:val="auto"/>
              </w:rPr>
            </w:pPr>
          </w:p>
        </w:tc>
        <w:tc>
          <w:tcPr>
            <w:tcW w:w="68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188"/>
        </w:trPr>
        <w:tc>
          <w:tcPr>
            <w:tcW w:w="5280" w:type="dxa"/>
            <w:vAlign w:val="bottom"/>
            <w:shd w:val="clear" w:color="auto" w:fill="CFF0FC"/>
          </w:tcPr>
          <w:p>
            <w:pPr>
              <w:ind w:left="80"/>
              <w:spacing w:after="0" w:line="188" w:lineRule="exact"/>
              <w:rPr>
                <w:sz w:val="20"/>
                <w:szCs w:val="20"/>
                <w:color w:val="auto"/>
              </w:rPr>
            </w:pPr>
            <w:r>
              <w:rPr>
                <w:rFonts w:ascii="Arial" w:cs="Arial" w:eastAsia="Arial" w:hAnsi="Arial"/>
                <w:sz w:val="20"/>
                <w:szCs w:val="20"/>
                <w:color w:val="auto"/>
              </w:rPr>
              <w:t>Earnings from continuing operations before income tax</w:t>
            </w:r>
          </w:p>
        </w:tc>
        <w:tc>
          <w:tcPr>
            <w:tcW w:w="2120" w:type="dxa"/>
            <w:vAlign w:val="bottom"/>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expense</w:t>
            </w:r>
          </w:p>
        </w:tc>
        <w:tc>
          <w:tcPr>
            <w:tcW w:w="2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117</w:t>
            </w: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line="216" w:lineRule="exact"/>
              <w:rPr>
                <w:sz w:val="20"/>
                <w:szCs w:val="20"/>
                <w:color w:val="auto"/>
              </w:rPr>
            </w:pPr>
            <w:r>
              <w:rPr>
                <w:rFonts w:ascii="Arial" w:cs="Arial" w:eastAsia="Arial" w:hAnsi="Arial"/>
                <w:sz w:val="20"/>
                <w:szCs w:val="20"/>
                <w:color w:val="auto"/>
              </w:rPr>
              <w:t>Income tax expense</w:t>
            </w:r>
          </w:p>
        </w:tc>
        <w:tc>
          <w:tcPr>
            <w:tcW w:w="2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38</w:t>
            </w:r>
          </w:p>
        </w:tc>
        <w:tc>
          <w:tcPr>
            <w:tcW w:w="2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ind w:left="80"/>
              <w:spacing w:after="0" w:line="209" w:lineRule="exact"/>
              <w:rPr>
                <w:sz w:val="20"/>
                <w:szCs w:val="20"/>
                <w:color w:val="auto"/>
              </w:rPr>
            </w:pPr>
            <w:r>
              <w:rPr>
                <w:rFonts w:ascii="Arial" w:cs="Arial" w:eastAsia="Arial" w:hAnsi="Arial"/>
                <w:sz w:val="20"/>
                <w:szCs w:val="20"/>
                <w:color w:val="auto"/>
              </w:rPr>
              <w:t>Earnings from continuing operations</w:t>
            </w:r>
          </w:p>
        </w:tc>
        <w:tc>
          <w:tcPr>
            <w:tcW w:w="2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79</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80" w:type="dxa"/>
            <w:vAlign w:val="bottom"/>
          </w:tcPr>
          <w:p>
            <w:pPr>
              <w:spacing w:after="0" w:line="194" w:lineRule="exact"/>
              <w:rPr>
                <w:sz w:val="20"/>
                <w:szCs w:val="20"/>
                <w:color w:val="auto"/>
              </w:rPr>
            </w:pPr>
            <w:r>
              <w:rPr>
                <w:rFonts w:ascii="Arial" w:cs="Arial" w:eastAsia="Arial" w:hAnsi="Arial"/>
                <w:sz w:val="20"/>
                <w:szCs w:val="20"/>
                <w:color w:val="auto"/>
              </w:rPr>
              <w:t>Earnings from discontinued operations, net of income tax</w:t>
            </w:r>
          </w:p>
        </w:tc>
        <w:tc>
          <w:tcPr>
            <w:tcW w:w="2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20"/>
                <w:szCs w:val="20"/>
                <w:color w:val="auto"/>
              </w:rPr>
              <w:t>1,434</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20"/>
                <w:szCs w:val="20"/>
                <w:color w:val="auto"/>
              </w:rPr>
              <w:t>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80" w:type="dxa"/>
            <w:vAlign w:val="bottom"/>
          </w:tcPr>
          <w:p>
            <w:pPr>
              <w:ind w:left="180"/>
              <w:spacing w:after="0" w:line="224" w:lineRule="exact"/>
              <w:rPr>
                <w:sz w:val="20"/>
                <w:szCs w:val="20"/>
                <w:color w:val="auto"/>
              </w:rPr>
            </w:pPr>
            <w:r>
              <w:rPr>
                <w:rFonts w:ascii="Arial" w:cs="Arial" w:eastAsia="Arial" w:hAnsi="Arial"/>
                <w:sz w:val="20"/>
                <w:szCs w:val="20"/>
                <w:color w:val="auto"/>
              </w:rPr>
              <w:t>expense</w:t>
            </w:r>
          </w:p>
        </w:tc>
        <w:tc>
          <w:tcPr>
            <w:tcW w:w="2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Consolidated net earnings</w:t>
            </w:r>
          </w:p>
        </w:tc>
        <w:tc>
          <w:tcPr>
            <w:tcW w:w="2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1,513</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80" w:type="dxa"/>
            <w:vAlign w:val="bottom"/>
          </w:tcPr>
          <w:p>
            <w:pPr>
              <w:spacing w:after="0" w:line="194" w:lineRule="exact"/>
              <w:rPr>
                <w:sz w:val="20"/>
                <w:szCs w:val="20"/>
                <w:color w:val="auto"/>
              </w:rPr>
            </w:pPr>
            <w:r>
              <w:rPr>
                <w:rFonts w:ascii="Arial" w:cs="Arial" w:eastAsia="Arial" w:hAnsi="Arial"/>
                <w:sz w:val="20"/>
                <w:szCs w:val="20"/>
                <w:color w:val="auto"/>
              </w:rPr>
              <w:t>Less: Net earnings attributable to noncontrolling</w:t>
            </w:r>
          </w:p>
        </w:tc>
        <w:tc>
          <w:tcPr>
            <w:tcW w:w="2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80" w:type="dxa"/>
            <w:vAlign w:val="bottom"/>
            <w:vMerge w:val="restart"/>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80" w:type="dxa"/>
            <w:vAlign w:val="bottom"/>
          </w:tcPr>
          <w:p>
            <w:pPr>
              <w:ind w:left="180"/>
              <w:spacing w:after="0" w:line="224" w:lineRule="exact"/>
              <w:rPr>
                <w:sz w:val="20"/>
                <w:szCs w:val="20"/>
                <w:color w:val="auto"/>
              </w:rPr>
            </w:pPr>
            <w:r>
              <w:rPr>
                <w:rFonts w:ascii="Arial" w:cs="Arial" w:eastAsia="Arial" w:hAnsi="Arial"/>
                <w:sz w:val="20"/>
                <w:szCs w:val="20"/>
                <w:color w:val="auto"/>
              </w:rPr>
              <w:t>interests</w:t>
            </w:r>
          </w:p>
        </w:tc>
        <w:tc>
          <w:tcPr>
            <w:tcW w:w="2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280" w:type="dxa"/>
            <w:vAlign w:val="bottom"/>
            <w:shd w:val="clear" w:color="auto" w:fill="CFF0FC"/>
          </w:tcPr>
          <w:p>
            <w:pPr>
              <w:spacing w:after="0" w:line="196" w:lineRule="exact"/>
              <w:rPr>
                <w:sz w:val="20"/>
                <w:szCs w:val="20"/>
                <w:color w:val="auto"/>
              </w:rPr>
            </w:pPr>
            <w:r>
              <w:rPr>
                <w:rFonts w:ascii="Arial" w:cs="Arial" w:eastAsia="Arial" w:hAnsi="Arial"/>
                <w:sz w:val="20"/>
                <w:szCs w:val="20"/>
                <w:color w:val="auto"/>
              </w:rPr>
              <w:t>Net Earnings Attributable to Martin Marietta</w:t>
            </w:r>
          </w:p>
        </w:tc>
        <w:tc>
          <w:tcPr>
            <w:tcW w:w="3260" w:type="dxa"/>
            <w:vAlign w:val="bottom"/>
            <w:gridSpan w:val="2"/>
            <w:shd w:val="clear" w:color="auto" w:fill="CFF0FC"/>
          </w:tcPr>
          <w:p>
            <w:pPr>
              <w:jc w:val="right"/>
              <w:ind w:right="941"/>
              <w:spacing w:after="0" w:line="196" w:lineRule="exact"/>
              <w:rPr>
                <w:sz w:val="20"/>
                <w:szCs w:val="20"/>
                <w:color w:val="auto"/>
              </w:rPr>
            </w:pPr>
            <w:r>
              <w:rPr>
                <w:rFonts w:ascii="Arial" w:cs="Arial" w:eastAsia="Arial" w:hAnsi="Arial"/>
                <w:sz w:val="20"/>
                <w:szCs w:val="20"/>
                <w:color w:val="auto"/>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1,513</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941"/>
              <w:spacing w:after="0" w:line="196" w:lineRule="exact"/>
              <w:rPr>
                <w:sz w:val="20"/>
                <w:szCs w:val="20"/>
                <w:color w:val="auto"/>
              </w:rPr>
            </w:pPr>
            <w:r>
              <w:rPr>
                <w:rFonts w:ascii="Arial" w:cs="Arial" w:eastAsia="Arial" w:hAnsi="Arial"/>
                <w:sz w:val="20"/>
                <w:szCs w:val="20"/>
                <w:color w:val="auto"/>
                <w:w w:val="89"/>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116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80" w:type="dxa"/>
            <w:vAlign w:val="bottom"/>
            <w:tcBorders>
              <w:top w:val="single" w:sz="8" w:color="CFF0FC"/>
            </w:tcBorders>
          </w:tcPr>
          <w:p>
            <w:pPr>
              <w:spacing w:after="0"/>
              <w:rPr>
                <w:sz w:val="17"/>
                <w:szCs w:val="17"/>
                <w:color w:val="auto"/>
              </w:rPr>
            </w:pPr>
          </w:p>
        </w:tc>
        <w:tc>
          <w:tcPr>
            <w:tcW w:w="2120" w:type="dxa"/>
            <w:vAlign w:val="bottom"/>
            <w:tcBorders>
              <w:top w:val="single" w:sz="8" w:color="CFF0FC"/>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Net Earnings Attributable to Martin Marietta</w:t>
            </w:r>
          </w:p>
        </w:tc>
        <w:tc>
          <w:tcPr>
            <w:tcW w:w="2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80"/>
              <w:spacing w:after="0" w:line="216" w:lineRule="exact"/>
              <w:rPr>
                <w:sz w:val="20"/>
                <w:szCs w:val="20"/>
                <w:color w:val="auto"/>
              </w:rPr>
            </w:pPr>
            <w:r>
              <w:rPr>
                <w:rFonts w:ascii="Arial" w:cs="Arial" w:eastAsia="Arial" w:hAnsi="Arial"/>
                <w:sz w:val="20"/>
                <w:szCs w:val="20"/>
                <w:color w:val="auto"/>
              </w:rPr>
              <w:t>Per Common Share:</w:t>
            </w:r>
          </w:p>
        </w:tc>
        <w:tc>
          <w:tcPr>
            <w:tcW w:w="2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80" w:type="dxa"/>
            <w:vAlign w:val="bottom"/>
            <w:shd w:val="clear" w:color="auto" w:fill="CFF0FC"/>
          </w:tcPr>
          <w:p>
            <w:pPr>
              <w:ind w:left="200"/>
              <w:spacing w:after="0" w:line="194" w:lineRule="exact"/>
              <w:rPr>
                <w:sz w:val="20"/>
                <w:szCs w:val="20"/>
                <w:color w:val="auto"/>
              </w:rPr>
            </w:pPr>
            <w:r>
              <w:rPr>
                <w:rFonts w:ascii="Arial" w:cs="Arial" w:eastAsia="Arial" w:hAnsi="Arial"/>
                <w:sz w:val="20"/>
                <w:szCs w:val="20"/>
                <w:color w:val="auto"/>
              </w:rPr>
              <w:t>Basic from continuing operations attributable to</w:t>
            </w:r>
          </w:p>
        </w:tc>
        <w:tc>
          <w:tcPr>
            <w:tcW w:w="2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80" w:type="dxa"/>
            <w:vAlign w:val="bottom"/>
            <w:shd w:val="clear" w:color="auto" w:fill="CFF0FC"/>
          </w:tcPr>
          <w:p>
            <w:pPr>
              <w:ind w:left="320"/>
              <w:spacing w:after="0"/>
              <w:rPr>
                <w:sz w:val="20"/>
                <w:szCs w:val="20"/>
                <w:color w:val="auto"/>
              </w:rPr>
            </w:pPr>
            <w:r>
              <w:rPr>
                <w:rFonts w:ascii="Arial" w:cs="Arial" w:eastAsia="Arial" w:hAnsi="Arial"/>
                <w:sz w:val="20"/>
                <w:szCs w:val="20"/>
                <w:color w:val="auto"/>
              </w:rPr>
              <w:t>common shareholders</w:t>
            </w:r>
          </w:p>
        </w:tc>
        <w:tc>
          <w:tcPr>
            <w:tcW w:w="3260" w:type="dxa"/>
            <w:vAlign w:val="bottom"/>
            <w:gridSpan w:val="2"/>
            <w:shd w:val="clear" w:color="auto" w:fill="CFF0FC"/>
          </w:tcPr>
          <w:p>
            <w:pPr>
              <w:jc w:val="right"/>
              <w:ind w:right="941"/>
              <w:spacing w:after="0"/>
              <w:rPr>
                <w:sz w:val="20"/>
                <w:szCs w:val="20"/>
                <w:color w:val="auto"/>
              </w:rPr>
            </w:pPr>
            <w:r>
              <w:rPr>
                <w:rFonts w:ascii="Arial" w:cs="Arial" w:eastAsia="Arial" w:hAnsi="Arial"/>
                <w:sz w:val="20"/>
                <w:szCs w:val="20"/>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1.32</w:t>
            </w: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41"/>
              <w:spacing w:after="0"/>
              <w:rPr>
                <w:sz w:val="20"/>
                <w:szCs w:val="20"/>
                <w:color w:val="auto"/>
              </w:rPr>
            </w:pPr>
            <w:r>
              <w:rPr>
                <w:rFonts w:ascii="Arial" w:cs="Arial" w:eastAsia="Arial" w:hAnsi="Arial"/>
                <w:sz w:val="20"/>
                <w:szCs w:val="20"/>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280" w:type="dxa"/>
            <w:vAlign w:val="bottom"/>
          </w:tcPr>
          <w:p>
            <w:pPr>
              <w:ind w:left="200"/>
              <w:spacing w:after="0" w:line="194" w:lineRule="exact"/>
              <w:rPr>
                <w:sz w:val="20"/>
                <w:szCs w:val="20"/>
                <w:color w:val="auto"/>
              </w:rPr>
            </w:pPr>
            <w:r>
              <w:rPr>
                <w:rFonts w:ascii="Arial" w:cs="Arial" w:eastAsia="Arial" w:hAnsi="Arial"/>
                <w:sz w:val="20"/>
                <w:szCs w:val="20"/>
                <w:color w:val="auto"/>
              </w:rPr>
              <w:t>Basic from discontinued operations attributable to</w:t>
            </w:r>
          </w:p>
        </w:tc>
        <w:tc>
          <w:tcPr>
            <w:tcW w:w="2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20"/>
                <w:szCs w:val="20"/>
                <w:color w:val="auto"/>
              </w:rPr>
              <w:t>23.79</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20"/>
                <w:szCs w:val="20"/>
                <w:color w:val="auto"/>
              </w:rPr>
              <w:t>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80" w:type="dxa"/>
            <w:vAlign w:val="bottom"/>
          </w:tcPr>
          <w:p>
            <w:pPr>
              <w:ind w:left="320"/>
              <w:spacing w:after="0" w:line="224" w:lineRule="exact"/>
              <w:rPr>
                <w:sz w:val="20"/>
                <w:szCs w:val="20"/>
                <w:color w:val="auto"/>
              </w:rPr>
            </w:pPr>
            <w:r>
              <w:rPr>
                <w:rFonts w:ascii="Arial" w:cs="Arial" w:eastAsia="Arial" w:hAnsi="Arial"/>
                <w:sz w:val="20"/>
                <w:szCs w:val="20"/>
                <w:color w:val="auto"/>
              </w:rPr>
              <w:t>common shareholders</w:t>
            </w:r>
          </w:p>
        </w:tc>
        <w:tc>
          <w:tcPr>
            <w:tcW w:w="2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280" w:type="dxa"/>
            <w:vAlign w:val="bottom"/>
            <w:shd w:val="clear" w:color="auto" w:fill="CFF0FC"/>
          </w:tcPr>
          <w:p>
            <w:pPr>
              <w:ind w:left="280"/>
              <w:spacing w:after="0" w:line="196" w:lineRule="exact"/>
              <w:rPr>
                <w:sz w:val="20"/>
                <w:szCs w:val="20"/>
                <w:color w:val="auto"/>
              </w:rPr>
            </w:pPr>
            <w:r>
              <w:rPr>
                <w:rFonts w:ascii="Arial" w:cs="Arial" w:eastAsia="Arial" w:hAnsi="Arial"/>
                <w:sz w:val="20"/>
                <w:szCs w:val="20"/>
                <w:color w:val="auto"/>
              </w:rPr>
              <w:t>Total basic attributable to common shareholders</w:t>
            </w:r>
          </w:p>
        </w:tc>
        <w:tc>
          <w:tcPr>
            <w:tcW w:w="3260" w:type="dxa"/>
            <w:vAlign w:val="bottom"/>
            <w:gridSpan w:val="2"/>
            <w:shd w:val="clear" w:color="auto" w:fill="CFF0FC"/>
          </w:tcPr>
          <w:p>
            <w:pPr>
              <w:jc w:val="right"/>
              <w:ind w:right="941"/>
              <w:spacing w:after="0" w:line="196" w:lineRule="exact"/>
              <w:rPr>
                <w:sz w:val="20"/>
                <w:szCs w:val="20"/>
                <w:color w:val="auto"/>
              </w:rPr>
            </w:pPr>
            <w:r>
              <w:rPr>
                <w:rFonts w:ascii="Arial" w:cs="Arial" w:eastAsia="Arial" w:hAnsi="Arial"/>
                <w:sz w:val="20"/>
                <w:szCs w:val="20"/>
                <w:color w:val="auto"/>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25.11</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941"/>
              <w:spacing w:after="0" w:line="196" w:lineRule="exact"/>
              <w:rPr>
                <w:sz w:val="20"/>
                <w:szCs w:val="20"/>
                <w:color w:val="auto"/>
              </w:rPr>
            </w:pPr>
            <w:r>
              <w:rPr>
                <w:rFonts w:ascii="Arial" w:cs="Arial" w:eastAsia="Arial" w:hAnsi="Arial"/>
                <w:sz w:val="20"/>
                <w:szCs w:val="20"/>
                <w:color w:val="auto"/>
                <w:w w:val="89"/>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1.91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80" w:type="dxa"/>
            <w:vAlign w:val="bottom"/>
            <w:tcBorders>
              <w:top w:val="single" w:sz="8" w:color="CFF0FC"/>
            </w:tcBorders>
          </w:tcPr>
          <w:p>
            <w:pPr>
              <w:spacing w:after="0"/>
              <w:rPr>
                <w:sz w:val="17"/>
                <w:szCs w:val="17"/>
                <w:color w:val="auto"/>
              </w:rPr>
            </w:pPr>
          </w:p>
        </w:tc>
        <w:tc>
          <w:tcPr>
            <w:tcW w:w="2120" w:type="dxa"/>
            <w:vAlign w:val="bottom"/>
            <w:tcBorders>
              <w:top w:val="single" w:sz="8" w:color="CFF0FC"/>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280" w:type="dxa"/>
            <w:vAlign w:val="bottom"/>
            <w:shd w:val="clear" w:color="auto" w:fill="CFF0FC"/>
          </w:tcPr>
          <w:p>
            <w:pPr>
              <w:ind w:left="200"/>
              <w:spacing w:after="0" w:line="194" w:lineRule="exact"/>
              <w:rPr>
                <w:sz w:val="20"/>
                <w:szCs w:val="20"/>
                <w:color w:val="auto"/>
              </w:rPr>
            </w:pPr>
            <w:r>
              <w:rPr>
                <w:rFonts w:ascii="Arial" w:cs="Arial" w:eastAsia="Arial" w:hAnsi="Arial"/>
                <w:sz w:val="20"/>
                <w:szCs w:val="20"/>
                <w:color w:val="auto"/>
              </w:rPr>
              <w:t>Diluted from continuing operations attributable to</w:t>
            </w:r>
          </w:p>
        </w:tc>
        <w:tc>
          <w:tcPr>
            <w:tcW w:w="2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80" w:type="dxa"/>
            <w:vAlign w:val="bottom"/>
            <w:shd w:val="clear" w:color="auto" w:fill="CFF0FC"/>
          </w:tcPr>
          <w:p>
            <w:pPr>
              <w:ind w:left="320"/>
              <w:spacing w:after="0"/>
              <w:rPr>
                <w:sz w:val="20"/>
                <w:szCs w:val="20"/>
                <w:color w:val="auto"/>
              </w:rPr>
            </w:pPr>
            <w:r>
              <w:rPr>
                <w:rFonts w:ascii="Arial" w:cs="Arial" w:eastAsia="Arial" w:hAnsi="Arial"/>
                <w:sz w:val="20"/>
                <w:szCs w:val="20"/>
                <w:color w:val="auto"/>
              </w:rPr>
              <w:t>common shareholders</w:t>
            </w:r>
          </w:p>
        </w:tc>
        <w:tc>
          <w:tcPr>
            <w:tcW w:w="3260" w:type="dxa"/>
            <w:vAlign w:val="bottom"/>
            <w:gridSpan w:val="2"/>
            <w:shd w:val="clear" w:color="auto" w:fill="CFF0FC"/>
          </w:tcPr>
          <w:p>
            <w:pPr>
              <w:jc w:val="right"/>
              <w:ind w:right="941"/>
              <w:spacing w:after="0"/>
              <w:rPr>
                <w:sz w:val="20"/>
                <w:szCs w:val="20"/>
                <w:color w:val="auto"/>
              </w:rPr>
            </w:pPr>
            <w:r>
              <w:rPr>
                <w:rFonts w:ascii="Arial" w:cs="Arial" w:eastAsia="Arial" w:hAnsi="Arial"/>
                <w:sz w:val="20"/>
                <w:szCs w:val="20"/>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1.31</w:t>
            </w: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41"/>
              <w:spacing w:after="0"/>
              <w:rPr>
                <w:sz w:val="20"/>
                <w:szCs w:val="20"/>
                <w:color w:val="auto"/>
              </w:rPr>
            </w:pPr>
            <w:r>
              <w:rPr>
                <w:rFonts w:ascii="Arial" w:cs="Arial" w:eastAsia="Arial" w:hAnsi="Arial"/>
                <w:sz w:val="20"/>
                <w:szCs w:val="20"/>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280" w:type="dxa"/>
            <w:vAlign w:val="bottom"/>
          </w:tcPr>
          <w:p>
            <w:pPr>
              <w:ind w:left="200"/>
              <w:spacing w:after="0" w:line="194" w:lineRule="exact"/>
              <w:rPr>
                <w:sz w:val="20"/>
                <w:szCs w:val="20"/>
                <w:color w:val="auto"/>
              </w:rPr>
            </w:pPr>
            <w:r>
              <w:rPr>
                <w:rFonts w:ascii="Arial" w:cs="Arial" w:eastAsia="Arial" w:hAnsi="Arial"/>
                <w:sz w:val="20"/>
                <w:szCs w:val="20"/>
                <w:color w:val="auto"/>
              </w:rPr>
              <w:t>Diluted from discontinued operations attributable to</w:t>
            </w:r>
          </w:p>
        </w:tc>
        <w:tc>
          <w:tcPr>
            <w:tcW w:w="2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20"/>
                <w:szCs w:val="20"/>
                <w:color w:val="auto"/>
              </w:rPr>
              <w:t>23.75</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20"/>
                <w:szCs w:val="20"/>
                <w:color w:val="auto"/>
              </w:rPr>
              <w:t>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80" w:type="dxa"/>
            <w:vAlign w:val="bottom"/>
          </w:tcPr>
          <w:p>
            <w:pPr>
              <w:ind w:left="320"/>
              <w:spacing w:after="0" w:line="224" w:lineRule="exact"/>
              <w:rPr>
                <w:sz w:val="20"/>
                <w:szCs w:val="20"/>
                <w:color w:val="auto"/>
              </w:rPr>
            </w:pPr>
            <w:r>
              <w:rPr>
                <w:rFonts w:ascii="Arial" w:cs="Arial" w:eastAsia="Arial" w:hAnsi="Arial"/>
                <w:sz w:val="20"/>
                <w:szCs w:val="20"/>
                <w:color w:val="auto"/>
              </w:rPr>
              <w:t>common shareholders</w:t>
            </w:r>
          </w:p>
        </w:tc>
        <w:tc>
          <w:tcPr>
            <w:tcW w:w="2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280" w:type="dxa"/>
            <w:vAlign w:val="bottom"/>
            <w:shd w:val="clear" w:color="auto" w:fill="CFF0FC"/>
          </w:tcPr>
          <w:p>
            <w:pPr>
              <w:ind w:left="280"/>
              <w:spacing w:after="0" w:line="196" w:lineRule="exact"/>
              <w:rPr>
                <w:sz w:val="20"/>
                <w:szCs w:val="20"/>
                <w:color w:val="auto"/>
              </w:rPr>
            </w:pPr>
            <w:r>
              <w:rPr>
                <w:rFonts w:ascii="Arial" w:cs="Arial" w:eastAsia="Arial" w:hAnsi="Arial"/>
                <w:sz w:val="20"/>
                <w:szCs w:val="20"/>
                <w:color w:val="auto"/>
              </w:rPr>
              <w:t>Total diluted attributable to common shareholders</w:t>
            </w:r>
          </w:p>
        </w:tc>
        <w:tc>
          <w:tcPr>
            <w:tcW w:w="3260" w:type="dxa"/>
            <w:vAlign w:val="bottom"/>
            <w:gridSpan w:val="2"/>
            <w:shd w:val="clear" w:color="auto" w:fill="CFF0FC"/>
          </w:tcPr>
          <w:p>
            <w:pPr>
              <w:jc w:val="right"/>
              <w:ind w:right="941"/>
              <w:spacing w:after="0" w:line="196" w:lineRule="exact"/>
              <w:rPr>
                <w:sz w:val="20"/>
                <w:szCs w:val="20"/>
                <w:color w:val="auto"/>
              </w:rPr>
            </w:pPr>
            <w:r>
              <w:rPr>
                <w:rFonts w:ascii="Arial" w:cs="Arial" w:eastAsia="Arial" w:hAnsi="Arial"/>
                <w:sz w:val="20"/>
                <w:szCs w:val="20"/>
                <w:color w:val="auto"/>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25.06</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941"/>
              <w:spacing w:after="0" w:line="196" w:lineRule="exact"/>
              <w:rPr>
                <w:sz w:val="20"/>
                <w:szCs w:val="20"/>
                <w:color w:val="auto"/>
              </w:rPr>
            </w:pPr>
            <w:r>
              <w:rPr>
                <w:rFonts w:ascii="Arial" w:cs="Arial" w:eastAsia="Arial" w:hAnsi="Arial"/>
                <w:sz w:val="20"/>
                <w:szCs w:val="20"/>
                <w:color w:val="auto"/>
                <w:w w:val="89"/>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1.90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80" w:type="dxa"/>
            <w:vAlign w:val="bottom"/>
            <w:tcBorders>
              <w:top w:val="single" w:sz="8" w:color="CFF0FC"/>
            </w:tcBorders>
          </w:tcPr>
          <w:p>
            <w:pPr>
              <w:spacing w:after="0"/>
              <w:rPr>
                <w:sz w:val="17"/>
                <w:szCs w:val="17"/>
                <w:color w:val="auto"/>
              </w:rPr>
            </w:pPr>
          </w:p>
        </w:tc>
        <w:tc>
          <w:tcPr>
            <w:tcW w:w="2120" w:type="dxa"/>
            <w:vAlign w:val="bottom"/>
            <w:tcBorders>
              <w:top w:val="single" w:sz="8" w:color="CFF0FC"/>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Weighted-Average Common Shares Outstanding:</w:t>
            </w:r>
          </w:p>
        </w:tc>
        <w:tc>
          <w:tcPr>
            <w:tcW w:w="2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40"/>
              <w:spacing w:after="0" w:line="196" w:lineRule="exact"/>
              <w:rPr>
                <w:sz w:val="20"/>
                <w:szCs w:val="20"/>
                <w:color w:val="auto"/>
              </w:rPr>
            </w:pPr>
            <w:r>
              <w:rPr>
                <w:rFonts w:ascii="Arial" w:cs="Arial" w:eastAsia="Arial" w:hAnsi="Arial"/>
                <w:sz w:val="20"/>
                <w:szCs w:val="20"/>
                <w:color w:val="auto"/>
              </w:rPr>
              <w:t>Basic</w:t>
            </w:r>
          </w:p>
        </w:tc>
        <w:tc>
          <w:tcPr>
            <w:tcW w:w="2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60.3</w:t>
            </w:r>
          </w:p>
        </w:tc>
        <w:tc>
          <w:tcPr>
            <w:tcW w:w="2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8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20"/>
                <w:szCs w:val="20"/>
                <w:color w:val="auto"/>
              </w:rPr>
              <w:t>Diluted</w:t>
            </w:r>
          </w:p>
        </w:tc>
        <w:tc>
          <w:tcPr>
            <w:tcW w:w="21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20"/>
                <w:szCs w:val="20"/>
                <w:color w:val="auto"/>
              </w:rPr>
              <w:t>60.4</w:t>
            </w:r>
          </w:p>
        </w:tc>
        <w:tc>
          <w:tcPr>
            <w:tcW w:w="2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20"/>
                <w:szCs w:val="20"/>
                <w:color w:val="auto"/>
              </w:rPr>
              <w:t>61.0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5280" w:type="dxa"/>
            <w:vAlign w:val="bottom"/>
          </w:tcPr>
          <w:p>
            <w:pPr>
              <w:spacing w:after="0"/>
              <w:rPr>
                <w:sz w:val="24"/>
                <w:szCs w:val="24"/>
                <w:color w:val="auto"/>
              </w:rPr>
            </w:pPr>
          </w:p>
        </w:tc>
        <w:tc>
          <w:tcPr>
            <w:tcW w:w="2120" w:type="dxa"/>
            <w:vAlign w:val="bottom"/>
          </w:tcPr>
          <w:p>
            <w:pPr>
              <w:jc w:val="right"/>
              <w:ind w:right="1621"/>
              <w:spacing w:after="0"/>
              <w:rPr>
                <w:sz w:val="20"/>
                <w:szCs w:val="20"/>
                <w:color w:val="auto"/>
              </w:rPr>
            </w:pPr>
            <w:r>
              <w:rPr>
                <w:rFonts w:ascii="Arial" w:cs="Arial" w:eastAsia="Arial" w:hAnsi="Arial"/>
                <w:sz w:val="20"/>
                <w:szCs w:val="20"/>
                <w:color w:val="auto"/>
              </w:rPr>
              <w:t>9</w:t>
            </w: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9"/>
        </w:trPr>
        <w:tc>
          <w:tcPr>
            <w:tcW w:w="52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-3368040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-3350895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-2245360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-2228215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-1396365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-1379220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-796290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-779145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Appendix</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MARTIN MARIETTA MATERIALS, INC.</w:t>
      </w:r>
    </w:p>
    <w:p>
      <w:pPr>
        <w:jc w:val="center"/>
        <w:ind w:right="120"/>
        <w:spacing w:after="0" w:line="231" w:lineRule="auto"/>
        <w:rPr>
          <w:sz w:val="20"/>
          <w:szCs w:val="20"/>
          <w:color w:val="auto"/>
        </w:rPr>
      </w:pPr>
      <w:r>
        <w:rPr>
          <w:rFonts w:ascii="Arial" w:cs="Arial" w:eastAsia="Arial" w:hAnsi="Arial"/>
          <w:sz w:val="20"/>
          <w:szCs w:val="20"/>
          <w:b w:val="1"/>
          <w:bCs w:val="1"/>
          <w:color w:val="auto"/>
        </w:rPr>
        <w:t>Unaudited Reportable Segment* Financial Highlights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20"/>
          <w:szCs w:val="20"/>
          <w:i w:val="1"/>
          <w:iCs w:val="1"/>
          <w:color w:val="auto"/>
        </w:rPr>
        <w:t>(Continuing Operations Only)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40" w:type="dxa"/>
            <w:vAlign w:val="bottom"/>
            <w:gridSpan w:val="3"/>
          </w:tcPr>
          <w:p>
            <w:pPr>
              <w:jc w:val="center"/>
              <w:spacing w:after="0"/>
              <w:rPr>
                <w:sz w:val="20"/>
                <w:szCs w:val="20"/>
                <w:color w:val="auto"/>
              </w:rPr>
            </w:pPr>
            <w:r>
              <w:rPr>
                <w:rFonts w:ascii="Arial" w:cs="Arial" w:eastAsia="Arial" w:hAnsi="Arial"/>
                <w:sz w:val="20"/>
                <w:szCs w:val="20"/>
                <w:color w:val="auto"/>
                <w:w w:val="98"/>
              </w:rPr>
              <w:t>Three Months Ended</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56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98"/>
              </w:rPr>
              <w:t>March 31,</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rPr>
                <w:sz w:val="18"/>
                <w:szCs w:val="18"/>
                <w:color w:val="auto"/>
              </w:rPr>
            </w:pPr>
          </w:p>
        </w:tc>
        <w:tc>
          <w:tcPr>
            <w:tcW w:w="13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2026</w:t>
            </w:r>
          </w:p>
        </w:tc>
        <w:tc>
          <w:tcPr>
            <w:tcW w:w="800" w:type="dxa"/>
            <w:vAlign w:val="bottom"/>
            <w:tcBorders>
              <w:bottom w:val="single" w:sz="8" w:color="auto"/>
            </w:tcBorders>
          </w:tcPr>
          <w:p>
            <w:pPr>
              <w:spacing w:after="0"/>
              <w:rPr>
                <w:sz w:val="18"/>
                <w:szCs w:val="18"/>
                <w:color w:val="auto"/>
              </w:rPr>
            </w:pPr>
          </w:p>
        </w:tc>
        <w:tc>
          <w:tcPr>
            <w:tcW w:w="340" w:type="dxa"/>
            <w:vAlign w:val="bottom"/>
            <w:vMerge w:val="restart"/>
          </w:tcPr>
          <w:p>
            <w:pPr>
              <w:jc w:val="center"/>
              <w:spacing w:after="0"/>
              <w:rPr>
                <w:sz w:val="20"/>
                <w:szCs w:val="20"/>
                <w:color w:val="auto"/>
              </w:rPr>
            </w:pPr>
            <w:r>
              <w:rPr>
                <w:rFonts w:ascii="Arial" w:cs="Arial" w:eastAsia="Arial" w:hAnsi="Arial"/>
                <w:sz w:val="20"/>
                <w:szCs w:val="20"/>
                <w:i w:val="1"/>
                <w:iCs w:val="1"/>
                <w:color w:val="auto"/>
              </w:rPr>
              <w:t>in</w:t>
            </w:r>
          </w:p>
        </w:tc>
        <w:tc>
          <w:tcPr>
            <w:tcW w:w="8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41"/>
              <w:spacing w:after="0" w:line="209" w:lineRule="exact"/>
              <w:rPr>
                <w:sz w:val="20"/>
                <w:szCs w:val="20"/>
                <w:color w:val="auto"/>
              </w:rPr>
            </w:pPr>
            <w:r>
              <w:rPr>
                <w:rFonts w:ascii="Arial" w:cs="Arial" w:eastAsia="Arial" w:hAnsi="Arial"/>
                <w:sz w:val="20"/>
                <w:szCs w:val="20"/>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560" w:type="dxa"/>
            <w:vAlign w:val="bottom"/>
            <w:vMerge w:val="restart"/>
          </w:tcPr>
          <w:p>
            <w:pPr>
              <w:spacing w:after="0"/>
              <w:rPr>
                <w:sz w:val="20"/>
                <w:szCs w:val="20"/>
                <w:color w:val="auto"/>
              </w:rPr>
            </w:pPr>
            <w:r>
              <w:rPr>
                <w:rFonts w:ascii="Arial" w:cs="Arial" w:eastAsia="Arial" w:hAnsi="Arial"/>
                <w:sz w:val="20"/>
                <w:szCs w:val="20"/>
                <w:b w:val="1"/>
                <w:bCs w:val="1"/>
                <w:color w:val="auto"/>
              </w:rPr>
              <w:t>Revenues:</w:t>
            </w:r>
          </w:p>
        </w:tc>
        <w:tc>
          <w:tcPr>
            <w:tcW w:w="1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i w:val="1"/>
                <w:iCs w:val="1"/>
                <w:color w:val="auto"/>
              </w:rPr>
              <w:t>(Dollars</w:t>
            </w:r>
          </w:p>
        </w:tc>
        <w:tc>
          <w:tcPr>
            <w:tcW w:w="340" w:type="dxa"/>
            <w:vAlign w:val="bottom"/>
            <w:vMerge w:val="continue"/>
          </w:tcPr>
          <w:p>
            <w:pPr>
              <w:spacing w:after="0"/>
              <w:rPr>
                <w:sz w:val="22"/>
                <w:szCs w:val="22"/>
                <w:color w:val="auto"/>
              </w:rPr>
            </w:pPr>
          </w:p>
        </w:tc>
        <w:tc>
          <w:tcPr>
            <w:tcW w:w="800" w:type="dxa"/>
            <w:vAlign w:val="bottom"/>
          </w:tcPr>
          <w:p>
            <w:pPr>
              <w:spacing w:after="0"/>
              <w:rPr>
                <w:sz w:val="20"/>
                <w:szCs w:val="20"/>
                <w:color w:val="auto"/>
              </w:rPr>
            </w:pPr>
            <w:r>
              <w:rPr>
                <w:rFonts w:ascii="Arial" w:cs="Arial" w:eastAsia="Arial" w:hAnsi="Arial"/>
                <w:sz w:val="20"/>
                <w:szCs w:val="20"/>
                <w:i w:val="1"/>
                <w:iCs w:val="1"/>
                <w:color w:val="auto"/>
              </w:rPr>
              <w:t>Millions)</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65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60"/>
              <w:spacing w:after="0" w:line="216" w:lineRule="exact"/>
              <w:rPr>
                <w:sz w:val="20"/>
                <w:szCs w:val="20"/>
                <w:color w:val="auto"/>
              </w:rPr>
            </w:pPr>
            <w:r>
              <w:rPr>
                <w:rFonts w:ascii="Arial" w:cs="Arial" w:eastAsia="Arial" w:hAnsi="Arial"/>
                <w:sz w:val="20"/>
                <w:szCs w:val="20"/>
                <w:color w:val="auto"/>
              </w:rPr>
              <w:t>East Group</w:t>
            </w:r>
          </w:p>
        </w:tc>
        <w:tc>
          <w:tcPr>
            <w:tcW w:w="1320" w:type="dxa"/>
            <w:vAlign w:val="bottom"/>
            <w:shd w:val="clear" w:color="auto" w:fill="CFF0FC"/>
          </w:tcPr>
          <w:p>
            <w:pPr>
              <w:jc w:val="right"/>
              <w:ind w:right="1101"/>
              <w:spacing w:after="0" w:line="216" w:lineRule="exact"/>
              <w:rPr>
                <w:sz w:val="20"/>
                <w:szCs w:val="20"/>
                <w:color w:val="auto"/>
              </w:rPr>
            </w:pPr>
            <w:r>
              <w:rPr>
                <w:rFonts w:ascii="Arial" w:cs="Arial" w:eastAsia="Arial" w:hAnsi="Arial"/>
                <w:sz w:val="20"/>
                <w:szCs w:val="20"/>
                <w:color w:val="auto"/>
                <w:w w:val="89"/>
              </w:rPr>
              <w:t>$</w:t>
            </w:r>
          </w:p>
        </w:tc>
        <w:tc>
          <w:tcPr>
            <w:tcW w:w="8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835</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w:t>
            </w:r>
          </w:p>
        </w:tc>
        <w:tc>
          <w:tcPr>
            <w:tcW w:w="13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758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60"/>
              <w:spacing w:after="0" w:line="216" w:lineRule="exact"/>
              <w:rPr>
                <w:sz w:val="20"/>
                <w:szCs w:val="20"/>
                <w:color w:val="auto"/>
              </w:rPr>
            </w:pPr>
            <w:r>
              <w:rPr>
                <w:rFonts w:ascii="Arial" w:cs="Arial" w:eastAsia="Arial" w:hAnsi="Arial"/>
                <w:sz w:val="20"/>
                <w:szCs w:val="20"/>
                <w:color w:val="auto"/>
              </w:rPr>
              <w:t>West Group</w:t>
            </w:r>
          </w:p>
        </w:tc>
        <w:tc>
          <w:tcPr>
            <w:tcW w:w="1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384</w:t>
            </w:r>
          </w:p>
        </w:tc>
        <w:tc>
          <w:tcPr>
            <w:tcW w:w="3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Total Building Materials business</w:t>
            </w:r>
          </w:p>
        </w:tc>
        <w:tc>
          <w:tcPr>
            <w:tcW w:w="1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1,219</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1,075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line="216" w:lineRule="exact"/>
              <w:rPr>
                <w:sz w:val="20"/>
                <w:szCs w:val="20"/>
                <w:color w:val="auto"/>
              </w:rPr>
            </w:pPr>
            <w:r>
              <w:rPr>
                <w:rFonts w:ascii="Arial" w:cs="Arial" w:eastAsia="Arial" w:hAnsi="Arial"/>
                <w:sz w:val="20"/>
                <w:szCs w:val="20"/>
                <w:color w:val="auto"/>
              </w:rPr>
              <w:t>Specialties</w:t>
            </w:r>
          </w:p>
        </w:tc>
        <w:tc>
          <w:tcPr>
            <w:tcW w:w="1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143</w:t>
            </w:r>
          </w:p>
        </w:tc>
        <w:tc>
          <w:tcPr>
            <w:tcW w:w="3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20"/>
                <w:szCs w:val="20"/>
                <w:color w:val="auto"/>
              </w:rPr>
              <w:t>Total</w:t>
            </w:r>
          </w:p>
        </w:tc>
        <w:tc>
          <w:tcPr>
            <w:tcW w:w="1320" w:type="dxa"/>
            <w:vAlign w:val="bottom"/>
            <w:tcBorders>
              <w:bottom w:val="single" w:sz="8" w:color="auto"/>
            </w:tcBorders>
            <w:shd w:val="clear" w:color="auto" w:fill="CFF0FC"/>
          </w:tcPr>
          <w:p>
            <w:pPr>
              <w:jc w:val="right"/>
              <w:ind w:right="1101"/>
              <w:spacing w:after="0" w:line="196" w:lineRule="exact"/>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20"/>
                <w:szCs w:val="20"/>
                <w:color w:val="auto"/>
              </w:rPr>
              <w:t>1,362</w:t>
            </w:r>
          </w:p>
        </w:tc>
        <w:tc>
          <w:tcPr>
            <w:tcW w:w="3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20"/>
                <w:szCs w:val="20"/>
                <w:color w:val="auto"/>
              </w:rPr>
              <w:t>1,162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Earnings (Loss) from operations:</w:t>
            </w:r>
          </w:p>
        </w:tc>
        <w:tc>
          <w:tcPr>
            <w:tcW w:w="1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60"/>
              <w:spacing w:after="0" w:line="216" w:lineRule="exact"/>
              <w:rPr>
                <w:sz w:val="20"/>
                <w:szCs w:val="20"/>
                <w:color w:val="auto"/>
              </w:rPr>
            </w:pPr>
            <w:r>
              <w:rPr>
                <w:rFonts w:ascii="Arial" w:cs="Arial" w:eastAsia="Arial" w:hAnsi="Arial"/>
                <w:sz w:val="20"/>
                <w:szCs w:val="20"/>
                <w:color w:val="auto"/>
              </w:rPr>
              <w:t>East Group</w:t>
            </w:r>
          </w:p>
        </w:tc>
        <w:tc>
          <w:tcPr>
            <w:tcW w:w="1320" w:type="dxa"/>
            <w:vAlign w:val="bottom"/>
          </w:tcPr>
          <w:p>
            <w:pPr>
              <w:jc w:val="right"/>
              <w:ind w:right="1101"/>
              <w:spacing w:after="0" w:line="216" w:lineRule="exact"/>
              <w:rPr>
                <w:sz w:val="20"/>
                <w:szCs w:val="20"/>
                <w:color w:val="auto"/>
              </w:rPr>
            </w:pPr>
            <w:r>
              <w:rPr>
                <w:rFonts w:ascii="Arial" w:cs="Arial" w:eastAsia="Arial" w:hAnsi="Arial"/>
                <w:sz w:val="20"/>
                <w:szCs w:val="20"/>
                <w:color w:val="auto"/>
                <w:w w:val="89"/>
              </w:rPr>
              <w:t>$</w:t>
            </w:r>
          </w:p>
        </w:tc>
        <w:tc>
          <w:tcPr>
            <w:tcW w:w="800" w:type="dxa"/>
            <w:vAlign w:val="bottom"/>
          </w:tcPr>
          <w:p>
            <w:pPr>
              <w:jc w:val="right"/>
              <w:spacing w:after="0" w:line="216" w:lineRule="exact"/>
              <w:rPr>
                <w:sz w:val="20"/>
                <w:szCs w:val="20"/>
                <w:color w:val="auto"/>
              </w:rPr>
            </w:pPr>
            <w:r>
              <w:rPr>
                <w:rFonts w:ascii="Arial" w:cs="Arial" w:eastAsia="Arial" w:hAnsi="Arial"/>
                <w:sz w:val="20"/>
                <w:szCs w:val="20"/>
                <w:color w:val="auto"/>
              </w:rPr>
              <w:t>230</w:t>
            </w:r>
          </w:p>
        </w:tc>
        <w:tc>
          <w:tcPr>
            <w:tcW w:w="340" w:type="dxa"/>
            <w:vAlign w:val="bottom"/>
          </w:tcPr>
          <w:p>
            <w:pPr>
              <w:spacing w:after="0"/>
              <w:rPr>
                <w:sz w:val="18"/>
                <w:szCs w:val="18"/>
                <w:color w:val="auto"/>
              </w:rPr>
            </w:pPr>
          </w:p>
        </w:tc>
        <w:tc>
          <w:tcPr>
            <w:tcW w:w="800" w:type="dxa"/>
            <w:vAlign w:val="bottom"/>
          </w:tcPr>
          <w:p>
            <w:pPr>
              <w:spacing w:after="0" w:line="216" w:lineRule="exact"/>
              <w:rPr>
                <w:sz w:val="20"/>
                <w:szCs w:val="20"/>
                <w:color w:val="auto"/>
              </w:rPr>
            </w:pPr>
            <w:r>
              <w:rPr>
                <w:rFonts w:ascii="Arial" w:cs="Arial" w:eastAsia="Arial" w:hAnsi="Arial"/>
                <w:sz w:val="20"/>
                <w:szCs w:val="20"/>
                <w:color w:val="auto"/>
              </w:rPr>
              <w:t>$</w:t>
            </w:r>
          </w:p>
        </w:tc>
        <w:tc>
          <w:tcPr>
            <w:tcW w:w="1320" w:type="dxa"/>
            <w:vAlign w:val="bottom"/>
          </w:tcPr>
          <w:p>
            <w:pPr>
              <w:jc w:val="right"/>
              <w:spacing w:after="0" w:line="216" w:lineRule="exact"/>
              <w:rPr>
                <w:sz w:val="20"/>
                <w:szCs w:val="20"/>
                <w:color w:val="auto"/>
              </w:rPr>
            </w:pPr>
            <w:r>
              <w:rPr>
                <w:rFonts w:ascii="Arial" w:cs="Arial" w:eastAsia="Arial" w:hAnsi="Arial"/>
                <w:sz w:val="20"/>
                <w:szCs w:val="20"/>
                <w:color w:val="auto"/>
              </w:rPr>
              <w:t>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60"/>
              <w:spacing w:after="0" w:line="216" w:lineRule="exact"/>
              <w:rPr>
                <w:sz w:val="20"/>
                <w:szCs w:val="20"/>
                <w:color w:val="auto"/>
              </w:rPr>
            </w:pPr>
            <w:r>
              <w:rPr>
                <w:rFonts w:ascii="Arial" w:cs="Arial" w:eastAsia="Arial" w:hAnsi="Arial"/>
                <w:sz w:val="20"/>
                <w:szCs w:val="20"/>
                <w:color w:val="auto"/>
              </w:rPr>
              <w:t>West Group</w:t>
            </w:r>
          </w:p>
        </w:tc>
        <w:tc>
          <w:tcPr>
            <w:tcW w:w="1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1"/>
              <w:spacing w:after="0" w:line="216" w:lineRule="exact"/>
              <w:rPr>
                <w:sz w:val="20"/>
                <w:szCs w:val="20"/>
                <w:color w:val="auto"/>
              </w:rPr>
            </w:pPr>
            <w:r>
              <w:rPr>
                <w:rFonts w:ascii="Arial" w:cs="Arial" w:eastAsia="Arial" w:hAnsi="Arial"/>
                <w:sz w:val="20"/>
                <w:szCs w:val="20"/>
                <w:color w:val="auto"/>
              </w:rPr>
              <w:t>(43)</w:t>
            </w:r>
          </w:p>
        </w:tc>
        <w:tc>
          <w:tcPr>
            <w:tcW w:w="8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line="216" w:lineRule="exact"/>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09"/>
        </w:trPr>
        <w:tc>
          <w:tcPr>
            <w:tcW w:w="6560" w:type="dxa"/>
            <w:vAlign w:val="bottom"/>
            <w:tcBorders>
              <w:top w:val="single" w:sz="8" w:color="CFF0FC"/>
            </w:tcBorders>
          </w:tcPr>
          <w:p>
            <w:pPr>
              <w:spacing w:after="0" w:line="209" w:lineRule="exact"/>
              <w:rPr>
                <w:sz w:val="20"/>
                <w:szCs w:val="20"/>
                <w:color w:val="auto"/>
              </w:rPr>
            </w:pPr>
            <w:r>
              <w:rPr>
                <w:rFonts w:ascii="Arial" w:cs="Arial" w:eastAsia="Arial" w:hAnsi="Arial"/>
                <w:sz w:val="20"/>
                <w:szCs w:val="20"/>
                <w:color w:val="auto"/>
              </w:rPr>
              <w:t>Total Building Materials business</w:t>
            </w:r>
          </w:p>
        </w:tc>
        <w:tc>
          <w:tcPr>
            <w:tcW w:w="1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187</w:t>
            </w:r>
          </w:p>
        </w:tc>
        <w:tc>
          <w:tcPr>
            <w:tcW w:w="340" w:type="dxa"/>
            <w:vAlign w:val="bottom"/>
            <w:tcBorders>
              <w:top w:val="single" w:sz="8" w:color="CFF0F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195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shd w:val="clear" w:color="auto" w:fill="CFF0FC"/>
          </w:tcPr>
          <w:p>
            <w:pPr>
              <w:spacing w:after="0" w:line="216" w:lineRule="exact"/>
              <w:rPr>
                <w:sz w:val="20"/>
                <w:szCs w:val="20"/>
                <w:color w:val="auto"/>
              </w:rPr>
            </w:pPr>
            <w:r>
              <w:rPr>
                <w:rFonts w:ascii="Arial" w:cs="Arial" w:eastAsia="Arial" w:hAnsi="Arial"/>
                <w:sz w:val="20"/>
                <w:szCs w:val="20"/>
                <w:color w:val="auto"/>
              </w:rPr>
              <w:t>Specialties</w:t>
            </w:r>
          </w:p>
        </w:tc>
        <w:tc>
          <w:tcPr>
            <w:tcW w:w="13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35</w:t>
            </w:r>
          </w:p>
        </w:tc>
        <w:tc>
          <w:tcPr>
            <w:tcW w:w="3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33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line="209" w:lineRule="exact"/>
              <w:rPr>
                <w:sz w:val="20"/>
                <w:szCs w:val="20"/>
                <w:color w:val="auto"/>
              </w:rPr>
            </w:pPr>
            <w:r>
              <w:rPr>
                <w:rFonts w:ascii="Arial" w:cs="Arial" w:eastAsia="Arial" w:hAnsi="Arial"/>
                <w:sz w:val="20"/>
                <w:szCs w:val="20"/>
                <w:color w:val="auto"/>
              </w:rPr>
              <w:t>Total reportable segments</w:t>
            </w:r>
          </w:p>
        </w:tc>
        <w:tc>
          <w:tcPr>
            <w:tcW w:w="132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Arial" w:cs="Arial" w:eastAsia="Arial" w:hAnsi="Arial"/>
                <w:sz w:val="20"/>
                <w:szCs w:val="20"/>
                <w:color w:val="auto"/>
              </w:rPr>
              <w:t>222</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tcPr>
          <w:p>
            <w:pPr>
              <w:jc w:val="right"/>
              <w:spacing w:after="0" w:line="209" w:lineRule="exact"/>
              <w:rPr>
                <w:sz w:val="20"/>
                <w:szCs w:val="20"/>
                <w:color w:val="auto"/>
              </w:rPr>
            </w:pPr>
            <w:r>
              <w:rPr>
                <w:rFonts w:ascii="Arial" w:cs="Arial" w:eastAsia="Arial" w:hAnsi="Arial"/>
                <w:sz w:val="20"/>
                <w:szCs w:val="20"/>
                <w:color w:val="auto"/>
              </w:rPr>
              <w:t>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Corporate</w:t>
            </w:r>
          </w:p>
        </w:tc>
        <w:tc>
          <w:tcPr>
            <w:tcW w:w="1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1"/>
              <w:spacing w:after="0" w:line="216" w:lineRule="exact"/>
              <w:rPr>
                <w:sz w:val="20"/>
                <w:szCs w:val="20"/>
                <w:color w:val="auto"/>
              </w:rPr>
            </w:pPr>
            <w:r>
              <w:rPr>
                <w:rFonts w:ascii="Arial" w:cs="Arial" w:eastAsia="Arial" w:hAnsi="Arial"/>
                <w:sz w:val="20"/>
                <w:szCs w:val="20"/>
                <w:color w:val="auto"/>
              </w:rPr>
              <w:t>(60)</w:t>
            </w:r>
          </w:p>
        </w:tc>
        <w:tc>
          <w:tcPr>
            <w:tcW w:w="8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line="216" w:lineRule="exact"/>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10"/>
        </w:trPr>
        <w:tc>
          <w:tcPr>
            <w:tcW w:w="6560" w:type="dxa"/>
            <w:vAlign w:val="bottom"/>
            <w:tcBorders>
              <w:top w:val="single" w:sz="8" w:color="CFF0FC"/>
            </w:tcBorders>
          </w:tcPr>
          <w:p>
            <w:pPr>
              <w:spacing w:after="0" w:line="209" w:lineRule="exact"/>
              <w:rPr>
                <w:sz w:val="20"/>
                <w:szCs w:val="20"/>
                <w:color w:val="auto"/>
              </w:rPr>
            </w:pPr>
            <w:r>
              <w:rPr>
                <w:rFonts w:ascii="Arial" w:cs="Arial" w:eastAsia="Arial" w:hAnsi="Arial"/>
                <w:sz w:val="20"/>
                <w:szCs w:val="20"/>
                <w:color w:val="auto"/>
              </w:rPr>
              <w:t>Earnings from operations</w:t>
            </w:r>
          </w:p>
        </w:tc>
        <w:tc>
          <w:tcPr>
            <w:tcW w:w="1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162</w:t>
            </w:r>
          </w:p>
        </w:tc>
        <w:tc>
          <w:tcPr>
            <w:tcW w:w="340" w:type="dxa"/>
            <w:vAlign w:val="bottom"/>
            <w:tcBorders>
              <w:top w:val="single" w:sz="8" w:color="CFF0F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179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60"/>
              <w:spacing w:after="0" w:line="216" w:lineRule="exact"/>
              <w:rPr>
                <w:sz w:val="20"/>
                <w:szCs w:val="20"/>
                <w:color w:val="auto"/>
              </w:rPr>
            </w:pPr>
            <w:r>
              <w:rPr>
                <w:rFonts w:ascii="Arial" w:cs="Arial" w:eastAsia="Arial" w:hAnsi="Arial"/>
                <w:sz w:val="20"/>
                <w:szCs w:val="20"/>
                <w:color w:val="auto"/>
              </w:rPr>
              <w:t>Interest expense</w:t>
            </w:r>
          </w:p>
        </w:tc>
        <w:tc>
          <w:tcPr>
            <w:tcW w:w="1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56</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60"/>
              <w:spacing w:after="0" w:line="216" w:lineRule="exact"/>
              <w:rPr>
                <w:sz w:val="20"/>
                <w:szCs w:val="20"/>
                <w:color w:val="auto"/>
              </w:rPr>
            </w:pPr>
            <w:r>
              <w:rPr>
                <w:rFonts w:ascii="Arial" w:cs="Arial" w:eastAsia="Arial" w:hAnsi="Arial"/>
                <w:sz w:val="20"/>
                <w:szCs w:val="20"/>
                <w:color w:val="auto"/>
              </w:rPr>
              <w:t>Other nonoperating income, net</w:t>
            </w:r>
          </w:p>
        </w:tc>
        <w:tc>
          <w:tcPr>
            <w:tcW w:w="1320" w:type="dxa"/>
            <w:vAlign w:val="bottom"/>
          </w:tcPr>
          <w:p>
            <w:pPr>
              <w:spacing w:after="0"/>
              <w:rPr>
                <w:sz w:val="18"/>
                <w:szCs w:val="18"/>
                <w:color w:val="auto"/>
              </w:rPr>
            </w:pPr>
          </w:p>
        </w:tc>
        <w:tc>
          <w:tcPr>
            <w:tcW w:w="114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rPr>
              <w:t>(11)</w:t>
            </w:r>
          </w:p>
        </w:tc>
        <w:tc>
          <w:tcPr>
            <w:tcW w:w="800" w:type="dxa"/>
            <w:vAlign w:val="bottom"/>
          </w:tcPr>
          <w:p>
            <w:pPr>
              <w:spacing w:after="0"/>
              <w:rPr>
                <w:sz w:val="18"/>
                <w:szCs w:val="18"/>
                <w:color w:val="auto"/>
              </w:rPr>
            </w:pPr>
          </w:p>
        </w:tc>
        <w:tc>
          <w:tcPr>
            <w:tcW w:w="142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188"/>
        </w:trPr>
        <w:tc>
          <w:tcPr>
            <w:tcW w:w="6560" w:type="dxa"/>
            <w:vAlign w:val="bottom"/>
            <w:shd w:val="clear" w:color="auto" w:fill="CFF0FC"/>
          </w:tcPr>
          <w:p>
            <w:pPr>
              <w:spacing w:after="0" w:line="188" w:lineRule="exact"/>
              <w:rPr>
                <w:sz w:val="20"/>
                <w:szCs w:val="20"/>
                <w:color w:val="auto"/>
              </w:rPr>
            </w:pPr>
            <w:r>
              <w:rPr>
                <w:rFonts w:ascii="Arial" w:cs="Arial" w:eastAsia="Arial" w:hAnsi="Arial"/>
                <w:sz w:val="20"/>
                <w:szCs w:val="20"/>
                <w:color w:val="auto"/>
              </w:rPr>
              <w:t>Earnings from continuing operations before income</w:t>
            </w:r>
          </w:p>
        </w:tc>
        <w:tc>
          <w:tcPr>
            <w:tcW w:w="1320" w:type="dxa"/>
            <w:vAlign w:val="bottom"/>
            <w:tcBorders>
              <w:top w:val="single" w:sz="8" w:color="auto"/>
            </w:tcBorders>
            <w:vMerge w:val="restart"/>
            <w:shd w:val="clear" w:color="auto" w:fill="CFF0FC"/>
          </w:tcPr>
          <w:p>
            <w:pPr>
              <w:jc w:val="right"/>
              <w:ind w:right="1101"/>
              <w:spacing w:after="0"/>
              <w:rPr>
                <w:sz w:val="20"/>
                <w:szCs w:val="20"/>
                <w:color w:val="auto"/>
              </w:rPr>
            </w:pPr>
            <w:r>
              <w:rPr>
                <w:rFonts w:ascii="Arial" w:cs="Arial" w:eastAsia="Arial" w:hAnsi="Arial"/>
                <w:sz w:val="20"/>
                <w:szCs w:val="20"/>
                <w:color w:val="auto"/>
                <w:w w:val="89"/>
              </w:rPr>
              <w:t>$</w:t>
            </w:r>
          </w:p>
        </w:tc>
        <w:tc>
          <w:tcPr>
            <w:tcW w:w="8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20"/>
                <w:szCs w:val="20"/>
                <w:color w:val="auto"/>
              </w:rPr>
              <w:t>117</w:t>
            </w:r>
          </w:p>
        </w:tc>
        <w:tc>
          <w:tcPr>
            <w:tcW w:w="340" w:type="dxa"/>
            <w:vAlign w:val="bottom"/>
            <w:shd w:val="clear" w:color="auto" w:fill="CFF0FC"/>
          </w:tcPr>
          <w:p>
            <w:pPr>
              <w:spacing w:after="0"/>
              <w:rPr>
                <w:sz w:val="16"/>
                <w:szCs w:val="16"/>
                <w:color w:val="auto"/>
              </w:rPr>
            </w:pPr>
          </w:p>
        </w:tc>
        <w:tc>
          <w:tcPr>
            <w:tcW w:w="80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20"/>
                <w:szCs w:val="20"/>
                <w:color w:val="auto"/>
              </w:rPr>
              <w:t>$</w:t>
            </w:r>
          </w:p>
        </w:tc>
        <w:tc>
          <w:tcPr>
            <w:tcW w:w="13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20"/>
                <w:szCs w:val="20"/>
                <w:color w:val="auto"/>
              </w:rPr>
              <w:t>132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560" w:type="dxa"/>
            <w:vAlign w:val="bottom"/>
            <w:tcBorders>
              <w:bottom w:val="single" w:sz="8" w:color="CFF0FC"/>
            </w:tcBorders>
            <w:shd w:val="clear" w:color="auto" w:fill="CFF0FC"/>
          </w:tcPr>
          <w:p>
            <w:pPr>
              <w:ind w:left="120"/>
              <w:spacing w:after="0" w:line="177" w:lineRule="exact"/>
              <w:rPr>
                <w:sz w:val="20"/>
                <w:szCs w:val="20"/>
                <w:color w:val="auto"/>
              </w:rPr>
            </w:pPr>
            <w:r>
              <w:rPr>
                <w:rFonts w:ascii="Arial" w:cs="Arial" w:eastAsia="Arial" w:hAnsi="Arial"/>
                <w:sz w:val="20"/>
                <w:szCs w:val="20"/>
                <w:color w:val="auto"/>
              </w:rPr>
              <w:t>tax expense</w:t>
            </w:r>
          </w:p>
        </w:tc>
        <w:tc>
          <w:tcPr>
            <w:tcW w:w="1320" w:type="dxa"/>
            <w:vAlign w:val="bottom"/>
            <w:tcBorders>
              <w:bottom w:val="single" w:sz="8" w:color="auto"/>
            </w:tcBorders>
            <w:vMerge w:val="continue"/>
            <w:shd w:val="clear" w:color="auto" w:fill="CFF0FC"/>
          </w:tcPr>
          <w:p>
            <w:pPr>
              <w:spacing w:after="0"/>
              <w:rPr>
                <w:sz w:val="20"/>
                <w:szCs w:val="20"/>
                <w:color w:val="auto"/>
              </w:rPr>
            </w:pPr>
          </w:p>
        </w:tc>
        <w:tc>
          <w:tcPr>
            <w:tcW w:w="800" w:type="dxa"/>
            <w:vAlign w:val="bottom"/>
            <w:tcBorders>
              <w:bottom w:val="single" w:sz="8" w:color="auto"/>
            </w:tcBorders>
            <w:vMerge w:val="continue"/>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vMerge w:val="continue"/>
            <w:shd w:val="clear" w:color="auto" w:fill="CFF0FC"/>
          </w:tcPr>
          <w:p>
            <w:pPr>
              <w:spacing w:after="0"/>
              <w:rPr>
                <w:sz w:val="20"/>
                <w:szCs w:val="20"/>
                <w:color w:val="auto"/>
              </w:rPr>
            </w:pPr>
          </w:p>
        </w:tc>
        <w:tc>
          <w:tcPr>
            <w:tcW w:w="13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-1842135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-1824990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-1268095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-984885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-702310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3" w:lineRule="exact"/>
        <w:rPr>
          <w:sz w:val="20"/>
          <w:szCs w:val="20"/>
          <w:color w:val="auto"/>
        </w:rPr>
      </w:pPr>
    </w:p>
    <w:p>
      <w:pPr>
        <w:jc w:val="both"/>
        <w:ind w:left="300" w:hanging="202"/>
        <w:spacing w:after="0" w:line="234" w:lineRule="auto"/>
        <w:tabs>
          <w:tab w:leader="none" w:pos="545" w:val="left"/>
        </w:tabs>
        <w:numPr>
          <w:ilvl w:val="0"/>
          <w:numId w:val="5"/>
        </w:numPr>
        <w:rPr>
          <w:rFonts w:ascii="Arial" w:cs="Arial" w:eastAsia="Arial" w:hAnsi="Arial"/>
          <w:sz w:val="20"/>
          <w:szCs w:val="20"/>
          <w:i w:val="1"/>
          <w:iCs w:val="1"/>
          <w:color w:val="auto"/>
        </w:rPr>
      </w:pPr>
      <w:r>
        <w:rPr>
          <w:rFonts w:ascii="Arial" w:cs="Arial" w:eastAsia="Arial" w:hAnsi="Arial"/>
          <w:sz w:val="20"/>
          <w:szCs w:val="20"/>
          <w:i w:val="1"/>
          <w:iCs w:val="1"/>
          <w:color w:val="auto"/>
        </w:rPr>
        <w:t>In connection with the closing of the QUIKRETE asset exchange during the quarter ended March 31, 2026, the Company updated its reportable segments. As of March 31, 2026, the Building Materials business includes two reportable segments: East Group (comprised of the East and Southwest divisions) and West Group (comprised of the Central and West divisions). The Company has recast all comparative prior-period information presented in this earnings release to reflect the updated reportable segments.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Appendix</w:t>
      </w:r>
    </w:p>
    <w:p>
      <w:pPr>
        <w:spacing w:after="0" w:line="200" w:lineRule="exact"/>
        <w:rPr>
          <w:sz w:val="20"/>
          <w:szCs w:val="20"/>
          <w:color w:val="auto"/>
        </w:rPr>
      </w:pP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MARTIN MARIETTA MATERIALS, INC.</w:t>
      </w:r>
    </w:p>
    <w:p>
      <w:pPr>
        <w:jc w:val="center"/>
        <w:ind w:right="120"/>
        <w:spacing w:after="0" w:line="231" w:lineRule="auto"/>
        <w:rPr>
          <w:sz w:val="20"/>
          <w:szCs w:val="20"/>
          <w:color w:val="auto"/>
        </w:rPr>
      </w:pPr>
      <w:r>
        <w:rPr>
          <w:rFonts w:ascii="Arial" w:cs="Arial" w:eastAsia="Arial" w:hAnsi="Arial"/>
          <w:sz w:val="20"/>
          <w:szCs w:val="20"/>
          <w:b w:val="1"/>
          <w:bCs w:val="1"/>
          <w:color w:val="auto"/>
        </w:rPr>
        <w:t>Unaudited Product Line Financial Highlights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20"/>
          <w:szCs w:val="20"/>
          <w:i w:val="1"/>
          <w:iCs w:val="1"/>
          <w:color w:val="auto"/>
        </w:rPr>
        <w:t>(Continuing Operations Only)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40" w:type="dxa"/>
            <w:vAlign w:val="bottom"/>
            <w:gridSpan w:val="5"/>
          </w:tcPr>
          <w:p>
            <w:pPr>
              <w:jc w:val="center"/>
              <w:ind w:right="540"/>
              <w:spacing w:after="0"/>
              <w:rPr>
                <w:sz w:val="20"/>
                <w:szCs w:val="20"/>
                <w:color w:val="auto"/>
              </w:rPr>
            </w:pPr>
            <w:r>
              <w:rPr>
                <w:rFonts w:ascii="Arial" w:cs="Arial" w:eastAsia="Arial" w:hAnsi="Arial"/>
                <w:sz w:val="20"/>
                <w:szCs w:val="20"/>
                <w:color w:val="auto"/>
                <w:w w:val="99"/>
              </w:rPr>
              <w:t>Three Months Ended</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center"/>
              <w:ind w:left="921"/>
              <w:spacing w:after="0"/>
              <w:rPr>
                <w:sz w:val="20"/>
                <w:szCs w:val="20"/>
                <w:color w:val="auto"/>
              </w:rPr>
            </w:pPr>
            <w:r>
              <w:rPr>
                <w:rFonts w:ascii="Arial" w:cs="Arial" w:eastAsia="Arial" w:hAnsi="Arial"/>
                <w:sz w:val="20"/>
                <w:szCs w:val="20"/>
                <w:color w:val="auto"/>
                <w:w w:val="98"/>
              </w:rPr>
              <w:t>March 31,</w:t>
            </w: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561"/>
              <w:spacing w:after="0" w:line="209" w:lineRule="exact"/>
              <w:rPr>
                <w:sz w:val="20"/>
                <w:szCs w:val="20"/>
                <w:color w:val="auto"/>
              </w:rPr>
            </w:pPr>
            <w:r>
              <w:rPr>
                <w:rFonts w:ascii="Arial" w:cs="Arial" w:eastAsia="Arial" w:hAnsi="Arial"/>
                <w:sz w:val="20"/>
                <w:szCs w:val="20"/>
                <w:color w:val="auto"/>
              </w:rPr>
              <w:t>2026</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41"/>
              <w:spacing w:after="0" w:line="209" w:lineRule="exact"/>
              <w:rPr>
                <w:sz w:val="20"/>
                <w:szCs w:val="20"/>
                <w:color w:val="auto"/>
              </w:rPr>
            </w:pPr>
            <w:r>
              <w:rPr>
                <w:rFonts w:ascii="Arial" w:cs="Arial" w:eastAsia="Arial" w:hAnsi="Arial"/>
                <w:sz w:val="20"/>
                <w:szCs w:val="20"/>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gridSpan w:val="2"/>
          </w:tcPr>
          <w:p>
            <w:pPr>
              <w:jc w:val="right"/>
              <w:ind w:right="941"/>
              <w:spacing w:after="0" w:line="209" w:lineRule="exact"/>
              <w:rPr>
                <w:sz w:val="20"/>
                <w:szCs w:val="20"/>
                <w:color w:val="auto"/>
              </w:rPr>
            </w:pPr>
            <w:r>
              <w:rPr>
                <w:rFonts w:ascii="Arial" w:cs="Arial" w:eastAsia="Arial" w:hAnsi="Arial"/>
                <w:sz w:val="20"/>
                <w:szCs w:val="20"/>
                <w:color w:val="auto"/>
              </w:rPr>
              <w:t>Amount</w:t>
            </w:r>
          </w:p>
        </w:tc>
        <w:tc>
          <w:tcPr>
            <w:tcW w:w="680" w:type="dxa"/>
            <w:vAlign w:val="bottom"/>
          </w:tcPr>
          <w:p>
            <w:pPr>
              <w:spacing w:after="0"/>
              <w:rPr>
                <w:sz w:val="18"/>
                <w:szCs w:val="18"/>
                <w:color w:val="auto"/>
              </w:rPr>
            </w:pPr>
          </w:p>
        </w:tc>
        <w:tc>
          <w:tcPr>
            <w:tcW w:w="1440" w:type="dxa"/>
            <w:vAlign w:val="bottom"/>
          </w:tcPr>
          <w:p>
            <w:pPr>
              <w:jc w:val="right"/>
              <w:ind w:right="621"/>
              <w:spacing w:after="0" w:line="209" w:lineRule="exact"/>
              <w:rPr>
                <w:sz w:val="20"/>
                <w:szCs w:val="20"/>
                <w:color w:val="auto"/>
              </w:rPr>
            </w:pPr>
            <w:r>
              <w:rPr>
                <w:rFonts w:ascii="Arial" w:cs="Arial" w:eastAsia="Arial" w:hAnsi="Arial"/>
                <w:sz w:val="20"/>
                <w:szCs w:val="20"/>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200" w:type="dxa"/>
            <w:vAlign w:val="bottom"/>
            <w:vMerge w:val="restart"/>
          </w:tcPr>
          <w:p>
            <w:pPr>
              <w:spacing w:after="0"/>
              <w:rPr>
                <w:sz w:val="20"/>
                <w:szCs w:val="20"/>
                <w:color w:val="auto"/>
              </w:rPr>
            </w:pPr>
            <w:r>
              <w:rPr>
                <w:rFonts w:ascii="Arial" w:cs="Arial" w:eastAsia="Arial" w:hAnsi="Arial"/>
                <w:sz w:val="20"/>
                <w:szCs w:val="20"/>
                <w:color w:val="auto"/>
              </w:rPr>
              <w:t>Revenues:</w:t>
            </w:r>
          </w:p>
        </w:tc>
        <w:tc>
          <w:tcPr>
            <w:tcW w:w="138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20"/>
                <w:szCs w:val="20"/>
                <w:i w:val="1"/>
                <w:iCs w:val="1"/>
                <w:color w:val="auto"/>
              </w:rPr>
              <w:t>(Dollars</w:t>
            </w:r>
          </w:p>
        </w:tc>
        <w:tc>
          <w:tcPr>
            <w:tcW w:w="340" w:type="dxa"/>
            <w:vAlign w:val="bottom"/>
          </w:tcPr>
          <w:p>
            <w:pPr>
              <w:jc w:val="center"/>
              <w:spacing w:after="0"/>
              <w:rPr>
                <w:sz w:val="20"/>
                <w:szCs w:val="20"/>
                <w:color w:val="auto"/>
              </w:rPr>
            </w:pPr>
            <w:r>
              <w:rPr>
                <w:rFonts w:ascii="Arial" w:cs="Arial" w:eastAsia="Arial" w:hAnsi="Arial"/>
                <w:sz w:val="20"/>
                <w:szCs w:val="20"/>
                <w:i w:val="1"/>
                <w:iCs w:val="1"/>
                <w:color w:val="auto"/>
                <w:w w:val="89"/>
              </w:rPr>
              <w:t>in</w:t>
            </w:r>
          </w:p>
        </w:tc>
        <w:tc>
          <w:tcPr>
            <w:tcW w:w="680" w:type="dxa"/>
            <w:vAlign w:val="bottom"/>
            <w:tcBorders>
              <w:top w:val="single" w:sz="8" w:color="auto"/>
            </w:tcBorders>
          </w:tcPr>
          <w:p>
            <w:pPr>
              <w:spacing w:after="0"/>
              <w:rPr>
                <w:sz w:val="20"/>
                <w:szCs w:val="20"/>
                <w:color w:val="auto"/>
              </w:rPr>
            </w:pPr>
            <w:r>
              <w:rPr>
                <w:rFonts w:ascii="Arial" w:cs="Arial" w:eastAsia="Arial" w:hAnsi="Arial"/>
                <w:sz w:val="20"/>
                <w:szCs w:val="20"/>
                <w:i w:val="1"/>
                <w:iCs w:val="1"/>
                <w:color w:val="auto"/>
                <w:w w:val="89"/>
              </w:rPr>
              <w:t>Millions)</w:t>
            </w: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520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120"/>
              <w:spacing w:after="0" w:line="216" w:lineRule="exact"/>
              <w:rPr>
                <w:sz w:val="20"/>
                <w:szCs w:val="20"/>
                <w:color w:val="auto"/>
              </w:rPr>
            </w:pPr>
            <w:r>
              <w:rPr>
                <w:rFonts w:ascii="Arial" w:cs="Arial" w:eastAsia="Arial" w:hAnsi="Arial"/>
                <w:sz w:val="20"/>
                <w:szCs w:val="20"/>
                <w:color w:val="auto"/>
              </w:rPr>
              <w:t>Building Materials:</w:t>
            </w:r>
          </w:p>
        </w:tc>
        <w:tc>
          <w:tcPr>
            <w:tcW w:w="1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40"/>
              <w:spacing w:after="0" w:line="216" w:lineRule="exact"/>
              <w:rPr>
                <w:sz w:val="20"/>
                <w:szCs w:val="20"/>
                <w:color w:val="auto"/>
              </w:rPr>
            </w:pPr>
            <w:r>
              <w:rPr>
                <w:rFonts w:ascii="Arial" w:cs="Arial" w:eastAsia="Arial" w:hAnsi="Arial"/>
                <w:sz w:val="20"/>
                <w:szCs w:val="20"/>
                <w:color w:val="auto"/>
              </w:rPr>
              <w:t>Aggregates</w:t>
            </w:r>
          </w:p>
        </w:tc>
        <w:tc>
          <w:tcPr>
            <w:tcW w:w="1800" w:type="dxa"/>
            <w:vAlign w:val="bottom"/>
            <w:gridSpan w:val="2"/>
          </w:tcPr>
          <w:p>
            <w:pPr>
              <w:jc w:val="right"/>
              <w:ind w:right="201"/>
              <w:spacing w:after="0" w:line="216" w:lineRule="exact"/>
              <w:rPr>
                <w:sz w:val="20"/>
                <w:szCs w:val="20"/>
                <w:color w:val="auto"/>
              </w:rPr>
            </w:pPr>
            <w:r>
              <w:rPr>
                <w:rFonts w:ascii="Arial" w:cs="Arial" w:eastAsia="Arial" w:hAnsi="Arial"/>
                <w:sz w:val="20"/>
                <w:szCs w:val="20"/>
                <w:color w:val="auto"/>
              </w:rPr>
              <w:t>$</w:t>
            </w:r>
          </w:p>
        </w:tc>
        <w:tc>
          <w:tcPr>
            <w:tcW w:w="1680" w:type="dxa"/>
            <w:vAlign w:val="bottom"/>
          </w:tcPr>
          <w:p>
            <w:pPr>
              <w:jc w:val="right"/>
              <w:spacing w:after="0" w:line="216" w:lineRule="exact"/>
              <w:rPr>
                <w:sz w:val="20"/>
                <w:szCs w:val="20"/>
                <w:color w:val="auto"/>
              </w:rPr>
            </w:pPr>
            <w:r>
              <w:rPr>
                <w:rFonts w:ascii="Arial" w:cs="Arial" w:eastAsia="Arial" w:hAnsi="Arial"/>
                <w:sz w:val="20"/>
                <w:szCs w:val="20"/>
                <w:color w:val="auto"/>
              </w:rPr>
              <w:t>1,142</w:t>
            </w:r>
          </w:p>
        </w:tc>
        <w:tc>
          <w:tcPr>
            <w:tcW w:w="340" w:type="dxa"/>
            <w:vAlign w:val="bottom"/>
          </w:tcPr>
          <w:p>
            <w:pPr>
              <w:spacing w:after="0"/>
              <w:rPr>
                <w:sz w:val="18"/>
                <w:szCs w:val="18"/>
                <w:color w:val="auto"/>
              </w:rPr>
            </w:pPr>
          </w:p>
        </w:tc>
        <w:tc>
          <w:tcPr>
            <w:tcW w:w="680" w:type="dxa"/>
            <w:vAlign w:val="bottom"/>
          </w:tcPr>
          <w:p>
            <w:pPr>
              <w:spacing w:after="0" w:line="216" w:lineRule="exact"/>
              <w:rPr>
                <w:sz w:val="20"/>
                <w:szCs w:val="20"/>
                <w:color w:val="auto"/>
              </w:rPr>
            </w:pPr>
            <w:r>
              <w:rPr>
                <w:rFonts w:ascii="Arial" w:cs="Arial" w:eastAsia="Arial" w:hAnsi="Arial"/>
                <w:sz w:val="20"/>
                <w:szCs w:val="20"/>
                <w:color w:val="auto"/>
              </w:rPr>
              <w:t>$</w:t>
            </w:r>
          </w:p>
        </w:tc>
        <w:tc>
          <w:tcPr>
            <w:tcW w:w="1440" w:type="dxa"/>
            <w:vAlign w:val="bottom"/>
          </w:tcPr>
          <w:p>
            <w:pPr>
              <w:jc w:val="right"/>
              <w:spacing w:after="0" w:line="216" w:lineRule="exact"/>
              <w:rPr>
                <w:sz w:val="20"/>
                <w:szCs w:val="20"/>
                <w:color w:val="auto"/>
              </w:rPr>
            </w:pPr>
            <w:r>
              <w:rPr>
                <w:rFonts w:ascii="Arial" w:cs="Arial" w:eastAsia="Arial" w:hAnsi="Arial"/>
                <w:sz w:val="20"/>
                <w:szCs w:val="20"/>
                <w:color w:val="auto"/>
              </w:rPr>
              <w:t>1,002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40"/>
              <w:spacing w:after="0" w:line="216" w:lineRule="exact"/>
              <w:rPr>
                <w:sz w:val="20"/>
                <w:szCs w:val="20"/>
                <w:color w:val="auto"/>
              </w:rPr>
            </w:pPr>
            <w:r>
              <w:rPr>
                <w:rFonts w:ascii="Arial" w:cs="Arial" w:eastAsia="Arial" w:hAnsi="Arial"/>
                <w:sz w:val="20"/>
                <w:szCs w:val="20"/>
                <w:color w:val="auto"/>
              </w:rPr>
              <w:t>Other Building Materials</w:t>
            </w:r>
          </w:p>
        </w:tc>
        <w:tc>
          <w:tcPr>
            <w:tcW w:w="1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116</w:t>
            </w: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40"/>
              <w:spacing w:after="0" w:line="216" w:lineRule="exact"/>
              <w:rPr>
                <w:sz w:val="20"/>
                <w:szCs w:val="20"/>
                <w:color w:val="auto"/>
              </w:rPr>
            </w:pPr>
            <w:r>
              <w:rPr>
                <w:rFonts w:ascii="Arial" w:cs="Arial" w:eastAsia="Arial" w:hAnsi="Arial"/>
                <w:sz w:val="20"/>
                <w:szCs w:val="20"/>
                <w:color w:val="auto"/>
              </w:rPr>
              <w:t>Less: Interproduct sales</w:t>
            </w: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gridSpan w:val="2"/>
          </w:tcPr>
          <w:p>
            <w:pPr>
              <w:jc w:val="right"/>
              <w:ind w:right="161"/>
              <w:spacing w:after="0" w:line="216" w:lineRule="exact"/>
              <w:rPr>
                <w:sz w:val="20"/>
                <w:szCs w:val="20"/>
                <w:color w:val="auto"/>
              </w:rPr>
            </w:pPr>
            <w:r>
              <w:rPr>
                <w:rFonts w:ascii="Arial" w:cs="Arial" w:eastAsia="Arial" w:hAnsi="Arial"/>
                <w:sz w:val="20"/>
                <w:szCs w:val="20"/>
                <w:color w:val="auto"/>
              </w:rPr>
              <w:t>(39)</w:t>
            </w:r>
          </w:p>
        </w:tc>
        <w:tc>
          <w:tcPr>
            <w:tcW w:w="680" w:type="dxa"/>
            <w:vAlign w:val="bottom"/>
          </w:tcPr>
          <w:p>
            <w:pPr>
              <w:spacing w:after="0"/>
              <w:rPr>
                <w:sz w:val="18"/>
                <w:szCs w:val="18"/>
                <w:color w:val="auto"/>
              </w:rPr>
            </w:pPr>
          </w:p>
        </w:tc>
        <w:tc>
          <w:tcPr>
            <w:tcW w:w="154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ind w:left="120"/>
              <w:spacing w:after="0" w:line="209" w:lineRule="exact"/>
              <w:rPr>
                <w:sz w:val="20"/>
                <w:szCs w:val="20"/>
                <w:color w:val="auto"/>
              </w:rPr>
            </w:pPr>
            <w:r>
              <w:rPr>
                <w:rFonts w:ascii="Arial" w:cs="Arial" w:eastAsia="Arial" w:hAnsi="Arial"/>
                <w:sz w:val="20"/>
                <w:szCs w:val="20"/>
                <w:color w:val="auto"/>
              </w:rPr>
              <w:t>Total Building Materials business</w:t>
            </w:r>
          </w:p>
        </w:tc>
        <w:tc>
          <w:tcPr>
            <w:tcW w:w="138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1,219</w:t>
            </w:r>
          </w:p>
        </w:tc>
        <w:tc>
          <w:tcPr>
            <w:tcW w:w="34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1,075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line="216" w:lineRule="exact"/>
              <w:rPr>
                <w:sz w:val="20"/>
                <w:szCs w:val="20"/>
                <w:color w:val="auto"/>
              </w:rPr>
            </w:pPr>
            <w:r>
              <w:rPr>
                <w:rFonts w:ascii="Arial" w:cs="Arial" w:eastAsia="Arial" w:hAnsi="Arial"/>
                <w:sz w:val="20"/>
                <w:szCs w:val="20"/>
                <w:color w:val="auto"/>
              </w:rPr>
              <w:t>Specialties</w:t>
            </w:r>
          </w:p>
        </w:tc>
        <w:tc>
          <w:tcPr>
            <w:tcW w:w="13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143</w:t>
            </w:r>
          </w:p>
        </w:tc>
        <w:tc>
          <w:tcPr>
            <w:tcW w:w="3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0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Total</w:t>
            </w:r>
          </w:p>
        </w:tc>
        <w:tc>
          <w:tcPr>
            <w:tcW w:w="1800" w:type="dxa"/>
            <w:vAlign w:val="bottom"/>
            <w:gridSpan w:val="2"/>
            <w:shd w:val="clear" w:color="auto" w:fill="CFF0FC"/>
          </w:tcPr>
          <w:p>
            <w:pPr>
              <w:jc w:val="right"/>
              <w:ind w:right="201"/>
              <w:spacing w:after="0" w:line="209" w:lineRule="exact"/>
              <w:rPr>
                <w:sz w:val="20"/>
                <w:szCs w:val="20"/>
                <w:color w:val="auto"/>
              </w:rPr>
            </w:pPr>
            <w:r>
              <w:rPr>
                <w:rFonts w:ascii="Arial" w:cs="Arial" w:eastAsia="Arial" w:hAnsi="Arial"/>
                <w:sz w:val="20"/>
                <w:szCs w:val="20"/>
                <w:color w:val="auto"/>
              </w:rPr>
              <w:t>$</w:t>
            </w:r>
          </w:p>
        </w:tc>
        <w:tc>
          <w:tcPr>
            <w:tcW w:w="168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1,362</w:t>
            </w: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w:t>
            </w:r>
          </w:p>
        </w:tc>
        <w:tc>
          <w:tcPr>
            <w:tcW w:w="144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1,162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Gross profit (loss):</w:t>
            </w:r>
          </w:p>
        </w:tc>
        <w:tc>
          <w:tcPr>
            <w:tcW w:w="1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line="216" w:lineRule="exact"/>
              <w:rPr>
                <w:sz w:val="20"/>
                <w:szCs w:val="20"/>
                <w:color w:val="auto"/>
              </w:rPr>
            </w:pPr>
            <w:r>
              <w:rPr>
                <w:rFonts w:ascii="Arial" w:cs="Arial" w:eastAsia="Arial" w:hAnsi="Arial"/>
                <w:sz w:val="20"/>
                <w:szCs w:val="20"/>
                <w:color w:val="auto"/>
              </w:rPr>
              <w:t>Building Materials:</w:t>
            </w: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40"/>
              <w:spacing w:after="0" w:line="216" w:lineRule="exact"/>
              <w:rPr>
                <w:sz w:val="20"/>
                <w:szCs w:val="20"/>
                <w:color w:val="auto"/>
              </w:rPr>
            </w:pPr>
            <w:r>
              <w:rPr>
                <w:rFonts w:ascii="Arial" w:cs="Arial" w:eastAsia="Arial" w:hAnsi="Arial"/>
                <w:sz w:val="20"/>
                <w:szCs w:val="20"/>
                <w:color w:val="auto"/>
              </w:rPr>
              <w:t>Aggregates</w:t>
            </w:r>
          </w:p>
        </w:tc>
        <w:tc>
          <w:tcPr>
            <w:tcW w:w="1800" w:type="dxa"/>
            <w:vAlign w:val="bottom"/>
            <w:gridSpan w:val="2"/>
            <w:shd w:val="clear" w:color="auto" w:fill="CFF0FC"/>
          </w:tcPr>
          <w:p>
            <w:pPr>
              <w:jc w:val="right"/>
              <w:ind w:right="201"/>
              <w:spacing w:after="0" w:line="216" w:lineRule="exact"/>
              <w:rPr>
                <w:sz w:val="20"/>
                <w:szCs w:val="20"/>
                <w:color w:val="auto"/>
              </w:rPr>
            </w:pPr>
            <w:r>
              <w:rPr>
                <w:rFonts w:ascii="Arial" w:cs="Arial" w:eastAsia="Arial" w:hAnsi="Arial"/>
                <w:sz w:val="20"/>
                <w:szCs w:val="20"/>
                <w:color w:val="auto"/>
              </w:rPr>
              <w:t>$</w:t>
            </w:r>
          </w:p>
        </w:tc>
        <w:tc>
          <w:tcPr>
            <w:tcW w:w="16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288</w:t>
            </w: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w:t>
            </w:r>
          </w:p>
        </w:tc>
        <w:tc>
          <w:tcPr>
            <w:tcW w:w="14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40"/>
              <w:spacing w:after="0" w:line="216" w:lineRule="exact"/>
              <w:rPr>
                <w:sz w:val="20"/>
                <w:szCs w:val="20"/>
                <w:color w:val="auto"/>
              </w:rPr>
            </w:pPr>
            <w:r>
              <w:rPr>
                <w:rFonts w:ascii="Arial" w:cs="Arial" w:eastAsia="Arial" w:hAnsi="Arial"/>
                <w:sz w:val="20"/>
                <w:szCs w:val="20"/>
                <w:color w:val="auto"/>
              </w:rPr>
              <w:t>Other Building Materials</w:t>
            </w: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gridSpan w:val="2"/>
          </w:tcPr>
          <w:p>
            <w:pPr>
              <w:jc w:val="right"/>
              <w:ind w:right="161"/>
              <w:spacing w:after="0" w:line="216" w:lineRule="exact"/>
              <w:rPr>
                <w:sz w:val="20"/>
                <w:szCs w:val="20"/>
                <w:color w:val="auto"/>
              </w:rPr>
            </w:pPr>
            <w:r>
              <w:rPr>
                <w:rFonts w:ascii="Arial" w:cs="Arial" w:eastAsia="Arial" w:hAnsi="Arial"/>
                <w:sz w:val="20"/>
                <w:szCs w:val="20"/>
                <w:color w:val="auto"/>
              </w:rPr>
              <w:t>(16)</w:t>
            </w:r>
          </w:p>
        </w:tc>
        <w:tc>
          <w:tcPr>
            <w:tcW w:w="680" w:type="dxa"/>
            <w:vAlign w:val="bottom"/>
          </w:tcPr>
          <w:p>
            <w:pPr>
              <w:spacing w:after="0"/>
              <w:rPr>
                <w:sz w:val="18"/>
                <w:szCs w:val="18"/>
                <w:color w:val="auto"/>
              </w:rPr>
            </w:pPr>
          </w:p>
        </w:tc>
        <w:tc>
          <w:tcPr>
            <w:tcW w:w="154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ind w:left="120"/>
              <w:spacing w:after="0" w:line="209" w:lineRule="exact"/>
              <w:rPr>
                <w:sz w:val="20"/>
                <w:szCs w:val="20"/>
                <w:color w:val="auto"/>
              </w:rPr>
            </w:pPr>
            <w:r>
              <w:rPr>
                <w:rFonts w:ascii="Arial" w:cs="Arial" w:eastAsia="Arial" w:hAnsi="Arial"/>
                <w:sz w:val="20"/>
                <w:szCs w:val="20"/>
                <w:color w:val="auto"/>
              </w:rPr>
              <w:t>Total Building Materials business</w:t>
            </w:r>
          </w:p>
        </w:tc>
        <w:tc>
          <w:tcPr>
            <w:tcW w:w="138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272</w:t>
            </w:r>
          </w:p>
        </w:tc>
        <w:tc>
          <w:tcPr>
            <w:tcW w:w="34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278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line="216" w:lineRule="exact"/>
              <w:rPr>
                <w:sz w:val="20"/>
                <w:szCs w:val="20"/>
                <w:color w:val="auto"/>
              </w:rPr>
            </w:pPr>
            <w:r>
              <w:rPr>
                <w:rFonts w:ascii="Arial" w:cs="Arial" w:eastAsia="Arial" w:hAnsi="Arial"/>
                <w:sz w:val="20"/>
                <w:szCs w:val="20"/>
                <w:color w:val="auto"/>
              </w:rPr>
              <w:t>Specialties</w:t>
            </w: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jc w:val="right"/>
              <w:spacing w:after="0" w:line="216" w:lineRule="exact"/>
              <w:rPr>
                <w:sz w:val="20"/>
                <w:szCs w:val="20"/>
                <w:color w:val="auto"/>
              </w:rPr>
            </w:pPr>
            <w:r>
              <w:rPr>
                <w:rFonts w:ascii="Arial" w:cs="Arial" w:eastAsia="Arial" w:hAnsi="Arial"/>
                <w:sz w:val="20"/>
                <w:szCs w:val="20"/>
                <w:color w:val="auto"/>
              </w:rPr>
              <w:t>45</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Arial" w:cs="Arial" w:eastAsia="Arial" w:hAnsi="Arial"/>
                <w:sz w:val="20"/>
                <w:szCs w:val="20"/>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120"/>
              <w:spacing w:after="0" w:line="216" w:lineRule="exact"/>
              <w:rPr>
                <w:sz w:val="20"/>
                <w:szCs w:val="20"/>
                <w:color w:val="auto"/>
              </w:rPr>
            </w:pPr>
            <w:r>
              <w:rPr>
                <w:rFonts w:ascii="Arial" w:cs="Arial" w:eastAsia="Arial" w:hAnsi="Arial"/>
                <w:sz w:val="20"/>
                <w:szCs w:val="20"/>
                <w:color w:val="auto"/>
              </w:rPr>
              <w:t>Corporate</w:t>
            </w:r>
          </w:p>
        </w:tc>
        <w:tc>
          <w:tcPr>
            <w:tcW w:w="1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161"/>
              <w:spacing w:after="0" w:line="216" w:lineRule="exact"/>
              <w:rPr>
                <w:sz w:val="20"/>
                <w:szCs w:val="20"/>
                <w:color w:val="auto"/>
              </w:rPr>
            </w:pPr>
            <w:r>
              <w:rPr>
                <w:rFonts w:ascii="Arial" w:cs="Arial" w:eastAsia="Arial" w:hAnsi="Arial"/>
                <w:sz w:val="20"/>
                <w:szCs w:val="20"/>
                <w:color w:val="auto"/>
              </w:rPr>
              <w:t>(7)</w:t>
            </w:r>
          </w:p>
        </w:tc>
        <w:tc>
          <w:tcPr>
            <w:tcW w:w="6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line="216" w:lineRule="exact"/>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10"/>
        </w:trPr>
        <w:tc>
          <w:tcPr>
            <w:tcW w:w="5200" w:type="dxa"/>
            <w:vAlign w:val="bottom"/>
            <w:tcBorders>
              <w:top w:val="single" w:sz="8" w:color="CFF0FC"/>
            </w:tcBorders>
          </w:tcPr>
          <w:p>
            <w:pPr>
              <w:spacing w:after="0" w:line="209" w:lineRule="exact"/>
              <w:rPr>
                <w:sz w:val="20"/>
                <w:szCs w:val="20"/>
                <w:color w:val="auto"/>
              </w:rPr>
            </w:pPr>
            <w:r>
              <w:rPr>
                <w:rFonts w:ascii="Arial" w:cs="Arial" w:eastAsia="Arial" w:hAnsi="Arial"/>
                <w:sz w:val="20"/>
                <w:szCs w:val="20"/>
                <w:color w:val="auto"/>
              </w:rPr>
              <w:t>Total</w:t>
            </w:r>
          </w:p>
        </w:tc>
        <w:tc>
          <w:tcPr>
            <w:tcW w:w="138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01"/>
              <w:spacing w:after="0" w:line="209" w:lineRule="exact"/>
              <w:rPr>
                <w:sz w:val="20"/>
                <w:szCs w:val="20"/>
                <w:color w:val="auto"/>
              </w:rPr>
            </w:pPr>
            <w:r>
              <w:rPr>
                <w:rFonts w:ascii="Arial" w:cs="Arial" w:eastAsia="Arial" w:hAnsi="Arial"/>
                <w:sz w:val="20"/>
                <w:szCs w:val="20"/>
                <w:color w:val="auto"/>
                <w:w w:val="89"/>
              </w:rPr>
              <w:t>$</w:t>
            </w:r>
          </w:p>
        </w:tc>
        <w:tc>
          <w:tcPr>
            <w:tcW w:w="168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310</w:t>
            </w:r>
          </w:p>
        </w:tc>
        <w:tc>
          <w:tcPr>
            <w:tcW w:w="340" w:type="dxa"/>
            <w:vAlign w:val="bottom"/>
            <w:tcBorders>
              <w:top w:val="single" w:sz="8" w:color="CFF0FC"/>
            </w:tcBorders>
          </w:tcPr>
          <w:p>
            <w:pPr>
              <w:spacing w:after="0"/>
              <w:rPr>
                <w:sz w:val="18"/>
                <w:szCs w:val="18"/>
                <w:color w:val="auto"/>
              </w:rPr>
            </w:pPr>
          </w:p>
        </w:tc>
        <w:tc>
          <w:tcPr>
            <w:tcW w:w="680" w:type="dxa"/>
            <w:vAlign w:val="bottom"/>
            <w:tcBorders>
              <w:top w:val="single" w:sz="8" w:color="auto"/>
              <w:bottom w:val="single" w:sz="8" w:color="auto"/>
            </w:tcBorders>
          </w:tcPr>
          <w:p>
            <w:pPr>
              <w:spacing w:after="0" w:line="209" w:lineRule="exact"/>
              <w:rPr>
                <w:sz w:val="20"/>
                <w:szCs w:val="20"/>
                <w:color w:val="auto"/>
              </w:rPr>
            </w:pPr>
            <w:r>
              <w:rPr>
                <w:rFonts w:ascii="Arial" w:cs="Arial" w:eastAsia="Arial" w:hAnsi="Arial"/>
                <w:sz w:val="20"/>
                <w:szCs w:val="20"/>
                <w:color w:val="auto"/>
              </w:rPr>
              <w:t>$</w:t>
            </w:r>
          </w:p>
        </w:tc>
        <w:tc>
          <w:tcPr>
            <w:tcW w:w="14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315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line="216" w:lineRule="exact"/>
              <w:rPr>
                <w:sz w:val="20"/>
                <w:szCs w:val="20"/>
                <w:color w:val="auto"/>
              </w:rPr>
            </w:pPr>
            <w:r>
              <w:rPr>
                <w:rFonts w:ascii="Arial" w:cs="Arial" w:eastAsia="Arial" w:hAnsi="Arial"/>
                <w:sz w:val="20"/>
                <w:szCs w:val="20"/>
                <w:color w:val="auto"/>
              </w:rPr>
              <w:t>Depreciation, Depletion and Amortization**:</w:t>
            </w: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120"/>
              <w:spacing w:after="0" w:line="216" w:lineRule="exact"/>
              <w:rPr>
                <w:sz w:val="20"/>
                <w:szCs w:val="20"/>
                <w:color w:val="auto"/>
              </w:rPr>
            </w:pPr>
            <w:r>
              <w:rPr>
                <w:rFonts w:ascii="Arial" w:cs="Arial" w:eastAsia="Arial" w:hAnsi="Arial"/>
                <w:sz w:val="20"/>
                <w:szCs w:val="20"/>
                <w:color w:val="auto"/>
              </w:rPr>
              <w:t>Building Materials business:</w:t>
            </w:r>
          </w:p>
        </w:tc>
        <w:tc>
          <w:tcPr>
            <w:tcW w:w="1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40"/>
              <w:spacing w:after="0" w:line="216" w:lineRule="exact"/>
              <w:rPr>
                <w:sz w:val="20"/>
                <w:szCs w:val="20"/>
                <w:color w:val="auto"/>
              </w:rPr>
            </w:pPr>
            <w:r>
              <w:rPr>
                <w:rFonts w:ascii="Arial" w:cs="Arial" w:eastAsia="Arial" w:hAnsi="Arial"/>
                <w:sz w:val="20"/>
                <w:szCs w:val="20"/>
                <w:color w:val="auto"/>
              </w:rPr>
              <w:t>Aggregates</w:t>
            </w:r>
          </w:p>
        </w:tc>
        <w:tc>
          <w:tcPr>
            <w:tcW w:w="1800" w:type="dxa"/>
            <w:vAlign w:val="bottom"/>
            <w:gridSpan w:val="2"/>
          </w:tcPr>
          <w:p>
            <w:pPr>
              <w:jc w:val="right"/>
              <w:ind w:right="201"/>
              <w:spacing w:after="0" w:line="216" w:lineRule="exact"/>
              <w:rPr>
                <w:sz w:val="20"/>
                <w:szCs w:val="20"/>
                <w:color w:val="auto"/>
              </w:rPr>
            </w:pPr>
            <w:r>
              <w:rPr>
                <w:rFonts w:ascii="Arial" w:cs="Arial" w:eastAsia="Arial" w:hAnsi="Arial"/>
                <w:sz w:val="20"/>
                <w:szCs w:val="20"/>
                <w:color w:val="auto"/>
              </w:rPr>
              <w:t>$</w:t>
            </w:r>
          </w:p>
        </w:tc>
        <w:tc>
          <w:tcPr>
            <w:tcW w:w="1680" w:type="dxa"/>
            <w:vAlign w:val="bottom"/>
          </w:tcPr>
          <w:p>
            <w:pPr>
              <w:jc w:val="right"/>
              <w:spacing w:after="0" w:line="216" w:lineRule="exact"/>
              <w:rPr>
                <w:sz w:val="20"/>
                <w:szCs w:val="20"/>
                <w:color w:val="auto"/>
              </w:rPr>
            </w:pPr>
            <w:r>
              <w:rPr>
                <w:rFonts w:ascii="Arial" w:cs="Arial" w:eastAsia="Arial" w:hAnsi="Arial"/>
                <w:sz w:val="20"/>
                <w:szCs w:val="20"/>
                <w:color w:val="auto"/>
              </w:rPr>
              <w:t>131</w:t>
            </w:r>
          </w:p>
        </w:tc>
        <w:tc>
          <w:tcPr>
            <w:tcW w:w="340" w:type="dxa"/>
            <w:vAlign w:val="bottom"/>
          </w:tcPr>
          <w:p>
            <w:pPr>
              <w:spacing w:after="0"/>
              <w:rPr>
                <w:sz w:val="18"/>
                <w:szCs w:val="18"/>
                <w:color w:val="auto"/>
              </w:rPr>
            </w:pPr>
          </w:p>
        </w:tc>
        <w:tc>
          <w:tcPr>
            <w:tcW w:w="680" w:type="dxa"/>
            <w:vAlign w:val="bottom"/>
          </w:tcPr>
          <w:p>
            <w:pPr>
              <w:spacing w:after="0" w:line="216" w:lineRule="exact"/>
              <w:rPr>
                <w:sz w:val="20"/>
                <w:szCs w:val="20"/>
                <w:color w:val="auto"/>
              </w:rPr>
            </w:pPr>
            <w:r>
              <w:rPr>
                <w:rFonts w:ascii="Arial" w:cs="Arial" w:eastAsia="Arial" w:hAnsi="Arial"/>
                <w:sz w:val="20"/>
                <w:szCs w:val="20"/>
                <w:color w:val="auto"/>
              </w:rPr>
              <w:t>$</w:t>
            </w:r>
          </w:p>
        </w:tc>
        <w:tc>
          <w:tcPr>
            <w:tcW w:w="1440" w:type="dxa"/>
            <w:vAlign w:val="bottom"/>
          </w:tcPr>
          <w:p>
            <w:pPr>
              <w:jc w:val="right"/>
              <w:spacing w:after="0" w:line="216" w:lineRule="exact"/>
              <w:rPr>
                <w:sz w:val="20"/>
                <w:szCs w:val="20"/>
                <w:color w:val="auto"/>
              </w:rPr>
            </w:pPr>
            <w:r>
              <w:rPr>
                <w:rFonts w:ascii="Arial" w:cs="Arial" w:eastAsia="Arial" w:hAnsi="Arial"/>
                <w:sz w:val="20"/>
                <w:szCs w:val="20"/>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shd w:val="clear" w:color="auto" w:fill="CFF0FC"/>
          </w:tcPr>
          <w:p>
            <w:pPr>
              <w:ind w:left="240"/>
              <w:spacing w:after="0" w:line="216" w:lineRule="exact"/>
              <w:rPr>
                <w:sz w:val="20"/>
                <w:szCs w:val="20"/>
                <w:color w:val="auto"/>
              </w:rPr>
            </w:pPr>
            <w:r>
              <w:rPr>
                <w:rFonts w:ascii="Arial" w:cs="Arial" w:eastAsia="Arial" w:hAnsi="Arial"/>
                <w:sz w:val="20"/>
                <w:szCs w:val="20"/>
                <w:color w:val="auto"/>
              </w:rPr>
              <w:t>Other building materials</w:t>
            </w:r>
          </w:p>
        </w:tc>
        <w:tc>
          <w:tcPr>
            <w:tcW w:w="13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11</w:t>
            </w:r>
          </w:p>
        </w:tc>
        <w:tc>
          <w:tcPr>
            <w:tcW w:w="3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120"/>
              <w:spacing w:after="0" w:line="209" w:lineRule="exact"/>
              <w:rPr>
                <w:sz w:val="20"/>
                <w:szCs w:val="20"/>
                <w:color w:val="auto"/>
              </w:rPr>
            </w:pPr>
            <w:r>
              <w:rPr>
                <w:rFonts w:ascii="Arial" w:cs="Arial" w:eastAsia="Arial" w:hAnsi="Arial"/>
                <w:sz w:val="20"/>
                <w:szCs w:val="20"/>
                <w:color w:val="auto"/>
              </w:rPr>
              <w:t>Total Building Materials business</w:t>
            </w: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jc w:val="right"/>
              <w:spacing w:after="0" w:line="209" w:lineRule="exact"/>
              <w:rPr>
                <w:sz w:val="20"/>
                <w:szCs w:val="20"/>
                <w:color w:val="auto"/>
              </w:rPr>
            </w:pPr>
            <w:r>
              <w:rPr>
                <w:rFonts w:ascii="Arial" w:cs="Arial" w:eastAsia="Arial" w:hAnsi="Arial"/>
                <w:sz w:val="20"/>
                <w:szCs w:val="20"/>
                <w:color w:val="auto"/>
              </w:rPr>
              <w:t>142</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jc w:val="right"/>
              <w:spacing w:after="0" w:line="209" w:lineRule="exact"/>
              <w:rPr>
                <w:sz w:val="20"/>
                <w:szCs w:val="20"/>
                <w:color w:val="auto"/>
              </w:rPr>
            </w:pPr>
            <w:r>
              <w:rPr>
                <w:rFonts w:ascii="Arial" w:cs="Arial" w:eastAsia="Arial" w:hAnsi="Arial"/>
                <w:sz w:val="20"/>
                <w:szCs w:val="20"/>
                <w:color w:val="auto"/>
              </w:rPr>
              <w:t>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120"/>
              <w:spacing w:after="0" w:line="216" w:lineRule="exact"/>
              <w:rPr>
                <w:sz w:val="20"/>
                <w:szCs w:val="20"/>
                <w:color w:val="auto"/>
              </w:rPr>
            </w:pPr>
            <w:r>
              <w:rPr>
                <w:rFonts w:ascii="Arial" w:cs="Arial" w:eastAsia="Arial" w:hAnsi="Arial"/>
                <w:sz w:val="20"/>
                <w:szCs w:val="20"/>
                <w:color w:val="auto"/>
              </w:rPr>
              <w:t>Specialties</w:t>
            </w:r>
          </w:p>
        </w:tc>
        <w:tc>
          <w:tcPr>
            <w:tcW w:w="1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11</w:t>
            </w: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line="216" w:lineRule="exact"/>
              <w:rPr>
                <w:sz w:val="20"/>
                <w:szCs w:val="20"/>
                <w:color w:val="auto"/>
              </w:rPr>
            </w:pPr>
            <w:r>
              <w:rPr>
                <w:rFonts w:ascii="Arial" w:cs="Arial" w:eastAsia="Arial" w:hAnsi="Arial"/>
                <w:sz w:val="20"/>
                <w:szCs w:val="20"/>
                <w:color w:val="auto"/>
              </w:rPr>
              <w:t>Corporate</w:t>
            </w:r>
          </w:p>
        </w:tc>
        <w:tc>
          <w:tcPr>
            <w:tcW w:w="13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w:t>
            </w:r>
          </w:p>
        </w:tc>
        <w:tc>
          <w:tcPr>
            <w:tcW w:w="3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00" w:type="dxa"/>
            <w:vAlign w:val="bottom"/>
            <w:tcBorders>
              <w:bottom w:val="single" w:sz="8" w:color="CFF0FC"/>
            </w:tcBorders>
            <w:shd w:val="clear" w:color="auto" w:fill="CFF0FC"/>
          </w:tcPr>
          <w:p>
            <w:pPr>
              <w:spacing w:after="0" w:line="209" w:lineRule="exact"/>
              <w:rPr>
                <w:sz w:val="20"/>
                <w:szCs w:val="20"/>
                <w:color w:val="auto"/>
              </w:rPr>
            </w:pPr>
            <w:r>
              <w:rPr>
                <w:rFonts w:ascii="Arial" w:cs="Arial" w:eastAsia="Arial" w:hAnsi="Arial"/>
                <w:sz w:val="20"/>
                <w:szCs w:val="20"/>
                <w:color w:val="auto"/>
              </w:rPr>
              <w:t>Total</w:t>
            </w:r>
          </w:p>
        </w:tc>
        <w:tc>
          <w:tcPr>
            <w:tcW w:w="13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01"/>
              <w:spacing w:after="0" w:line="209" w:lineRule="exact"/>
              <w:rPr>
                <w:sz w:val="20"/>
                <w:szCs w:val="20"/>
                <w:color w:val="auto"/>
              </w:rPr>
            </w:pPr>
            <w:r>
              <w:rPr>
                <w:rFonts w:ascii="Arial" w:cs="Arial" w:eastAsia="Arial" w:hAnsi="Arial"/>
                <w:sz w:val="20"/>
                <w:szCs w:val="20"/>
                <w:color w:val="auto"/>
                <w:w w:val="89"/>
              </w:rPr>
              <w:t>$</w:t>
            </w:r>
          </w:p>
        </w:tc>
        <w:tc>
          <w:tcPr>
            <w:tcW w:w="168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154</w:t>
            </w:r>
          </w:p>
        </w:tc>
        <w:tc>
          <w:tcPr>
            <w:tcW w:w="3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line="209"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128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-2579370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-2562860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-2579370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-2562860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-1448435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-591185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3" w:lineRule="exact"/>
        <w:rPr>
          <w:sz w:val="20"/>
          <w:szCs w:val="20"/>
          <w:color w:val="auto"/>
        </w:rPr>
      </w:pPr>
    </w:p>
    <w:p>
      <w:pPr>
        <w:ind w:left="300" w:hanging="292"/>
        <w:spacing w:after="0" w:line="257" w:lineRule="auto"/>
        <w:tabs>
          <w:tab w:leader="none" w:pos="244" w:val="left"/>
        </w:tabs>
        <w:numPr>
          <w:ilvl w:val="0"/>
          <w:numId w:val="6"/>
        </w:numPr>
        <w:rPr>
          <w:rFonts w:ascii="Arial" w:cs="Arial" w:eastAsia="Arial" w:hAnsi="Arial"/>
          <w:sz w:val="20"/>
          <w:szCs w:val="20"/>
          <w:i w:val="1"/>
          <w:iCs w:val="1"/>
          <w:color w:val="auto"/>
        </w:rPr>
      </w:pPr>
      <w:r>
        <w:rPr>
          <w:rFonts w:ascii="Arial" w:cs="Arial" w:eastAsia="Arial" w:hAnsi="Arial"/>
          <w:sz w:val="20"/>
          <w:szCs w:val="20"/>
          <w:i w:val="1"/>
          <w:iCs w:val="1"/>
          <w:color w:val="auto"/>
        </w:rPr>
        <w:t>Depreciation, depletion and amortization reflects the expense included in Cost of revenues and does not represent total depreciation, depletion and amortization.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Appendix</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MARTIN MARIETTA MATERIALS,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Balance Sheet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center"/>
              <w:ind w:right="161"/>
              <w:spacing w:after="0"/>
              <w:rPr>
                <w:sz w:val="20"/>
                <w:szCs w:val="20"/>
                <w:color w:val="auto"/>
              </w:rPr>
            </w:pPr>
            <w:r>
              <w:rPr>
                <w:rFonts w:ascii="Arial" w:cs="Arial" w:eastAsia="Arial" w:hAnsi="Arial"/>
                <w:sz w:val="20"/>
                <w:szCs w:val="20"/>
                <w:color w:val="auto"/>
                <w:w w:val="98"/>
              </w:rPr>
              <w:t>March 31,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3"/>
          </w:tcPr>
          <w:p>
            <w:pPr>
              <w:jc w:val="center"/>
              <w:ind w:right="460"/>
              <w:spacing w:after="0"/>
              <w:rPr>
                <w:sz w:val="20"/>
                <w:szCs w:val="20"/>
                <w:color w:val="auto"/>
              </w:rPr>
            </w:pPr>
            <w:r>
              <w:rPr>
                <w:rFonts w:ascii="Arial" w:cs="Arial" w:eastAsia="Arial" w:hAnsi="Arial"/>
                <w:sz w:val="20"/>
                <w:szCs w:val="20"/>
                <w:color w:val="auto"/>
                <w:w w:val="98"/>
              </w:rPr>
              <w:t>December 31,</w:t>
            </w:r>
          </w:p>
        </w:tc>
      </w:tr>
      <w:tr>
        <w:trPr>
          <w:trHeight w:val="238"/>
        </w:trPr>
        <w:tc>
          <w:tcPr>
            <w:tcW w:w="4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61"/>
              <w:spacing w:after="0"/>
              <w:rPr>
                <w:sz w:val="20"/>
                <w:szCs w:val="20"/>
                <w:color w:val="auto"/>
              </w:rPr>
            </w:pPr>
            <w:r>
              <w:rPr>
                <w:rFonts w:ascii="Arial" w:cs="Arial" w:eastAsia="Arial" w:hAnsi="Arial"/>
                <w:sz w:val="20"/>
                <w:szCs w:val="20"/>
                <w:color w:val="auto"/>
                <w:w w:val="98"/>
              </w:rPr>
              <w:t>2026</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color w:val="auto"/>
                <w:w w:val="98"/>
              </w:rPr>
              <w:t>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4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81"/>
              <w:spacing w:after="0" w:line="209" w:lineRule="exact"/>
              <w:rPr>
                <w:sz w:val="20"/>
                <w:szCs w:val="20"/>
                <w:color w:val="auto"/>
              </w:rPr>
            </w:pPr>
            <w:r>
              <w:rPr>
                <w:rFonts w:ascii="Arial" w:cs="Arial" w:eastAsia="Arial" w:hAnsi="Arial"/>
                <w:sz w:val="20"/>
                <w:szCs w:val="20"/>
                <w:color w:val="auto"/>
                <w:w w:val="98"/>
              </w:rPr>
              <w:t>Unaudited</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81"/>
              <w:spacing w:after="0" w:line="209" w:lineRule="exact"/>
              <w:rPr>
                <w:sz w:val="20"/>
                <w:szCs w:val="20"/>
                <w:color w:val="auto"/>
              </w:rPr>
            </w:pPr>
            <w:r>
              <w:rPr>
                <w:rFonts w:ascii="Arial" w:cs="Arial" w:eastAsia="Arial" w:hAnsi="Arial"/>
                <w:sz w:val="20"/>
                <w:szCs w:val="20"/>
                <w:color w:val="auto"/>
              </w:rPr>
              <w:t>Audited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4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41"/>
              <w:spacing w:after="0" w:line="209" w:lineRule="exact"/>
              <w:rPr>
                <w:sz w:val="20"/>
                <w:szCs w:val="20"/>
                <w:color w:val="auto"/>
              </w:rPr>
            </w:pPr>
            <w:r>
              <w:rPr>
                <w:rFonts w:ascii="Arial" w:cs="Arial" w:eastAsia="Arial" w:hAnsi="Arial"/>
                <w:sz w:val="20"/>
                <w:szCs w:val="20"/>
                <w:i w:val="1"/>
                <w:iCs w:val="1"/>
                <w:color w:val="auto"/>
              </w:rPr>
              <w:t>(In</w:t>
            </w:r>
          </w:p>
        </w:tc>
        <w:tc>
          <w:tcPr>
            <w:tcW w:w="1980" w:type="dxa"/>
            <w:vAlign w:val="bottom"/>
            <w:gridSpan w:val="3"/>
          </w:tcPr>
          <w:p>
            <w:pPr>
              <w:jc w:val="center"/>
              <w:ind w:right="1241"/>
              <w:spacing w:after="0" w:line="209" w:lineRule="exact"/>
              <w:rPr>
                <w:sz w:val="20"/>
                <w:szCs w:val="20"/>
                <w:color w:val="auto"/>
              </w:rPr>
            </w:pPr>
            <w:r>
              <w:rPr>
                <w:rFonts w:ascii="Arial" w:cs="Arial" w:eastAsia="Arial" w:hAnsi="Arial"/>
                <w:sz w:val="20"/>
                <w:szCs w:val="20"/>
                <w:i w:val="1"/>
                <w:iCs w:val="1"/>
                <w:color w:val="auto"/>
                <w:w w:val="87"/>
              </w:rPr>
              <w:t>millions)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6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ASSETS</w:t>
            </w:r>
          </w:p>
        </w:tc>
        <w:tc>
          <w:tcPr>
            <w:tcW w:w="2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60" w:type="dxa"/>
            <w:vAlign w:val="bottom"/>
          </w:tcPr>
          <w:p>
            <w:pPr>
              <w:ind w:left="80"/>
              <w:spacing w:after="0" w:line="216" w:lineRule="exact"/>
              <w:rPr>
                <w:sz w:val="20"/>
                <w:szCs w:val="20"/>
                <w:color w:val="auto"/>
              </w:rPr>
            </w:pPr>
            <w:r>
              <w:rPr>
                <w:rFonts w:ascii="Arial" w:cs="Arial" w:eastAsia="Arial" w:hAnsi="Arial"/>
                <w:sz w:val="20"/>
                <w:szCs w:val="20"/>
                <w:color w:val="auto"/>
              </w:rPr>
              <w:t>Cash and cash equivalents</w:t>
            </w:r>
          </w:p>
        </w:tc>
        <w:tc>
          <w:tcPr>
            <w:tcW w:w="2760" w:type="dxa"/>
            <w:vAlign w:val="bottom"/>
            <w:gridSpan w:val="2"/>
          </w:tcPr>
          <w:p>
            <w:pPr>
              <w:jc w:val="right"/>
              <w:ind w:right="41"/>
              <w:spacing w:after="0" w:line="216" w:lineRule="exact"/>
              <w:rPr>
                <w:sz w:val="20"/>
                <w:szCs w:val="20"/>
                <w:color w:val="auto"/>
              </w:rPr>
            </w:pPr>
            <w:r>
              <w:rPr>
                <w:rFonts w:ascii="Arial" w:cs="Arial" w:eastAsia="Arial" w:hAnsi="Arial"/>
                <w:sz w:val="20"/>
                <w:szCs w:val="20"/>
                <w:color w:val="auto"/>
              </w:rPr>
              <w:t>$</w:t>
            </w: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273</w:t>
            </w:r>
          </w:p>
        </w:tc>
        <w:tc>
          <w:tcPr>
            <w:tcW w:w="440" w:type="dxa"/>
            <w:vAlign w:val="bottom"/>
            <w:gridSpan w:val="2"/>
          </w:tcPr>
          <w:p>
            <w:pPr>
              <w:jc w:val="center"/>
              <w:ind w:left="121"/>
              <w:spacing w:after="0" w:line="216" w:lineRule="exact"/>
              <w:rPr>
                <w:sz w:val="20"/>
                <w:szCs w:val="20"/>
                <w:color w:val="auto"/>
              </w:rPr>
            </w:pPr>
            <w:r>
              <w:rPr>
                <w:rFonts w:ascii="Arial" w:cs="Arial" w:eastAsia="Arial" w:hAnsi="Arial"/>
                <w:sz w:val="20"/>
                <w:szCs w:val="20"/>
                <w:color w:val="auto"/>
                <w:w w:val="89"/>
              </w:rPr>
              <w:t>$</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60" w:type="dxa"/>
            <w:vAlign w:val="bottom"/>
            <w:shd w:val="clear" w:color="auto" w:fill="CFF0FC"/>
          </w:tcPr>
          <w:p>
            <w:pPr>
              <w:ind w:left="80"/>
              <w:spacing w:after="0" w:line="216" w:lineRule="exact"/>
              <w:rPr>
                <w:sz w:val="20"/>
                <w:szCs w:val="20"/>
                <w:color w:val="auto"/>
              </w:rPr>
            </w:pPr>
            <w:r>
              <w:rPr>
                <w:rFonts w:ascii="Arial" w:cs="Arial" w:eastAsia="Arial" w:hAnsi="Arial"/>
                <w:sz w:val="20"/>
                <w:szCs w:val="20"/>
                <w:color w:val="auto"/>
              </w:rPr>
              <w:t>Accounts receivable, net</w:t>
            </w:r>
          </w:p>
        </w:tc>
        <w:tc>
          <w:tcPr>
            <w:tcW w:w="2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780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723</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60" w:type="dxa"/>
            <w:vAlign w:val="bottom"/>
          </w:tcPr>
          <w:p>
            <w:pPr>
              <w:ind w:left="80"/>
              <w:spacing w:after="0" w:line="216" w:lineRule="exact"/>
              <w:rPr>
                <w:sz w:val="20"/>
                <w:szCs w:val="20"/>
                <w:color w:val="auto"/>
              </w:rPr>
            </w:pPr>
            <w:r>
              <w:rPr>
                <w:rFonts w:ascii="Arial" w:cs="Arial" w:eastAsia="Arial" w:hAnsi="Arial"/>
                <w:sz w:val="20"/>
                <w:szCs w:val="20"/>
                <w:color w:val="auto"/>
              </w:rPr>
              <w:t>Inventories, net</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1,213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1,078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60" w:type="dxa"/>
            <w:vAlign w:val="bottom"/>
            <w:shd w:val="clear" w:color="auto" w:fill="CFF0FC"/>
          </w:tcPr>
          <w:p>
            <w:pPr>
              <w:ind w:left="80"/>
              <w:spacing w:after="0" w:line="216" w:lineRule="exact"/>
              <w:rPr>
                <w:sz w:val="20"/>
                <w:szCs w:val="20"/>
                <w:color w:val="auto"/>
              </w:rPr>
            </w:pPr>
            <w:r>
              <w:rPr>
                <w:rFonts w:ascii="Arial" w:cs="Arial" w:eastAsia="Arial" w:hAnsi="Arial"/>
                <w:sz w:val="20"/>
                <w:szCs w:val="20"/>
                <w:color w:val="auto"/>
              </w:rPr>
              <w:t>Current assets held for sale</w:t>
            </w:r>
          </w:p>
        </w:tc>
        <w:tc>
          <w:tcPr>
            <w:tcW w:w="2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1,230</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60" w:type="dxa"/>
            <w:vAlign w:val="bottom"/>
          </w:tcPr>
          <w:p>
            <w:pPr>
              <w:ind w:left="80"/>
              <w:spacing w:after="0" w:line="216" w:lineRule="exact"/>
              <w:rPr>
                <w:sz w:val="20"/>
                <w:szCs w:val="20"/>
                <w:color w:val="auto"/>
              </w:rPr>
            </w:pPr>
            <w:r>
              <w:rPr>
                <w:rFonts w:ascii="Arial" w:cs="Arial" w:eastAsia="Arial" w:hAnsi="Arial"/>
                <w:sz w:val="20"/>
                <w:szCs w:val="20"/>
                <w:color w:val="auto"/>
              </w:rPr>
              <w:t>Other current assets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82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60" w:type="dxa"/>
            <w:vAlign w:val="bottom"/>
            <w:shd w:val="clear" w:color="auto" w:fill="CFF0FC"/>
          </w:tcPr>
          <w:p>
            <w:pPr>
              <w:ind w:left="80"/>
              <w:spacing w:after="0" w:line="216" w:lineRule="exact"/>
              <w:rPr>
                <w:sz w:val="20"/>
                <w:szCs w:val="20"/>
                <w:color w:val="auto"/>
              </w:rPr>
            </w:pPr>
            <w:r>
              <w:rPr>
                <w:rFonts w:ascii="Arial" w:cs="Arial" w:eastAsia="Arial" w:hAnsi="Arial"/>
                <w:sz w:val="20"/>
                <w:szCs w:val="20"/>
                <w:color w:val="auto"/>
              </w:rPr>
              <w:t>Property, plant and equipment, net</w:t>
            </w:r>
          </w:p>
        </w:tc>
        <w:tc>
          <w:tcPr>
            <w:tcW w:w="2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12,642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10,290</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60" w:type="dxa"/>
            <w:vAlign w:val="bottom"/>
          </w:tcPr>
          <w:p>
            <w:pPr>
              <w:ind w:left="80"/>
              <w:spacing w:after="0" w:line="216" w:lineRule="exact"/>
              <w:rPr>
                <w:sz w:val="20"/>
                <w:szCs w:val="20"/>
                <w:color w:val="auto"/>
              </w:rPr>
            </w:pPr>
            <w:r>
              <w:rPr>
                <w:rFonts w:ascii="Arial" w:cs="Arial" w:eastAsia="Arial" w:hAnsi="Arial"/>
                <w:sz w:val="20"/>
                <w:szCs w:val="20"/>
                <w:color w:val="auto"/>
              </w:rPr>
              <w:t>Intangible assets, net</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4,333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4,073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60" w:type="dxa"/>
            <w:vAlign w:val="bottom"/>
            <w:shd w:val="clear" w:color="auto" w:fill="CFF0FC"/>
          </w:tcPr>
          <w:p>
            <w:pPr>
              <w:ind w:left="80"/>
              <w:spacing w:after="0" w:line="216" w:lineRule="exact"/>
              <w:rPr>
                <w:sz w:val="20"/>
                <w:szCs w:val="20"/>
                <w:color w:val="auto"/>
              </w:rPr>
            </w:pPr>
            <w:r>
              <w:rPr>
                <w:rFonts w:ascii="Arial" w:cs="Arial" w:eastAsia="Arial" w:hAnsi="Arial"/>
                <w:sz w:val="20"/>
                <w:szCs w:val="20"/>
                <w:color w:val="auto"/>
              </w:rPr>
              <w:t>Operating lease right-of-use assets, net</w:t>
            </w:r>
          </w:p>
        </w:tc>
        <w:tc>
          <w:tcPr>
            <w:tcW w:w="2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381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367</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60" w:type="dxa"/>
            <w:vAlign w:val="bottom"/>
          </w:tcPr>
          <w:p>
            <w:pPr>
              <w:ind w:left="80"/>
              <w:spacing w:after="0" w:line="216" w:lineRule="exact"/>
              <w:rPr>
                <w:sz w:val="20"/>
                <w:szCs w:val="20"/>
                <w:color w:val="auto"/>
              </w:rPr>
            </w:pPr>
            <w:r>
              <w:rPr>
                <w:rFonts w:ascii="Arial" w:cs="Arial" w:eastAsia="Arial" w:hAnsi="Arial"/>
                <w:sz w:val="20"/>
                <w:szCs w:val="20"/>
                <w:color w:val="auto"/>
              </w:rPr>
              <w:t>Other noncurrent assets</w:t>
            </w:r>
          </w:p>
        </w:tc>
        <w:tc>
          <w:tcPr>
            <w:tcW w:w="2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785</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788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0"/>
        </w:trPr>
        <w:tc>
          <w:tcPr>
            <w:tcW w:w="476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20"/>
                <w:szCs w:val="20"/>
                <w:color w:val="auto"/>
              </w:rPr>
              <w:t>Total assets</w:t>
            </w:r>
          </w:p>
        </w:tc>
        <w:tc>
          <w:tcPr>
            <w:tcW w:w="25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41"/>
              <w:spacing w:after="0" w:line="196" w:lineRule="exact"/>
              <w:rPr>
                <w:sz w:val="20"/>
                <w:szCs w:val="20"/>
                <w:color w:val="auto"/>
              </w:rPr>
            </w:pPr>
            <w:r>
              <w:rPr>
                <w:rFonts w:ascii="Arial" w:cs="Arial" w:eastAsia="Arial" w:hAnsi="Arial"/>
                <w:sz w:val="20"/>
                <w:szCs w:val="20"/>
                <w:color w:val="auto"/>
                <w:w w:val="71"/>
              </w:rPr>
              <w:t>$</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20"/>
                <w:szCs w:val="20"/>
                <w:color w:val="auto"/>
              </w:rPr>
              <w:t>20,497</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center"/>
              <w:spacing w:after="0" w:line="196" w:lineRule="exact"/>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20"/>
                <w:szCs w:val="20"/>
                <w:color w:val="auto"/>
              </w:rPr>
              <w:t>18,711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Pr>
          <w:p>
            <w:pPr>
              <w:spacing w:after="0"/>
              <w:rPr>
                <w:sz w:val="21"/>
                <w:szCs w:val="21"/>
                <w:color w:val="auto"/>
              </w:rPr>
            </w:pPr>
          </w:p>
        </w:tc>
      </w:tr>
      <w:tr>
        <w:trPr>
          <w:trHeight w:val="197"/>
        </w:trPr>
        <w:tc>
          <w:tcPr>
            <w:tcW w:w="47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476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LIABILITIES AND EQUITY</w:t>
            </w:r>
          </w:p>
        </w:tc>
        <w:tc>
          <w:tcPr>
            <w:tcW w:w="2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60" w:type="dxa"/>
            <w:vAlign w:val="bottom"/>
          </w:tcPr>
          <w:p>
            <w:pPr>
              <w:ind w:left="80"/>
              <w:spacing w:after="0" w:line="216" w:lineRule="exact"/>
              <w:rPr>
                <w:sz w:val="20"/>
                <w:szCs w:val="20"/>
                <w:color w:val="auto"/>
              </w:rPr>
            </w:pPr>
            <w:r>
              <w:rPr>
                <w:rFonts w:ascii="Arial" w:cs="Arial" w:eastAsia="Arial" w:hAnsi="Arial"/>
                <w:sz w:val="20"/>
                <w:szCs w:val="20"/>
                <w:color w:val="auto"/>
              </w:rPr>
              <w:t>Current maturities of long-term debt</w:t>
            </w:r>
          </w:p>
        </w:tc>
        <w:tc>
          <w:tcPr>
            <w:tcW w:w="2760" w:type="dxa"/>
            <w:vAlign w:val="bottom"/>
            <w:gridSpan w:val="2"/>
          </w:tcPr>
          <w:p>
            <w:pPr>
              <w:jc w:val="right"/>
              <w:ind w:right="41"/>
              <w:spacing w:after="0" w:line="216" w:lineRule="exact"/>
              <w:rPr>
                <w:sz w:val="20"/>
                <w:szCs w:val="20"/>
                <w:color w:val="auto"/>
              </w:rPr>
            </w:pPr>
            <w:r>
              <w:rPr>
                <w:rFonts w:ascii="Arial" w:cs="Arial" w:eastAsia="Arial" w:hAnsi="Arial"/>
                <w:sz w:val="20"/>
                <w:szCs w:val="20"/>
                <w:color w:val="auto"/>
              </w:rPr>
              <w:t>$</w:t>
            </w: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440" w:type="dxa"/>
            <w:vAlign w:val="bottom"/>
            <w:gridSpan w:val="2"/>
          </w:tcPr>
          <w:p>
            <w:pPr>
              <w:jc w:val="center"/>
              <w:ind w:left="121"/>
              <w:spacing w:after="0" w:line="216" w:lineRule="exact"/>
              <w:rPr>
                <w:sz w:val="20"/>
                <w:szCs w:val="20"/>
                <w:color w:val="auto"/>
              </w:rPr>
            </w:pPr>
            <w:r>
              <w:rPr>
                <w:rFonts w:ascii="Arial" w:cs="Arial" w:eastAsia="Arial" w:hAnsi="Arial"/>
                <w:sz w:val="20"/>
                <w:szCs w:val="20"/>
                <w:color w:val="auto"/>
                <w:w w:val="89"/>
              </w:rPr>
              <w:t>$</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60" w:type="dxa"/>
            <w:vAlign w:val="bottom"/>
            <w:shd w:val="clear" w:color="auto" w:fill="CFF0FC"/>
          </w:tcPr>
          <w:p>
            <w:pPr>
              <w:ind w:left="80"/>
              <w:spacing w:after="0" w:line="216" w:lineRule="exact"/>
              <w:rPr>
                <w:sz w:val="20"/>
                <w:szCs w:val="20"/>
                <w:color w:val="auto"/>
              </w:rPr>
            </w:pPr>
            <w:r>
              <w:rPr>
                <w:rFonts w:ascii="Arial" w:cs="Arial" w:eastAsia="Arial" w:hAnsi="Arial"/>
                <w:sz w:val="20"/>
                <w:szCs w:val="20"/>
                <w:color w:val="auto"/>
              </w:rPr>
              <w:t>Other current liabilities</w:t>
            </w:r>
          </w:p>
        </w:tc>
        <w:tc>
          <w:tcPr>
            <w:tcW w:w="2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1,034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865</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60" w:type="dxa"/>
            <w:vAlign w:val="bottom"/>
          </w:tcPr>
          <w:p>
            <w:pPr>
              <w:ind w:left="80"/>
              <w:spacing w:after="0" w:line="216" w:lineRule="exact"/>
              <w:rPr>
                <w:sz w:val="20"/>
                <w:szCs w:val="20"/>
                <w:color w:val="auto"/>
              </w:rPr>
            </w:pPr>
            <w:r>
              <w:rPr>
                <w:rFonts w:ascii="Arial" w:cs="Arial" w:eastAsia="Arial" w:hAnsi="Arial"/>
                <w:sz w:val="20"/>
                <w:szCs w:val="20"/>
                <w:color w:val="auto"/>
              </w:rPr>
              <w:t>Long-term debt (excluding current maturities)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5,294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5,293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60" w:type="dxa"/>
            <w:vAlign w:val="bottom"/>
            <w:shd w:val="clear" w:color="auto" w:fill="CFF0FC"/>
          </w:tcPr>
          <w:p>
            <w:pPr>
              <w:ind w:left="80"/>
              <w:spacing w:after="0" w:line="216" w:lineRule="exact"/>
              <w:rPr>
                <w:sz w:val="20"/>
                <w:szCs w:val="20"/>
                <w:color w:val="auto"/>
              </w:rPr>
            </w:pPr>
            <w:r>
              <w:rPr>
                <w:rFonts w:ascii="Arial" w:cs="Arial" w:eastAsia="Arial" w:hAnsi="Arial"/>
                <w:sz w:val="20"/>
                <w:szCs w:val="20"/>
                <w:color w:val="auto"/>
              </w:rPr>
              <w:t>Other noncurrent liabilities</w:t>
            </w:r>
          </w:p>
        </w:tc>
        <w:tc>
          <w:tcPr>
            <w:tcW w:w="2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2,872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2,489</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60" w:type="dxa"/>
            <w:vAlign w:val="bottom"/>
          </w:tcPr>
          <w:p>
            <w:pPr>
              <w:ind w:left="80"/>
              <w:spacing w:after="0" w:line="216" w:lineRule="exact"/>
              <w:rPr>
                <w:sz w:val="20"/>
                <w:szCs w:val="20"/>
                <w:color w:val="auto"/>
              </w:rPr>
            </w:pPr>
            <w:r>
              <w:rPr>
                <w:rFonts w:ascii="Arial" w:cs="Arial" w:eastAsia="Arial" w:hAnsi="Arial"/>
                <w:sz w:val="20"/>
                <w:szCs w:val="20"/>
                <w:color w:val="auto"/>
              </w:rPr>
              <w:t>Total equity</w:t>
            </w:r>
          </w:p>
        </w:tc>
        <w:tc>
          <w:tcPr>
            <w:tcW w:w="2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11,297</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10,034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0"/>
        </w:trPr>
        <w:tc>
          <w:tcPr>
            <w:tcW w:w="476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20"/>
                <w:szCs w:val="20"/>
                <w:color w:val="auto"/>
              </w:rPr>
              <w:t>Total liabilities and equity</w:t>
            </w:r>
          </w:p>
        </w:tc>
        <w:tc>
          <w:tcPr>
            <w:tcW w:w="25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41"/>
              <w:spacing w:after="0" w:line="196" w:lineRule="exact"/>
              <w:rPr>
                <w:sz w:val="20"/>
                <w:szCs w:val="20"/>
                <w:color w:val="auto"/>
              </w:rPr>
            </w:pPr>
            <w:r>
              <w:rPr>
                <w:rFonts w:ascii="Arial" w:cs="Arial" w:eastAsia="Arial" w:hAnsi="Arial"/>
                <w:sz w:val="20"/>
                <w:szCs w:val="20"/>
                <w:color w:val="auto"/>
                <w:w w:val="71"/>
              </w:rPr>
              <w:t>$</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20"/>
                <w:szCs w:val="20"/>
                <w:color w:val="auto"/>
              </w:rPr>
              <w:t>20,497</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center"/>
              <w:spacing w:after="0" w:line="196" w:lineRule="exact"/>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20"/>
                <w:szCs w:val="20"/>
                <w:color w:val="auto"/>
              </w:rPr>
              <w:t>18,711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Pr>
          <w:p>
            <w:pPr>
              <w:spacing w:after="0"/>
              <w:rPr>
                <w:sz w:val="21"/>
                <w:szCs w:val="21"/>
                <w:color w:val="auto"/>
              </w:rPr>
            </w:pPr>
          </w:p>
        </w:tc>
      </w:tr>
      <w:tr>
        <w:trPr>
          <w:trHeight w:val="436"/>
        </w:trPr>
        <w:tc>
          <w:tcPr>
            <w:tcW w:w="4760" w:type="dxa"/>
            <w:vAlign w:val="bottom"/>
          </w:tcPr>
          <w:p>
            <w:pPr>
              <w:spacing w:after="0"/>
              <w:rPr>
                <w:sz w:val="24"/>
                <w:szCs w:val="24"/>
                <w:color w:val="auto"/>
              </w:rPr>
            </w:pPr>
          </w:p>
        </w:tc>
        <w:tc>
          <w:tcPr>
            <w:tcW w:w="2520" w:type="dxa"/>
            <w:vAlign w:val="bottom"/>
          </w:tcPr>
          <w:p>
            <w:pPr>
              <w:jc w:val="right"/>
              <w:ind w:right="1441"/>
              <w:spacing w:after="0"/>
              <w:rPr>
                <w:sz w:val="20"/>
                <w:szCs w:val="20"/>
                <w:color w:val="auto"/>
              </w:rPr>
            </w:pPr>
            <w:r>
              <w:rPr>
                <w:rFonts w:ascii="Arial" w:cs="Arial" w:eastAsia="Arial" w:hAnsi="Arial"/>
                <w:sz w:val="20"/>
                <w:szCs w:val="20"/>
                <w:color w:val="auto"/>
              </w:rPr>
              <w:t>12</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39"/>
        </w:trPr>
        <w:tc>
          <w:tcPr>
            <w:tcW w:w="47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-1927860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-1910715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-1927860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-1910715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-796290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-779145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-796290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-779145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Appendix</w:t>
      </w:r>
    </w:p>
    <w:p>
      <w:pPr>
        <w:spacing w:after="0" w:line="200" w:lineRule="exact"/>
        <w:rPr>
          <w:sz w:val="20"/>
          <w:szCs w:val="20"/>
          <w:color w:val="auto"/>
        </w:rPr>
      </w:pPr>
    </w:p>
    <w:p>
      <w:pPr>
        <w:spacing w:after="0" w:line="225"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MARTIN MARIETTA MATERIALS, INC.</w:t>
      </w:r>
    </w:p>
    <w:p>
      <w:pPr>
        <w:spacing w:after="0" w:line="6"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Unaudited Statements of Cash Flows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120" w:type="dxa"/>
            <w:vAlign w:val="bottom"/>
            <w:gridSpan w:val="4"/>
          </w:tcPr>
          <w:p>
            <w:pPr>
              <w:jc w:val="center"/>
              <w:ind w:left="401"/>
              <w:spacing w:after="0"/>
              <w:rPr>
                <w:sz w:val="20"/>
                <w:szCs w:val="20"/>
                <w:color w:val="auto"/>
              </w:rPr>
            </w:pPr>
            <w:r>
              <w:rPr>
                <w:rFonts w:ascii="Arial" w:cs="Arial" w:eastAsia="Arial" w:hAnsi="Arial"/>
                <w:sz w:val="20"/>
                <w:szCs w:val="20"/>
                <w:color w:val="auto"/>
                <w:w w:val="99"/>
              </w:rPr>
              <w:t>Three Months Ended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5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right="481"/>
              <w:spacing w:after="0"/>
              <w:rPr>
                <w:sz w:val="20"/>
                <w:szCs w:val="20"/>
                <w:color w:val="auto"/>
              </w:rPr>
            </w:pPr>
            <w:r>
              <w:rPr>
                <w:rFonts w:ascii="Arial" w:cs="Arial" w:eastAsia="Arial" w:hAnsi="Arial"/>
                <w:sz w:val="20"/>
                <w:szCs w:val="20"/>
                <w:color w:val="auto"/>
                <w:w w:val="96"/>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8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2026</w:t>
            </w:r>
          </w:p>
        </w:tc>
        <w:tc>
          <w:tcPr>
            <w:tcW w:w="600" w:type="dxa"/>
            <w:vAlign w:val="bottom"/>
            <w:tcBorders>
              <w:bottom w:val="single" w:sz="8" w:color="auto"/>
            </w:tcBorders>
          </w:tcPr>
          <w:p>
            <w:pPr>
              <w:spacing w:after="0"/>
              <w:rPr>
                <w:sz w:val="18"/>
                <w:szCs w:val="18"/>
                <w:color w:val="auto"/>
              </w:rPr>
            </w:pPr>
          </w:p>
        </w:tc>
        <w:tc>
          <w:tcPr>
            <w:tcW w:w="280" w:type="dxa"/>
            <w:vAlign w:val="bottom"/>
            <w:vMerge w:val="restart"/>
          </w:tcPr>
          <w:p>
            <w:pPr>
              <w:jc w:val="center"/>
              <w:spacing w:after="0"/>
              <w:rPr>
                <w:sz w:val="20"/>
                <w:szCs w:val="20"/>
                <w:color w:val="auto"/>
              </w:rPr>
            </w:pPr>
            <w:r>
              <w:rPr>
                <w:rFonts w:ascii="Arial" w:cs="Arial" w:eastAsia="Arial" w:hAnsi="Arial"/>
                <w:sz w:val="20"/>
                <w:szCs w:val="20"/>
                <w:i w:val="1"/>
                <w:iCs w:val="1"/>
                <w:color w:val="auto"/>
                <w:w w:val="89"/>
              </w:rPr>
              <w:t>in</w:t>
            </w:r>
          </w:p>
        </w:tc>
        <w:tc>
          <w:tcPr>
            <w:tcW w:w="1160" w:type="dxa"/>
            <w:vAlign w:val="bottom"/>
            <w:tcBorders>
              <w:bottom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80" w:type="dxa"/>
            <w:vAlign w:val="bottom"/>
            <w:gridSpan w:val="2"/>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280" w:type="dxa"/>
            <w:vAlign w:val="bottom"/>
            <w:vMerge w:val="continue"/>
          </w:tcPr>
          <w:p>
            <w:pPr>
              <w:spacing w:after="0"/>
              <w:rPr>
                <w:sz w:val="18"/>
                <w:szCs w:val="18"/>
                <w:color w:val="auto"/>
              </w:rPr>
            </w:pPr>
          </w:p>
        </w:tc>
        <w:tc>
          <w:tcPr>
            <w:tcW w:w="1160" w:type="dxa"/>
            <w:vAlign w:val="bottom"/>
          </w:tcPr>
          <w:p>
            <w:pPr>
              <w:spacing w:after="0" w:line="209" w:lineRule="exact"/>
              <w:rPr>
                <w:sz w:val="20"/>
                <w:szCs w:val="20"/>
                <w:color w:val="auto"/>
              </w:rPr>
            </w:pPr>
            <w:r>
              <w:rPr>
                <w:rFonts w:ascii="Arial" w:cs="Arial" w:eastAsia="Arial" w:hAnsi="Arial"/>
                <w:sz w:val="20"/>
                <w:szCs w:val="20"/>
                <w:i w:val="1"/>
                <w:iCs w:val="1"/>
                <w:color w:val="auto"/>
              </w:rPr>
              <w:t>Millions)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Cash Flows from Operating Activities:</w:t>
            </w:r>
          </w:p>
        </w:tc>
        <w:tc>
          <w:tcPr>
            <w:tcW w:w="2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line="216" w:lineRule="exact"/>
              <w:rPr>
                <w:sz w:val="20"/>
                <w:szCs w:val="20"/>
                <w:color w:val="auto"/>
              </w:rPr>
            </w:pPr>
            <w:r>
              <w:rPr>
                <w:rFonts w:ascii="Arial" w:cs="Arial" w:eastAsia="Arial" w:hAnsi="Arial"/>
                <w:sz w:val="20"/>
                <w:szCs w:val="20"/>
                <w:color w:val="auto"/>
              </w:rPr>
              <w:t>Consolidated net earnings</w:t>
            </w:r>
          </w:p>
        </w:tc>
        <w:tc>
          <w:tcPr>
            <w:tcW w:w="3080" w:type="dxa"/>
            <w:vAlign w:val="bottom"/>
            <w:gridSpan w:val="2"/>
          </w:tcPr>
          <w:p>
            <w:pPr>
              <w:jc w:val="right"/>
              <w:ind w:right="861"/>
              <w:spacing w:after="0" w:line="216" w:lineRule="exact"/>
              <w:rPr>
                <w:sz w:val="20"/>
                <w:szCs w:val="20"/>
                <w:color w:val="auto"/>
              </w:rPr>
            </w:pPr>
            <w:r>
              <w:rPr>
                <w:rFonts w:ascii="Arial" w:cs="Arial" w:eastAsia="Arial" w:hAnsi="Arial"/>
                <w:sz w:val="20"/>
                <w:szCs w:val="20"/>
                <w:color w:val="auto"/>
              </w:rPr>
              <w:t>$</w:t>
            </w:r>
          </w:p>
        </w:tc>
        <w:tc>
          <w:tcPr>
            <w:tcW w:w="600" w:type="dxa"/>
            <w:vAlign w:val="bottom"/>
          </w:tcPr>
          <w:p>
            <w:pPr>
              <w:jc w:val="right"/>
              <w:spacing w:after="0" w:line="216" w:lineRule="exact"/>
              <w:rPr>
                <w:sz w:val="20"/>
                <w:szCs w:val="20"/>
                <w:color w:val="auto"/>
              </w:rPr>
            </w:pPr>
            <w:r>
              <w:rPr>
                <w:rFonts w:ascii="Arial" w:cs="Arial" w:eastAsia="Arial" w:hAnsi="Arial"/>
                <w:sz w:val="20"/>
                <w:szCs w:val="20"/>
                <w:color w:val="auto"/>
              </w:rPr>
              <w:t>1,513</w:t>
            </w:r>
          </w:p>
        </w:tc>
        <w:tc>
          <w:tcPr>
            <w:tcW w:w="280" w:type="dxa"/>
            <w:vAlign w:val="bottom"/>
          </w:tcPr>
          <w:p>
            <w:pPr>
              <w:spacing w:after="0"/>
              <w:rPr>
                <w:sz w:val="18"/>
                <w:szCs w:val="18"/>
                <w:color w:val="auto"/>
              </w:rPr>
            </w:pPr>
          </w:p>
        </w:tc>
        <w:tc>
          <w:tcPr>
            <w:tcW w:w="1160" w:type="dxa"/>
            <w:vAlign w:val="bottom"/>
          </w:tcPr>
          <w:p>
            <w:pPr>
              <w:spacing w:after="0" w:line="216" w:lineRule="exact"/>
              <w:rPr>
                <w:sz w:val="20"/>
                <w:szCs w:val="20"/>
                <w:color w:val="auto"/>
              </w:rPr>
            </w:pPr>
            <w:r>
              <w:rPr>
                <w:rFonts w:ascii="Arial" w:cs="Arial" w:eastAsia="Arial" w:hAnsi="Arial"/>
                <w:sz w:val="20"/>
                <w:szCs w:val="20"/>
                <w:color w:val="auto"/>
              </w:rPr>
              <w:t>$</w:t>
            </w:r>
          </w:p>
        </w:tc>
        <w:tc>
          <w:tcPr>
            <w:tcW w:w="520" w:type="dxa"/>
            <w:vAlign w:val="bottom"/>
          </w:tcPr>
          <w:p>
            <w:pPr>
              <w:jc w:val="right"/>
              <w:spacing w:after="0" w:line="216" w:lineRule="exact"/>
              <w:rPr>
                <w:sz w:val="20"/>
                <w:szCs w:val="20"/>
                <w:color w:val="auto"/>
              </w:rPr>
            </w:pPr>
            <w:r>
              <w:rPr>
                <w:rFonts w:ascii="Arial" w:cs="Arial" w:eastAsia="Arial" w:hAnsi="Arial"/>
                <w:sz w:val="20"/>
                <w:szCs w:val="20"/>
                <w:color w:val="auto"/>
              </w:rPr>
              <w:t>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50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w w:val="98"/>
              </w:rPr>
              <w:t>Adjustments to reconcile consolidated net earnings to net cash</w:t>
            </w:r>
          </w:p>
        </w:tc>
        <w:tc>
          <w:tcPr>
            <w:tcW w:w="20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00" w:type="dxa"/>
            <w:vAlign w:val="bottom"/>
            <w:shd w:val="clear" w:color="auto" w:fill="CFF0FC"/>
          </w:tcPr>
          <w:p>
            <w:pPr>
              <w:ind w:left="180"/>
              <w:spacing w:after="0"/>
              <w:rPr>
                <w:sz w:val="20"/>
                <w:szCs w:val="20"/>
                <w:color w:val="auto"/>
              </w:rPr>
            </w:pPr>
            <w:r>
              <w:rPr>
                <w:rFonts w:ascii="Arial" w:cs="Arial" w:eastAsia="Arial" w:hAnsi="Arial"/>
                <w:sz w:val="20"/>
                <w:szCs w:val="20"/>
                <w:color w:val="auto"/>
              </w:rPr>
              <w:t>provided by operating activities:</w:t>
            </w:r>
          </w:p>
        </w:tc>
        <w:tc>
          <w:tcPr>
            <w:tcW w:w="2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line="216" w:lineRule="exact"/>
              <w:rPr>
                <w:sz w:val="20"/>
                <w:szCs w:val="20"/>
                <w:color w:val="auto"/>
              </w:rPr>
            </w:pPr>
            <w:r>
              <w:rPr>
                <w:rFonts w:ascii="Arial" w:cs="Arial" w:eastAsia="Arial" w:hAnsi="Arial"/>
                <w:sz w:val="20"/>
                <w:szCs w:val="20"/>
                <w:color w:val="auto"/>
              </w:rPr>
              <w:t>Depreciation, depletion and amortization</w:t>
            </w: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line="216" w:lineRule="exact"/>
              <w:rPr>
                <w:sz w:val="20"/>
                <w:szCs w:val="20"/>
                <w:color w:val="auto"/>
              </w:rPr>
            </w:pPr>
            <w:r>
              <w:rPr>
                <w:rFonts w:ascii="Arial" w:cs="Arial" w:eastAsia="Arial" w:hAnsi="Arial"/>
                <w:sz w:val="20"/>
                <w:szCs w:val="20"/>
                <w:color w:val="auto"/>
              </w:rPr>
              <w:t>167</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line="216" w:lineRule="exact"/>
              <w:rPr>
                <w:sz w:val="20"/>
                <w:szCs w:val="20"/>
                <w:color w:val="auto"/>
              </w:rPr>
            </w:pPr>
            <w:r>
              <w:rPr>
                <w:rFonts w:ascii="Arial" w:cs="Arial" w:eastAsia="Arial" w:hAnsi="Arial"/>
                <w:sz w:val="20"/>
                <w:szCs w:val="20"/>
                <w:color w:val="auto"/>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140"/>
              <w:spacing w:after="0" w:line="216" w:lineRule="exact"/>
              <w:rPr>
                <w:sz w:val="20"/>
                <w:szCs w:val="20"/>
                <w:color w:val="auto"/>
              </w:rPr>
            </w:pPr>
            <w:r>
              <w:rPr>
                <w:rFonts w:ascii="Arial" w:cs="Arial" w:eastAsia="Arial" w:hAnsi="Arial"/>
                <w:sz w:val="20"/>
                <w:szCs w:val="20"/>
                <w:color w:val="auto"/>
              </w:rPr>
              <w:t>Stock-based compensation expense</w:t>
            </w:r>
          </w:p>
        </w:tc>
        <w:tc>
          <w:tcPr>
            <w:tcW w:w="2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31</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line="216" w:lineRule="exact"/>
              <w:rPr>
                <w:sz w:val="20"/>
                <w:szCs w:val="20"/>
                <w:color w:val="auto"/>
              </w:rPr>
            </w:pPr>
            <w:r>
              <w:rPr>
                <w:rFonts w:ascii="Arial" w:cs="Arial" w:eastAsia="Arial" w:hAnsi="Arial"/>
                <w:sz w:val="20"/>
                <w:szCs w:val="20"/>
                <w:color w:val="auto"/>
              </w:rPr>
              <w:t>(Gain) Loss on divestitures and sales of assets</w:t>
            </w: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gridSpan w:val="2"/>
          </w:tcPr>
          <w:p>
            <w:pPr>
              <w:jc w:val="right"/>
              <w:ind w:right="121"/>
              <w:spacing w:after="0" w:line="216" w:lineRule="exact"/>
              <w:rPr>
                <w:sz w:val="20"/>
                <w:szCs w:val="20"/>
                <w:color w:val="auto"/>
              </w:rPr>
            </w:pPr>
            <w:r>
              <w:rPr>
                <w:rFonts w:ascii="Arial" w:cs="Arial" w:eastAsia="Arial" w:hAnsi="Arial"/>
                <w:sz w:val="20"/>
                <w:szCs w:val="20"/>
                <w:color w:val="auto"/>
              </w:rPr>
              <w:t>(1,965)</w:t>
            </w:r>
          </w:p>
        </w:tc>
        <w:tc>
          <w:tcPr>
            <w:tcW w:w="1160" w:type="dxa"/>
            <w:vAlign w:val="bottom"/>
          </w:tcPr>
          <w:p>
            <w:pPr>
              <w:spacing w:after="0"/>
              <w:rPr>
                <w:sz w:val="18"/>
                <w:szCs w:val="18"/>
                <w:color w:val="auto"/>
              </w:rPr>
            </w:pPr>
          </w:p>
        </w:tc>
        <w:tc>
          <w:tcPr>
            <w:tcW w:w="520" w:type="dxa"/>
            <w:vAlign w:val="bottom"/>
          </w:tcPr>
          <w:p>
            <w:pPr>
              <w:jc w:val="right"/>
              <w:spacing w:after="0" w:line="216" w:lineRule="exact"/>
              <w:rPr>
                <w:sz w:val="20"/>
                <w:szCs w:val="20"/>
                <w:color w:val="auto"/>
              </w:rPr>
            </w:pPr>
            <w:r>
              <w:rPr>
                <w:rFonts w:ascii="Arial" w:cs="Arial" w:eastAsia="Arial" w:hAnsi="Arial"/>
                <w:sz w:val="20"/>
                <w:szCs w:val="20"/>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140"/>
              <w:spacing w:after="0" w:line="216" w:lineRule="exact"/>
              <w:rPr>
                <w:sz w:val="20"/>
                <w:szCs w:val="20"/>
                <w:color w:val="auto"/>
              </w:rPr>
            </w:pPr>
            <w:r>
              <w:rPr>
                <w:rFonts w:ascii="Arial" w:cs="Arial" w:eastAsia="Arial" w:hAnsi="Arial"/>
                <w:sz w:val="20"/>
                <w:szCs w:val="20"/>
                <w:color w:val="auto"/>
              </w:rPr>
              <w:t>Deferred income taxes, net</w:t>
            </w:r>
          </w:p>
        </w:tc>
        <w:tc>
          <w:tcPr>
            <w:tcW w:w="2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277</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line="216" w:lineRule="exact"/>
              <w:rPr>
                <w:sz w:val="20"/>
                <w:szCs w:val="20"/>
                <w:color w:val="auto"/>
              </w:rPr>
            </w:pPr>
            <w:r>
              <w:rPr>
                <w:rFonts w:ascii="Arial" w:cs="Arial" w:eastAsia="Arial" w:hAnsi="Arial"/>
                <w:sz w:val="20"/>
                <w:szCs w:val="20"/>
                <w:color w:val="auto"/>
              </w:rPr>
              <w:t>Other items, net</w:t>
            </w: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line="216" w:lineRule="exact"/>
              <w:rPr>
                <w:sz w:val="20"/>
                <w:szCs w:val="20"/>
                <w:color w:val="auto"/>
              </w:rPr>
            </w:pPr>
            <w:r>
              <w:rPr>
                <w:rFonts w:ascii="Arial" w:cs="Arial" w:eastAsia="Arial" w:hAnsi="Arial"/>
                <w:sz w:val="20"/>
                <w:szCs w:val="20"/>
                <w:color w:val="auto"/>
              </w:rPr>
              <w:t>3</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194"/>
        </w:trPr>
        <w:tc>
          <w:tcPr>
            <w:tcW w:w="5500" w:type="dxa"/>
            <w:vAlign w:val="bottom"/>
            <w:shd w:val="clear" w:color="auto" w:fill="CFF0FC"/>
          </w:tcPr>
          <w:p>
            <w:pPr>
              <w:ind w:left="140"/>
              <w:spacing w:after="0" w:line="194" w:lineRule="exact"/>
              <w:rPr>
                <w:sz w:val="20"/>
                <w:szCs w:val="20"/>
                <w:color w:val="auto"/>
              </w:rPr>
            </w:pPr>
            <w:r>
              <w:rPr>
                <w:rFonts w:ascii="Arial" w:cs="Arial" w:eastAsia="Arial" w:hAnsi="Arial"/>
                <w:sz w:val="20"/>
                <w:szCs w:val="20"/>
                <w:color w:val="auto"/>
              </w:rPr>
              <w:t>Changes in operating assets and liabilities, net of effects of</w:t>
            </w:r>
          </w:p>
        </w:tc>
        <w:tc>
          <w:tcPr>
            <w:tcW w:w="20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acquisitions and divestitures:</w:t>
            </w:r>
          </w:p>
        </w:tc>
        <w:tc>
          <w:tcPr>
            <w:tcW w:w="2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80"/>
              <w:spacing w:after="0" w:line="216" w:lineRule="exact"/>
              <w:rPr>
                <w:sz w:val="20"/>
                <w:szCs w:val="20"/>
                <w:color w:val="auto"/>
              </w:rPr>
            </w:pPr>
            <w:r>
              <w:rPr>
                <w:rFonts w:ascii="Arial" w:cs="Arial" w:eastAsia="Arial" w:hAnsi="Arial"/>
                <w:sz w:val="20"/>
                <w:szCs w:val="20"/>
                <w:color w:val="auto"/>
              </w:rPr>
              <w:t>Accounts receivable, net</w:t>
            </w: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gridSpan w:val="2"/>
          </w:tcPr>
          <w:p>
            <w:pPr>
              <w:jc w:val="right"/>
              <w:ind w:right="121"/>
              <w:spacing w:after="0" w:line="216" w:lineRule="exact"/>
              <w:rPr>
                <w:sz w:val="20"/>
                <w:szCs w:val="20"/>
                <w:color w:val="auto"/>
              </w:rPr>
            </w:pPr>
            <w:r>
              <w:rPr>
                <w:rFonts w:ascii="Arial" w:cs="Arial" w:eastAsia="Arial" w:hAnsi="Arial"/>
                <w:sz w:val="20"/>
                <w:szCs w:val="20"/>
                <w:color w:val="auto"/>
              </w:rPr>
              <w:t>(57)</w:t>
            </w:r>
          </w:p>
        </w:tc>
        <w:tc>
          <w:tcPr>
            <w:tcW w:w="1160" w:type="dxa"/>
            <w:vAlign w:val="bottom"/>
          </w:tcPr>
          <w:p>
            <w:pPr>
              <w:spacing w:after="0"/>
              <w:rPr>
                <w:sz w:val="18"/>
                <w:szCs w:val="18"/>
                <w:color w:val="auto"/>
              </w:rPr>
            </w:pPr>
          </w:p>
        </w:tc>
        <w:tc>
          <w:tcPr>
            <w:tcW w:w="62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(66)</w:t>
            </w: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280"/>
              <w:spacing w:after="0" w:line="216" w:lineRule="exact"/>
              <w:rPr>
                <w:sz w:val="20"/>
                <w:szCs w:val="20"/>
                <w:color w:val="auto"/>
              </w:rPr>
            </w:pPr>
            <w:r>
              <w:rPr>
                <w:rFonts w:ascii="Arial" w:cs="Arial" w:eastAsia="Arial" w:hAnsi="Arial"/>
                <w:sz w:val="20"/>
                <w:szCs w:val="20"/>
                <w:color w:val="auto"/>
              </w:rPr>
              <w:t>Inventories, net</w:t>
            </w:r>
          </w:p>
        </w:tc>
        <w:tc>
          <w:tcPr>
            <w:tcW w:w="2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1"/>
              <w:spacing w:after="0" w:line="216" w:lineRule="exact"/>
              <w:rPr>
                <w:sz w:val="20"/>
                <w:szCs w:val="20"/>
                <w:color w:val="auto"/>
              </w:rPr>
            </w:pPr>
            <w:r>
              <w:rPr>
                <w:rFonts w:ascii="Arial" w:cs="Arial" w:eastAsia="Arial" w:hAnsi="Arial"/>
                <w:sz w:val="20"/>
                <w:szCs w:val="20"/>
                <w:color w:val="auto"/>
              </w:rPr>
              <w:t>(22)</w:t>
            </w:r>
          </w:p>
        </w:tc>
        <w:tc>
          <w:tcPr>
            <w:tcW w:w="11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line="216" w:lineRule="exact"/>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216"/>
        </w:trPr>
        <w:tc>
          <w:tcPr>
            <w:tcW w:w="5500" w:type="dxa"/>
            <w:vAlign w:val="bottom"/>
          </w:tcPr>
          <w:p>
            <w:pPr>
              <w:ind w:left="280"/>
              <w:spacing w:after="0" w:line="216" w:lineRule="exact"/>
              <w:rPr>
                <w:sz w:val="20"/>
                <w:szCs w:val="20"/>
                <w:color w:val="auto"/>
              </w:rPr>
            </w:pPr>
            <w:r>
              <w:rPr>
                <w:rFonts w:ascii="Arial" w:cs="Arial" w:eastAsia="Arial" w:hAnsi="Arial"/>
                <w:sz w:val="20"/>
                <w:szCs w:val="20"/>
                <w:color w:val="auto"/>
              </w:rPr>
              <w:t>Accounts payable</w:t>
            </w: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line="216" w:lineRule="exact"/>
              <w:rPr>
                <w:sz w:val="20"/>
                <w:szCs w:val="20"/>
                <w:color w:val="auto"/>
              </w:rPr>
            </w:pPr>
            <w:r>
              <w:rPr>
                <w:rFonts w:ascii="Arial" w:cs="Arial" w:eastAsia="Arial" w:hAnsi="Arial"/>
                <w:sz w:val="20"/>
                <w:szCs w:val="20"/>
                <w:color w:val="auto"/>
              </w:rPr>
              <w:t>35</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line="216" w:lineRule="exact"/>
              <w:rPr>
                <w:sz w:val="20"/>
                <w:szCs w:val="20"/>
                <w:color w:val="auto"/>
              </w:rPr>
            </w:pPr>
            <w:r>
              <w:rPr>
                <w:rFonts w:ascii="Arial" w:cs="Arial" w:eastAsia="Arial" w:hAnsi="Arial"/>
                <w:sz w:val="20"/>
                <w:szCs w:val="20"/>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Borders>
              <w:bottom w:val="single" w:sz="8" w:color="CFF0FC"/>
            </w:tcBorders>
            <w:shd w:val="clear" w:color="auto" w:fill="CFF0FC"/>
          </w:tcPr>
          <w:p>
            <w:pPr>
              <w:ind w:left="280"/>
              <w:spacing w:after="0" w:line="216" w:lineRule="exact"/>
              <w:rPr>
                <w:sz w:val="20"/>
                <w:szCs w:val="20"/>
                <w:color w:val="auto"/>
              </w:rPr>
            </w:pPr>
            <w:r>
              <w:rPr>
                <w:rFonts w:ascii="Arial" w:cs="Arial" w:eastAsia="Arial" w:hAnsi="Arial"/>
                <w:sz w:val="20"/>
                <w:szCs w:val="20"/>
                <w:color w:val="auto"/>
              </w:rPr>
              <w:t>Other assets and liabilities, net</w:t>
            </w:r>
          </w:p>
        </w:tc>
        <w:tc>
          <w:tcPr>
            <w:tcW w:w="20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245</w:t>
            </w:r>
          </w:p>
        </w:tc>
        <w:tc>
          <w:tcPr>
            <w:tcW w:w="2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13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spacing w:after="0" w:line="209" w:lineRule="exact"/>
              <w:rPr>
                <w:sz w:val="20"/>
                <w:szCs w:val="20"/>
                <w:color w:val="auto"/>
              </w:rPr>
            </w:pPr>
            <w:r>
              <w:rPr>
                <w:rFonts w:ascii="Arial" w:cs="Arial" w:eastAsia="Arial" w:hAnsi="Arial"/>
                <w:sz w:val="20"/>
                <w:szCs w:val="20"/>
                <w:color w:val="auto"/>
              </w:rPr>
              <w:t>Net Cash Provided by Operating Activities</w:t>
            </w:r>
          </w:p>
        </w:tc>
        <w:tc>
          <w:tcPr>
            <w:tcW w:w="20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227</w:t>
            </w:r>
          </w:p>
        </w:tc>
        <w:tc>
          <w:tcPr>
            <w:tcW w:w="2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line="216" w:lineRule="exact"/>
              <w:rPr>
                <w:sz w:val="20"/>
                <w:szCs w:val="20"/>
                <w:color w:val="auto"/>
              </w:rPr>
            </w:pPr>
            <w:r>
              <w:rPr>
                <w:rFonts w:ascii="Arial" w:cs="Arial" w:eastAsia="Arial" w:hAnsi="Arial"/>
                <w:sz w:val="20"/>
                <w:szCs w:val="20"/>
                <w:color w:val="auto"/>
              </w:rPr>
              <w:t>Cash Flows from Investing Activities:</w:t>
            </w: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140"/>
              <w:spacing w:after="0" w:line="216" w:lineRule="exact"/>
              <w:rPr>
                <w:sz w:val="20"/>
                <w:szCs w:val="20"/>
                <w:color w:val="auto"/>
              </w:rPr>
            </w:pPr>
            <w:r>
              <w:rPr>
                <w:rFonts w:ascii="Arial" w:cs="Arial" w:eastAsia="Arial" w:hAnsi="Arial"/>
                <w:sz w:val="20"/>
                <w:szCs w:val="20"/>
                <w:color w:val="auto"/>
              </w:rPr>
              <w:t>Additions to property, plant and equipment</w:t>
            </w:r>
          </w:p>
        </w:tc>
        <w:tc>
          <w:tcPr>
            <w:tcW w:w="2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1"/>
              <w:spacing w:after="0" w:line="216" w:lineRule="exact"/>
              <w:rPr>
                <w:sz w:val="20"/>
                <w:szCs w:val="20"/>
                <w:color w:val="auto"/>
              </w:rPr>
            </w:pPr>
            <w:r>
              <w:rPr>
                <w:rFonts w:ascii="Arial" w:cs="Arial" w:eastAsia="Arial" w:hAnsi="Arial"/>
                <w:sz w:val="20"/>
                <w:szCs w:val="20"/>
                <w:color w:val="auto"/>
              </w:rPr>
              <w:t>(186)</w:t>
            </w:r>
          </w:p>
        </w:tc>
        <w:tc>
          <w:tcPr>
            <w:tcW w:w="11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line="216" w:lineRule="exact"/>
              <w:rPr>
                <w:sz w:val="20"/>
                <w:szCs w:val="20"/>
                <w:color w:val="auto"/>
              </w:rPr>
            </w:pPr>
            <w:r>
              <w:rPr>
                <w:rFonts w:ascii="Arial" w:cs="Arial" w:eastAsia="Arial" w:hAnsi="Arial"/>
                <w:sz w:val="20"/>
                <w:szCs w:val="20"/>
                <w:color w:val="auto"/>
              </w:rPr>
              <w:t>(233)</w:t>
            </w: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line="216" w:lineRule="exact"/>
              <w:rPr>
                <w:sz w:val="20"/>
                <w:szCs w:val="20"/>
                <w:color w:val="auto"/>
              </w:rPr>
            </w:pPr>
            <w:r>
              <w:rPr>
                <w:rFonts w:ascii="Arial" w:cs="Arial" w:eastAsia="Arial" w:hAnsi="Arial"/>
                <w:sz w:val="20"/>
                <w:szCs w:val="20"/>
                <w:color w:val="auto"/>
              </w:rPr>
              <w:t>Acquisitions, net of cash acquired</w:t>
            </w: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line="216" w:lineRule="exact"/>
              <w:rPr>
                <w:sz w:val="20"/>
                <w:szCs w:val="20"/>
                <w:color w:val="auto"/>
              </w:rPr>
            </w:pPr>
            <w:r>
              <w:rPr>
                <w:rFonts w:ascii="Arial" w:cs="Arial" w:eastAsia="Arial" w:hAnsi="Arial"/>
                <w:sz w:val="20"/>
                <w:szCs w:val="20"/>
                <w:color w:val="auto"/>
              </w:rPr>
              <w:t>20</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2"/>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140"/>
              <w:spacing w:after="0" w:line="216" w:lineRule="exact"/>
              <w:rPr>
                <w:sz w:val="20"/>
                <w:szCs w:val="20"/>
                <w:color w:val="auto"/>
              </w:rPr>
            </w:pPr>
            <w:r>
              <w:rPr>
                <w:rFonts w:ascii="Arial" w:cs="Arial" w:eastAsia="Arial" w:hAnsi="Arial"/>
                <w:sz w:val="20"/>
                <w:szCs w:val="20"/>
                <w:color w:val="auto"/>
              </w:rPr>
              <w:t>Proceeds from divestitures and sales of assets</w:t>
            </w:r>
          </w:p>
        </w:tc>
        <w:tc>
          <w:tcPr>
            <w:tcW w:w="2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452</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line="216" w:lineRule="exact"/>
              <w:rPr>
                <w:sz w:val="20"/>
                <w:szCs w:val="20"/>
                <w:color w:val="auto"/>
              </w:rPr>
            </w:pPr>
            <w:r>
              <w:rPr>
                <w:rFonts w:ascii="Arial" w:cs="Arial" w:eastAsia="Arial" w:hAnsi="Arial"/>
                <w:sz w:val="20"/>
                <w:szCs w:val="20"/>
                <w:color w:val="auto"/>
              </w:rPr>
              <w:t>Investments in limited liability company</w:t>
            </w: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gridSpan w:val="2"/>
          </w:tcPr>
          <w:p>
            <w:pPr>
              <w:jc w:val="right"/>
              <w:ind w:right="201"/>
              <w:spacing w:after="0" w:line="216" w:lineRule="exact"/>
              <w:rPr>
                <w:sz w:val="20"/>
                <w:szCs w:val="20"/>
                <w:color w:val="auto"/>
              </w:rPr>
            </w:pPr>
            <w:r>
              <w:rPr>
                <w:rFonts w:ascii="Arial" w:cs="Arial" w:eastAsia="Arial" w:hAnsi="Arial"/>
                <w:sz w:val="20"/>
                <w:szCs w:val="20"/>
                <w:color w:val="auto"/>
              </w:rPr>
              <w:t>—</w:t>
            </w:r>
          </w:p>
        </w:tc>
        <w:tc>
          <w:tcPr>
            <w:tcW w:w="1160" w:type="dxa"/>
            <w:vAlign w:val="bottom"/>
          </w:tcPr>
          <w:p>
            <w:pPr>
              <w:spacing w:after="0"/>
              <w:rPr>
                <w:sz w:val="18"/>
                <w:szCs w:val="18"/>
                <w:color w:val="auto"/>
              </w:rPr>
            </w:pPr>
          </w:p>
        </w:tc>
        <w:tc>
          <w:tcPr>
            <w:tcW w:w="62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140"/>
              <w:spacing w:after="0" w:line="216" w:lineRule="exact"/>
              <w:rPr>
                <w:sz w:val="20"/>
                <w:szCs w:val="20"/>
                <w:color w:val="auto"/>
              </w:rPr>
            </w:pPr>
            <w:r>
              <w:rPr>
                <w:rFonts w:ascii="Arial" w:cs="Arial" w:eastAsia="Arial" w:hAnsi="Arial"/>
                <w:sz w:val="20"/>
                <w:szCs w:val="20"/>
                <w:color w:val="auto"/>
              </w:rPr>
              <w:t>Other investing activities, net</w:t>
            </w:r>
          </w:p>
        </w:tc>
        <w:tc>
          <w:tcPr>
            <w:tcW w:w="2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7</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line="216" w:lineRule="exact"/>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0"/>
        </w:trPr>
        <w:tc>
          <w:tcPr>
            <w:tcW w:w="5500" w:type="dxa"/>
            <w:vAlign w:val="bottom"/>
            <w:shd w:val="clear" w:color="auto" w:fill="CFF0FC"/>
          </w:tcPr>
          <w:p>
            <w:pPr>
              <w:spacing w:after="0" w:line="20" w:lineRule="exact"/>
              <w:rPr>
                <w:sz w:val="1"/>
                <w:szCs w:val="1"/>
                <w:color w:val="auto"/>
              </w:rPr>
            </w:pPr>
          </w:p>
        </w:tc>
        <w:tc>
          <w:tcPr>
            <w:tcW w:w="20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tcPr>
          <w:p>
            <w:pPr>
              <w:spacing w:after="0" w:line="209" w:lineRule="exact"/>
              <w:rPr>
                <w:sz w:val="20"/>
                <w:szCs w:val="20"/>
                <w:color w:val="auto"/>
              </w:rPr>
            </w:pPr>
            <w:r>
              <w:rPr>
                <w:rFonts w:ascii="Arial" w:cs="Arial" w:eastAsia="Arial" w:hAnsi="Arial"/>
                <w:sz w:val="20"/>
                <w:szCs w:val="20"/>
                <w:color w:val="auto"/>
              </w:rPr>
              <w:t>Net Cash Provided by (Used for) Investing Activities</w:t>
            </w: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293</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2"/>
          </w:tcPr>
          <w:p>
            <w:pPr>
              <w:jc w:val="right"/>
              <w:ind w:right="40"/>
              <w:spacing w:after="0" w:line="209" w:lineRule="exact"/>
              <w:rPr>
                <w:sz w:val="20"/>
                <w:szCs w:val="20"/>
                <w:color w:val="auto"/>
              </w:rPr>
            </w:pPr>
            <w:r>
              <w:rPr>
                <w:rFonts w:ascii="Arial" w:cs="Arial" w:eastAsia="Arial" w:hAnsi="Arial"/>
                <w:sz w:val="20"/>
                <w:szCs w:val="20"/>
                <w:color w:val="auto"/>
              </w:rPr>
              <w:t>(262)</w:t>
            </w:r>
          </w:p>
        </w:tc>
        <w:tc>
          <w:tcPr>
            <w:tcW w:w="0" w:type="dxa"/>
            <w:vAlign w:val="bottom"/>
          </w:tcPr>
          <w:p>
            <w:pPr>
              <w:spacing w:after="0"/>
              <w:rPr>
                <w:sz w:val="1"/>
                <w:szCs w:val="1"/>
                <w:color w:val="auto"/>
              </w:rPr>
            </w:pPr>
          </w:p>
        </w:tc>
      </w:tr>
      <w:tr>
        <w:trPr>
          <w:trHeight w:val="210"/>
        </w:trPr>
        <w:tc>
          <w:tcPr>
            <w:tcW w:w="550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line="216" w:lineRule="exact"/>
              <w:rPr>
                <w:sz w:val="20"/>
                <w:szCs w:val="20"/>
                <w:color w:val="auto"/>
              </w:rPr>
            </w:pPr>
            <w:r>
              <w:rPr>
                <w:rFonts w:ascii="Arial" w:cs="Arial" w:eastAsia="Arial" w:hAnsi="Arial"/>
                <w:sz w:val="20"/>
                <w:szCs w:val="20"/>
                <w:color w:val="auto"/>
              </w:rPr>
              <w:t>Cash Flows from Financing Activities:</w:t>
            </w: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140"/>
              <w:spacing w:after="0" w:line="216" w:lineRule="exact"/>
              <w:rPr>
                <w:sz w:val="20"/>
                <w:szCs w:val="20"/>
                <w:color w:val="auto"/>
              </w:rPr>
            </w:pPr>
            <w:r>
              <w:rPr>
                <w:rFonts w:ascii="Arial" w:cs="Arial" w:eastAsia="Arial" w:hAnsi="Arial"/>
                <w:sz w:val="20"/>
                <w:szCs w:val="20"/>
                <w:color w:val="auto"/>
              </w:rPr>
              <w:t>Proceeds from borrowings</w:t>
            </w:r>
          </w:p>
        </w:tc>
        <w:tc>
          <w:tcPr>
            <w:tcW w:w="2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175</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line="216" w:lineRule="exact"/>
              <w:rPr>
                <w:sz w:val="20"/>
                <w:szCs w:val="20"/>
                <w:color w:val="auto"/>
              </w:rPr>
            </w:pPr>
            <w:r>
              <w:rPr>
                <w:rFonts w:ascii="Arial" w:cs="Arial" w:eastAsia="Arial" w:hAnsi="Arial"/>
                <w:sz w:val="20"/>
                <w:szCs w:val="20"/>
                <w:color w:val="auto"/>
              </w:rPr>
              <w:t>Repayments of debt</w:t>
            </w: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gridSpan w:val="2"/>
          </w:tcPr>
          <w:p>
            <w:pPr>
              <w:jc w:val="right"/>
              <w:ind w:right="121"/>
              <w:spacing w:after="0" w:line="216" w:lineRule="exact"/>
              <w:rPr>
                <w:sz w:val="20"/>
                <w:szCs w:val="20"/>
                <w:color w:val="auto"/>
              </w:rPr>
            </w:pPr>
            <w:r>
              <w:rPr>
                <w:rFonts w:ascii="Arial" w:cs="Arial" w:eastAsia="Arial" w:hAnsi="Arial"/>
                <w:sz w:val="20"/>
                <w:szCs w:val="20"/>
                <w:color w:val="auto"/>
              </w:rPr>
              <w:t>(205)</w:t>
            </w:r>
          </w:p>
        </w:tc>
        <w:tc>
          <w:tcPr>
            <w:tcW w:w="1160" w:type="dxa"/>
            <w:vAlign w:val="bottom"/>
          </w:tcPr>
          <w:p>
            <w:pPr>
              <w:spacing w:after="0"/>
              <w:rPr>
                <w:sz w:val="18"/>
                <w:szCs w:val="18"/>
                <w:color w:val="auto"/>
              </w:rPr>
            </w:pPr>
          </w:p>
        </w:tc>
        <w:tc>
          <w:tcPr>
            <w:tcW w:w="620" w:type="dxa"/>
            <w:vAlign w:val="bottom"/>
            <w:gridSpan w:val="2"/>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140"/>
              <w:spacing w:after="0" w:line="216" w:lineRule="exact"/>
              <w:rPr>
                <w:sz w:val="20"/>
                <w:szCs w:val="20"/>
                <w:color w:val="auto"/>
              </w:rPr>
            </w:pPr>
            <w:r>
              <w:rPr>
                <w:rFonts w:ascii="Arial" w:cs="Arial" w:eastAsia="Arial" w:hAnsi="Arial"/>
                <w:sz w:val="20"/>
                <w:szCs w:val="20"/>
                <w:color w:val="auto"/>
              </w:rPr>
              <w:t>Payments on finance lease obligations</w:t>
            </w:r>
          </w:p>
        </w:tc>
        <w:tc>
          <w:tcPr>
            <w:tcW w:w="2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1"/>
              <w:spacing w:after="0" w:line="216" w:lineRule="exact"/>
              <w:rPr>
                <w:sz w:val="20"/>
                <w:szCs w:val="20"/>
                <w:color w:val="auto"/>
              </w:rPr>
            </w:pPr>
            <w:r>
              <w:rPr>
                <w:rFonts w:ascii="Arial" w:cs="Arial" w:eastAsia="Arial" w:hAnsi="Arial"/>
                <w:sz w:val="20"/>
                <w:szCs w:val="20"/>
                <w:color w:val="auto"/>
              </w:rPr>
              <w:t>(6)</w:t>
            </w:r>
          </w:p>
        </w:tc>
        <w:tc>
          <w:tcPr>
            <w:tcW w:w="11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line="216"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line="216" w:lineRule="exact"/>
              <w:rPr>
                <w:sz w:val="20"/>
                <w:szCs w:val="20"/>
                <w:color w:val="auto"/>
              </w:rPr>
            </w:pPr>
            <w:r>
              <w:rPr>
                <w:rFonts w:ascii="Arial" w:cs="Arial" w:eastAsia="Arial" w:hAnsi="Arial"/>
                <w:sz w:val="20"/>
                <w:szCs w:val="20"/>
                <w:color w:val="auto"/>
              </w:rPr>
              <w:t>Dividends paid</w:t>
            </w: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gridSpan w:val="2"/>
          </w:tcPr>
          <w:p>
            <w:pPr>
              <w:jc w:val="right"/>
              <w:ind w:right="121"/>
              <w:spacing w:after="0" w:line="216" w:lineRule="exact"/>
              <w:rPr>
                <w:sz w:val="20"/>
                <w:szCs w:val="20"/>
                <w:color w:val="auto"/>
              </w:rPr>
            </w:pPr>
            <w:r>
              <w:rPr>
                <w:rFonts w:ascii="Arial" w:cs="Arial" w:eastAsia="Arial" w:hAnsi="Arial"/>
                <w:sz w:val="20"/>
                <w:szCs w:val="20"/>
                <w:color w:val="auto"/>
              </w:rPr>
              <w:t>(51)</w:t>
            </w:r>
          </w:p>
        </w:tc>
        <w:tc>
          <w:tcPr>
            <w:tcW w:w="1160" w:type="dxa"/>
            <w:vAlign w:val="bottom"/>
          </w:tcPr>
          <w:p>
            <w:pPr>
              <w:spacing w:after="0"/>
              <w:rPr>
                <w:sz w:val="18"/>
                <w:szCs w:val="18"/>
                <w:color w:val="auto"/>
              </w:rPr>
            </w:pPr>
          </w:p>
        </w:tc>
        <w:tc>
          <w:tcPr>
            <w:tcW w:w="62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140"/>
              <w:spacing w:after="0" w:line="216" w:lineRule="exact"/>
              <w:rPr>
                <w:sz w:val="20"/>
                <w:szCs w:val="20"/>
                <w:color w:val="auto"/>
              </w:rPr>
            </w:pPr>
            <w:r>
              <w:rPr>
                <w:rFonts w:ascii="Arial" w:cs="Arial" w:eastAsia="Arial" w:hAnsi="Arial"/>
                <w:sz w:val="20"/>
                <w:szCs w:val="20"/>
                <w:color w:val="auto"/>
              </w:rPr>
              <w:t>Repurchases of common stock</w:t>
            </w:r>
          </w:p>
        </w:tc>
        <w:tc>
          <w:tcPr>
            <w:tcW w:w="2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1"/>
              <w:spacing w:after="0" w:line="216" w:lineRule="exact"/>
              <w:rPr>
                <w:sz w:val="20"/>
                <w:szCs w:val="20"/>
                <w:color w:val="auto"/>
              </w:rPr>
            </w:pPr>
            <w:r>
              <w:rPr>
                <w:rFonts w:ascii="Arial" w:cs="Arial" w:eastAsia="Arial" w:hAnsi="Arial"/>
                <w:sz w:val="20"/>
                <w:szCs w:val="20"/>
                <w:color w:val="auto"/>
              </w:rPr>
              <w:t>(200)</w:t>
            </w:r>
          </w:p>
        </w:tc>
        <w:tc>
          <w:tcPr>
            <w:tcW w:w="11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line="216" w:lineRule="exact"/>
              <w:rPr>
                <w:sz w:val="20"/>
                <w:szCs w:val="20"/>
                <w:color w:val="auto"/>
              </w:rPr>
            </w:pPr>
            <w:r>
              <w:rPr>
                <w:rFonts w:ascii="Arial" w:cs="Arial" w:eastAsia="Arial" w:hAnsi="Arial"/>
                <w:sz w:val="20"/>
                <w:szCs w:val="20"/>
                <w:color w:val="auto"/>
              </w:rPr>
              <w:t>(450)</w:t>
            </w: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line="216" w:lineRule="exact"/>
              <w:rPr>
                <w:sz w:val="20"/>
                <w:szCs w:val="20"/>
                <w:color w:val="auto"/>
              </w:rPr>
            </w:pPr>
            <w:r>
              <w:rPr>
                <w:rFonts w:ascii="Arial" w:cs="Arial" w:eastAsia="Arial" w:hAnsi="Arial"/>
                <w:sz w:val="20"/>
                <w:szCs w:val="20"/>
                <w:color w:val="auto"/>
              </w:rPr>
              <w:t>Shares withheld for employees’ income tax obligations</w:t>
            </w: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gridSpan w:val="2"/>
          </w:tcPr>
          <w:p>
            <w:pPr>
              <w:jc w:val="right"/>
              <w:ind w:right="121"/>
              <w:spacing w:after="0" w:line="216" w:lineRule="exact"/>
              <w:rPr>
                <w:sz w:val="20"/>
                <w:szCs w:val="20"/>
                <w:color w:val="auto"/>
              </w:rPr>
            </w:pPr>
            <w:r>
              <w:rPr>
                <w:rFonts w:ascii="Arial" w:cs="Arial" w:eastAsia="Arial" w:hAnsi="Arial"/>
                <w:sz w:val="20"/>
                <w:szCs w:val="20"/>
                <w:color w:val="auto"/>
              </w:rPr>
              <w:t>(26)</w:t>
            </w:r>
          </w:p>
        </w:tc>
        <w:tc>
          <w:tcPr>
            <w:tcW w:w="1160" w:type="dxa"/>
            <w:vAlign w:val="bottom"/>
          </w:tcPr>
          <w:p>
            <w:pPr>
              <w:spacing w:after="0"/>
              <w:rPr>
                <w:sz w:val="18"/>
                <w:szCs w:val="18"/>
                <w:color w:val="auto"/>
              </w:rPr>
            </w:pPr>
          </w:p>
        </w:tc>
        <w:tc>
          <w:tcPr>
            <w:tcW w:w="62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140"/>
              <w:spacing w:after="0" w:line="216" w:lineRule="exact"/>
              <w:rPr>
                <w:sz w:val="20"/>
                <w:szCs w:val="20"/>
                <w:color w:val="auto"/>
              </w:rPr>
            </w:pPr>
            <w:r>
              <w:rPr>
                <w:rFonts w:ascii="Arial" w:cs="Arial" w:eastAsia="Arial" w:hAnsi="Arial"/>
                <w:sz w:val="20"/>
                <w:szCs w:val="20"/>
                <w:color w:val="auto"/>
              </w:rPr>
              <w:t>Other financing activities, net</w:t>
            </w:r>
          </w:p>
        </w:tc>
        <w:tc>
          <w:tcPr>
            <w:tcW w:w="2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1"/>
              <w:spacing w:after="0" w:line="216" w:lineRule="exact"/>
              <w:rPr>
                <w:sz w:val="20"/>
                <w:szCs w:val="20"/>
                <w:color w:val="auto"/>
              </w:rPr>
            </w:pPr>
            <w:r>
              <w:rPr>
                <w:rFonts w:ascii="Arial" w:cs="Arial" w:eastAsia="Arial" w:hAnsi="Arial"/>
                <w:sz w:val="20"/>
                <w:szCs w:val="20"/>
                <w:color w:val="auto"/>
              </w:rPr>
              <w:t>(1)</w:t>
            </w:r>
          </w:p>
        </w:tc>
        <w:tc>
          <w:tcPr>
            <w:tcW w:w="11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5500" w:type="dxa"/>
            <w:vAlign w:val="bottom"/>
            <w:shd w:val="clear" w:color="auto" w:fill="CFF0FC"/>
          </w:tcPr>
          <w:p>
            <w:pPr>
              <w:spacing w:after="0" w:line="20" w:lineRule="exact"/>
              <w:rPr>
                <w:sz w:val="1"/>
                <w:szCs w:val="1"/>
                <w:color w:val="auto"/>
              </w:rPr>
            </w:pPr>
          </w:p>
        </w:tc>
        <w:tc>
          <w:tcPr>
            <w:tcW w:w="20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tcPr>
          <w:p>
            <w:pPr>
              <w:spacing w:after="0" w:line="209" w:lineRule="exact"/>
              <w:rPr>
                <w:sz w:val="20"/>
                <w:szCs w:val="20"/>
                <w:color w:val="auto"/>
              </w:rPr>
            </w:pPr>
            <w:r>
              <w:rPr>
                <w:rFonts w:ascii="Arial" w:cs="Arial" w:eastAsia="Arial" w:hAnsi="Arial"/>
                <w:sz w:val="20"/>
                <w:szCs w:val="20"/>
                <w:color w:val="auto"/>
              </w:rPr>
              <w:t>Net Cash Used for Financing Activities</w:t>
            </w:r>
          </w:p>
        </w:tc>
        <w:tc>
          <w:tcPr>
            <w:tcW w:w="2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gridSpan w:val="2"/>
          </w:tcPr>
          <w:p>
            <w:pPr>
              <w:jc w:val="right"/>
              <w:ind w:right="121"/>
              <w:spacing w:after="0" w:line="209" w:lineRule="exact"/>
              <w:rPr>
                <w:sz w:val="20"/>
                <w:szCs w:val="20"/>
                <w:color w:val="auto"/>
              </w:rPr>
            </w:pPr>
            <w:r>
              <w:rPr>
                <w:rFonts w:ascii="Arial" w:cs="Arial" w:eastAsia="Arial" w:hAnsi="Arial"/>
                <w:sz w:val="20"/>
                <w:szCs w:val="20"/>
                <w:color w:val="auto"/>
              </w:rPr>
              <w:t>(314)</w:t>
            </w:r>
          </w:p>
        </w:tc>
        <w:tc>
          <w:tcPr>
            <w:tcW w:w="1160" w:type="dxa"/>
            <w:vAlign w:val="bottom"/>
          </w:tcPr>
          <w:p>
            <w:pPr>
              <w:spacing w:after="0"/>
              <w:rPr>
                <w:sz w:val="18"/>
                <w:szCs w:val="18"/>
                <w:color w:val="auto"/>
              </w:rPr>
            </w:pPr>
          </w:p>
        </w:tc>
        <w:tc>
          <w:tcPr>
            <w:tcW w:w="620" w:type="dxa"/>
            <w:vAlign w:val="bottom"/>
            <w:gridSpan w:val="2"/>
          </w:tcPr>
          <w:p>
            <w:pPr>
              <w:jc w:val="right"/>
              <w:ind w:right="40"/>
              <w:spacing w:after="0" w:line="209" w:lineRule="exact"/>
              <w:rPr>
                <w:sz w:val="20"/>
                <w:szCs w:val="20"/>
                <w:color w:val="auto"/>
              </w:rPr>
            </w:pPr>
            <w:r>
              <w:rPr>
                <w:rFonts w:ascii="Arial" w:cs="Arial" w:eastAsia="Arial" w:hAnsi="Arial"/>
                <w:sz w:val="20"/>
                <w:szCs w:val="20"/>
                <w:color w:val="auto"/>
              </w:rPr>
              <w:t>(525)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0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Net Increase (Decrease) in Cash and Cash Equivalents</w:t>
            </w:r>
          </w:p>
        </w:tc>
        <w:tc>
          <w:tcPr>
            <w:tcW w:w="2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206</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line="209" w:lineRule="exact"/>
              <w:rPr>
                <w:sz w:val="20"/>
                <w:szCs w:val="20"/>
                <w:color w:val="auto"/>
              </w:rPr>
            </w:pPr>
            <w:r>
              <w:rPr>
                <w:rFonts w:ascii="Arial" w:cs="Arial" w:eastAsia="Arial" w:hAnsi="Arial"/>
                <w:sz w:val="20"/>
                <w:szCs w:val="20"/>
                <w:color w:val="auto"/>
              </w:rPr>
              <w:t>(569)</w:t>
            </w:r>
          </w:p>
        </w:tc>
        <w:tc>
          <w:tcPr>
            <w:tcW w:w="0" w:type="dxa"/>
            <w:vAlign w:val="bottom"/>
          </w:tcPr>
          <w:p>
            <w:pPr>
              <w:spacing w:after="0"/>
              <w:rPr>
                <w:sz w:val="1"/>
                <w:szCs w:val="1"/>
                <w:color w:val="auto"/>
              </w:rPr>
            </w:pPr>
          </w:p>
        </w:tc>
      </w:tr>
      <w:tr>
        <w:trPr>
          <w:trHeight w:val="216"/>
        </w:trPr>
        <w:tc>
          <w:tcPr>
            <w:tcW w:w="5500" w:type="dxa"/>
            <w:vAlign w:val="bottom"/>
          </w:tcPr>
          <w:p>
            <w:pPr>
              <w:spacing w:after="0" w:line="216" w:lineRule="exact"/>
              <w:rPr>
                <w:sz w:val="20"/>
                <w:szCs w:val="20"/>
                <w:color w:val="auto"/>
              </w:rPr>
            </w:pPr>
            <w:r>
              <w:rPr>
                <w:rFonts w:ascii="Arial" w:cs="Arial" w:eastAsia="Arial" w:hAnsi="Arial"/>
                <w:sz w:val="20"/>
                <w:szCs w:val="20"/>
                <w:color w:val="auto"/>
              </w:rPr>
              <w:t>Cash and Cash Equivalents, beginning of period</w:t>
            </w:r>
          </w:p>
        </w:tc>
        <w:tc>
          <w:tcPr>
            <w:tcW w:w="20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67</w:t>
            </w:r>
          </w:p>
        </w:tc>
        <w:tc>
          <w:tcPr>
            <w:tcW w:w="2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00" w:type="dxa"/>
            <w:vAlign w:val="bottom"/>
            <w:shd w:val="clear" w:color="auto" w:fill="CFF0FC"/>
          </w:tcPr>
          <w:p>
            <w:pPr>
              <w:spacing w:after="0" w:line="196" w:lineRule="exact"/>
              <w:rPr>
                <w:sz w:val="20"/>
                <w:szCs w:val="20"/>
                <w:color w:val="auto"/>
              </w:rPr>
            </w:pPr>
            <w:r>
              <w:rPr>
                <w:rFonts w:ascii="Arial" w:cs="Arial" w:eastAsia="Arial" w:hAnsi="Arial"/>
                <w:sz w:val="20"/>
                <w:szCs w:val="20"/>
                <w:color w:val="auto"/>
              </w:rPr>
              <w:t>Cash and Cash Equivalents, end of period</w:t>
            </w:r>
          </w:p>
        </w:tc>
        <w:tc>
          <w:tcPr>
            <w:tcW w:w="3080" w:type="dxa"/>
            <w:vAlign w:val="bottom"/>
            <w:gridSpan w:val="2"/>
            <w:shd w:val="clear" w:color="auto" w:fill="CFF0FC"/>
          </w:tcPr>
          <w:p>
            <w:pPr>
              <w:jc w:val="right"/>
              <w:ind w:right="861"/>
              <w:spacing w:after="0" w:line="196" w:lineRule="exact"/>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273</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line="196" w:lineRule="exact"/>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101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5500" w:type="dxa"/>
            <w:vAlign w:val="bottom"/>
            <w:tcBorders>
              <w:top w:val="single" w:sz="8" w:color="CFF0FC"/>
            </w:tcBorders>
          </w:tcPr>
          <w:p>
            <w:pPr>
              <w:spacing w:after="0"/>
              <w:rPr>
                <w:sz w:val="24"/>
                <w:szCs w:val="24"/>
                <w:color w:val="auto"/>
              </w:rPr>
            </w:pPr>
          </w:p>
        </w:tc>
        <w:tc>
          <w:tcPr>
            <w:tcW w:w="2000" w:type="dxa"/>
            <w:vAlign w:val="bottom"/>
            <w:tcBorders>
              <w:top w:val="single" w:sz="8" w:color="CFF0FC"/>
            </w:tcBorders>
          </w:tcPr>
          <w:p>
            <w:pPr>
              <w:jc w:val="right"/>
              <w:ind w:right="1661"/>
              <w:spacing w:after="0"/>
              <w:rPr>
                <w:sz w:val="20"/>
                <w:szCs w:val="20"/>
                <w:color w:val="auto"/>
              </w:rPr>
            </w:pPr>
            <w:r>
              <w:rPr>
                <w:rFonts w:ascii="Arial" w:cs="Arial" w:eastAsia="Arial" w:hAnsi="Arial"/>
                <w:sz w:val="20"/>
                <w:szCs w:val="20"/>
                <w:color w:val="auto"/>
                <w:w w:val="98"/>
              </w:rPr>
              <w:t>13</w:t>
            </w:r>
          </w:p>
        </w:tc>
        <w:tc>
          <w:tcPr>
            <w:tcW w:w="10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39"/>
        </w:trPr>
        <w:tc>
          <w:tcPr>
            <w:tcW w:w="55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-3874135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-3874135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-2759710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-1370965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-796925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-779780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-796925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Appendix</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MARTIN MARIETTA MATERIALS,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Additional Notes</w:t>
      </w:r>
    </w:p>
    <w:p>
      <w:pPr>
        <w:spacing w:after="0" w:line="184" w:lineRule="exact"/>
        <w:rPr>
          <w:sz w:val="20"/>
          <w:szCs w:val="20"/>
          <w:color w:val="auto"/>
        </w:rPr>
      </w:pPr>
    </w:p>
    <w:p>
      <w:pPr>
        <w:ind w:left="240" w:hanging="232"/>
        <w:spacing w:after="0" w:line="257" w:lineRule="auto"/>
        <w:tabs>
          <w:tab w:leader="none" w:pos="255" w:val="left"/>
        </w:tabs>
        <w:numPr>
          <w:ilvl w:val="0"/>
          <w:numId w:val="7"/>
        </w:numPr>
        <w:rPr>
          <w:rFonts w:ascii="Arial" w:cs="Arial" w:eastAsia="Arial" w:hAnsi="Arial"/>
          <w:sz w:val="20"/>
          <w:szCs w:val="20"/>
          <w:color w:val="auto"/>
        </w:rPr>
      </w:pPr>
      <w:r>
        <w:rPr>
          <w:rFonts w:ascii="Arial" w:cs="Arial" w:eastAsia="Arial" w:hAnsi="Arial"/>
          <w:sz w:val="20"/>
          <w:szCs w:val="20"/>
          <w:color w:val="auto"/>
        </w:rPr>
        <w:t>Revenues for the quarters ended March 31, 2026, and March 31, 2025, included the sales of products and services to customers (net of any discounts or allowances) and freight revenues for continuing operations.</w:t>
      </w:r>
    </w:p>
    <w:p>
      <w:pPr>
        <w:spacing w:after="0" w:line="155" w:lineRule="exact"/>
        <w:rPr>
          <w:rFonts w:ascii="Arial" w:cs="Arial" w:eastAsia="Arial" w:hAnsi="Arial"/>
          <w:sz w:val="20"/>
          <w:szCs w:val="20"/>
          <w:color w:val="auto"/>
        </w:rPr>
      </w:pPr>
    </w:p>
    <w:p>
      <w:pPr>
        <w:jc w:val="both"/>
        <w:ind w:left="240" w:hanging="232"/>
        <w:spacing w:after="0" w:line="241" w:lineRule="auto"/>
        <w:tabs>
          <w:tab w:leader="none" w:pos="226" w:val="left"/>
        </w:tabs>
        <w:numPr>
          <w:ilvl w:val="0"/>
          <w:numId w:val="7"/>
        </w:numPr>
        <w:rPr>
          <w:rFonts w:ascii="Arial" w:cs="Arial" w:eastAsia="Arial" w:hAnsi="Arial"/>
          <w:sz w:val="20"/>
          <w:szCs w:val="20"/>
          <w:color w:val="auto"/>
        </w:rPr>
      </w:pPr>
      <w:r>
        <w:rPr>
          <w:rFonts w:ascii="Arial" w:cs="Arial" w:eastAsia="Arial" w:hAnsi="Arial"/>
          <w:sz w:val="20"/>
          <w:szCs w:val="20"/>
          <w:color w:val="auto"/>
        </w:rPr>
        <w:t>Quarter ended March 31, 2026, gross profit, aggregates gross profit and aggregates gross profit per ton included a charge of $22 million, $22 million and $0.49 per ton, respectively, for the impact of selling acquired inventory after markup to fair value as part of acquisition accounting.</w:t>
      </w:r>
    </w:p>
    <w:p>
      <w:pPr>
        <w:spacing w:after="0" w:line="171" w:lineRule="exact"/>
        <w:rPr>
          <w:rFonts w:ascii="Arial" w:cs="Arial" w:eastAsia="Arial" w:hAnsi="Arial"/>
          <w:sz w:val="20"/>
          <w:szCs w:val="20"/>
          <w:color w:val="auto"/>
        </w:rPr>
      </w:pPr>
    </w:p>
    <w:p>
      <w:pPr>
        <w:jc w:val="both"/>
        <w:ind w:left="240" w:hanging="232"/>
        <w:spacing w:after="0" w:line="241" w:lineRule="auto"/>
        <w:tabs>
          <w:tab w:leader="none" w:pos="240" w:val="left"/>
        </w:tabs>
        <w:numPr>
          <w:ilvl w:val="0"/>
          <w:numId w:val="7"/>
        </w:numPr>
        <w:rPr>
          <w:rFonts w:ascii="Arial" w:cs="Arial" w:eastAsia="Arial" w:hAnsi="Arial"/>
          <w:sz w:val="20"/>
          <w:szCs w:val="20"/>
          <w:color w:val="auto"/>
        </w:rPr>
      </w:pPr>
      <w:r>
        <w:rPr>
          <w:rFonts w:ascii="Arial" w:cs="Arial" w:eastAsia="Arial" w:hAnsi="Arial"/>
          <w:sz w:val="20"/>
          <w:szCs w:val="20"/>
          <w:color w:val="auto"/>
        </w:rPr>
        <w:t>Earnings from operations for the quarter ended March 31, 2026, included charges of $28 million for acquisition, divestiture and integration expenses, the impact of selling acquired inventory after markup to fair value as part of acquisition accounting and an asset and portfolio rationalization charge.</w:t>
      </w:r>
    </w:p>
    <w:p>
      <w:pPr>
        <w:spacing w:after="0" w:line="171" w:lineRule="exact"/>
        <w:rPr>
          <w:rFonts w:ascii="Arial" w:cs="Arial" w:eastAsia="Arial" w:hAnsi="Arial"/>
          <w:sz w:val="20"/>
          <w:szCs w:val="20"/>
          <w:color w:val="auto"/>
        </w:rPr>
      </w:pPr>
    </w:p>
    <w:p>
      <w:pPr>
        <w:jc w:val="both"/>
        <w:ind w:left="240" w:hanging="232"/>
        <w:spacing w:after="0" w:line="234" w:lineRule="auto"/>
        <w:tabs>
          <w:tab w:leader="none" w:pos="266" w:val="left"/>
        </w:tabs>
        <w:numPr>
          <w:ilvl w:val="0"/>
          <w:numId w:val="7"/>
        </w:numPr>
        <w:rPr>
          <w:rFonts w:ascii="Arial" w:cs="Arial" w:eastAsia="Arial" w:hAnsi="Arial"/>
          <w:sz w:val="20"/>
          <w:szCs w:val="20"/>
          <w:color w:val="auto"/>
        </w:rPr>
      </w:pPr>
      <w:r>
        <w:rPr>
          <w:rFonts w:ascii="Arial" w:cs="Arial" w:eastAsia="Arial" w:hAnsi="Arial"/>
          <w:sz w:val="20"/>
          <w:szCs w:val="20"/>
          <w:color w:val="auto"/>
        </w:rPr>
        <w:t>Net earnings from continuing operations attributable to Martin Marietta and earnings per diluted share from continuing operations for the quarter ended March 31, 2026, included charges of $37 million and $0.62 per diluted share, respectively, for acquisition, divestiture and integration expenses, the impact of selling acquired inventory after markup to fair value as part of acquisition accounting, an asset and portfolio rationalization charge and the revaluation of deferred tax liabilities driven by changes in the state jurisdictional mix of the business following the QUIKRETE transaction.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Appendix</w:t>
      </w:r>
    </w:p>
    <w:p>
      <w:pPr>
        <w:spacing w:after="0" w:line="200" w:lineRule="exact"/>
        <w:rPr>
          <w:sz w:val="20"/>
          <w:szCs w:val="20"/>
          <w:color w:val="auto"/>
        </w:rPr>
      </w:pPr>
    </w:p>
    <w:p>
      <w:pPr>
        <w:spacing w:after="0" w:line="225"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MARTIN MARIETTA MATERIALS, INC.</w:t>
      </w:r>
    </w:p>
    <w:p>
      <w:pPr>
        <w:spacing w:after="0" w:line="6"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Non-GAAP Financial Measures</w:t>
      </w:r>
    </w:p>
    <w:p>
      <w:pPr>
        <w:spacing w:after="0" w:line="7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Earnings from continuing operations before interest; income taxes; depreciation, depletion and amortization; earnings/loss from nonconsolidated equity affiliates; acquisition, divestiture and integration expenses; the impact of selling acquired inventory after its markup to fair value as part of acquisition accounting (Inventory Markup); and an asset and portfolio rationalization charge, or Adjusted EBITDA from continuing operations, is an indicator used by the Company and investors to evaluate the Company's operating performance from period to period. The Company has elected to add back, for purposes of its Adjusted EBITDA from continuing operations calculation, acquisition, divestiture and integration expenses and the Inventory Markup only for transactions with consideration of at least $2.0 billion for the Building Materials business or $200 million for the Specialties business.</w:t>
      </w:r>
    </w:p>
    <w:p>
      <w:pPr>
        <w:spacing w:after="0" w:line="173" w:lineRule="exact"/>
        <w:rPr>
          <w:sz w:val="20"/>
          <w:szCs w:val="20"/>
          <w:color w:val="auto"/>
        </w:rPr>
      </w:pPr>
    </w:p>
    <w:p>
      <w:pPr>
        <w:ind w:right="340"/>
        <w:spacing w:after="0" w:line="237" w:lineRule="auto"/>
        <w:rPr>
          <w:sz w:val="20"/>
          <w:szCs w:val="20"/>
          <w:color w:val="auto"/>
        </w:rPr>
      </w:pPr>
      <w:r>
        <w:rPr>
          <w:rFonts w:ascii="Arial" w:cs="Arial" w:eastAsia="Arial" w:hAnsi="Arial"/>
          <w:sz w:val="20"/>
          <w:szCs w:val="20"/>
          <w:color w:val="auto"/>
        </w:rPr>
        <w:t>Adjusted EBITDA from continuing operations is not defined by accounting principles generally accepted in the United States (GAAP) and, as such, should not be construed as an alternative to net earnings attributable to Martin Marietta, earnings from operations, or operating cash flow. For further information on Adjusted EBITDA, refer to the Company’s website at www.martinmarietta.com.</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20"/>
          <w:szCs w:val="20"/>
          <w:b w:val="1"/>
          <w:bCs w:val="1"/>
          <w:color w:val="auto"/>
        </w:rPr>
        <w:t>Reconciliation of Net Earnings from Continuing Operations Attributable to Martin Marietta to Adjusted EBITDA from Continuing Operations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140" w:type="dxa"/>
            <w:vAlign w:val="bottom"/>
            <w:gridSpan w:val="4"/>
          </w:tcPr>
          <w:p>
            <w:pPr>
              <w:jc w:val="center"/>
              <w:ind w:left="381"/>
              <w:spacing w:after="0"/>
              <w:rPr>
                <w:sz w:val="20"/>
                <w:szCs w:val="20"/>
                <w:color w:val="auto"/>
              </w:rPr>
            </w:pPr>
            <w:r>
              <w:rPr>
                <w:rFonts w:ascii="Arial" w:cs="Arial" w:eastAsia="Arial" w:hAnsi="Arial"/>
                <w:sz w:val="20"/>
                <w:szCs w:val="20"/>
                <w:color w:val="auto"/>
                <w:w w:val="99"/>
              </w:rPr>
              <w:t>Three Months Ended</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right="621"/>
              <w:spacing w:after="0"/>
              <w:rPr>
                <w:sz w:val="20"/>
                <w:szCs w:val="20"/>
                <w:color w:val="auto"/>
              </w:rPr>
            </w:pPr>
            <w:r>
              <w:rPr>
                <w:rFonts w:ascii="Arial" w:cs="Arial" w:eastAsia="Arial" w:hAnsi="Arial"/>
                <w:sz w:val="20"/>
                <w:szCs w:val="20"/>
                <w:color w:val="auto"/>
                <w:w w:val="96"/>
              </w:rPr>
              <w:t>March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0" w:type="dxa"/>
            <w:vAlign w:val="bottom"/>
          </w:tcPr>
          <w:p>
            <w:pPr>
              <w:jc w:val="right"/>
              <w:ind w:right="41"/>
              <w:spacing w:after="0" w:line="209" w:lineRule="exact"/>
              <w:rPr>
                <w:sz w:val="20"/>
                <w:szCs w:val="20"/>
                <w:color w:val="auto"/>
              </w:rPr>
            </w:pPr>
            <w:r>
              <w:rPr>
                <w:rFonts w:ascii="Arial" w:cs="Arial" w:eastAsia="Arial" w:hAnsi="Arial"/>
                <w:sz w:val="20"/>
                <w:szCs w:val="20"/>
                <w:color w:val="auto"/>
              </w:rPr>
              <w:t>2026</w:t>
            </w:r>
          </w:p>
        </w:tc>
        <w:tc>
          <w:tcPr>
            <w:tcW w:w="480" w:type="dxa"/>
            <w:vAlign w:val="bottom"/>
          </w:tcPr>
          <w:p>
            <w:pPr>
              <w:spacing w:after="0"/>
              <w:rPr>
                <w:sz w:val="18"/>
                <w:szCs w:val="18"/>
                <w:color w:val="auto"/>
              </w:rPr>
            </w:pPr>
          </w:p>
        </w:tc>
        <w:tc>
          <w:tcPr>
            <w:tcW w:w="1460" w:type="dxa"/>
            <w:vAlign w:val="bottom"/>
            <w:gridSpan w:val="2"/>
          </w:tcPr>
          <w:p>
            <w:pPr>
              <w:jc w:val="right"/>
              <w:ind w:right="41"/>
              <w:spacing w:after="0" w:line="209" w:lineRule="exact"/>
              <w:rPr>
                <w:sz w:val="20"/>
                <w:szCs w:val="20"/>
                <w:color w:val="auto"/>
              </w:rPr>
            </w:pPr>
            <w:r>
              <w:rPr>
                <w:rFonts w:ascii="Arial" w:cs="Arial" w:eastAsia="Arial" w:hAnsi="Arial"/>
                <w:sz w:val="20"/>
                <w:szCs w:val="20"/>
                <w:color w:val="auto"/>
              </w:rPr>
              <w:t>2025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80" w:type="dxa"/>
            <w:vAlign w:val="bottom"/>
            <w:tcBorders>
              <w:top w:val="single" w:sz="8" w:color="auto"/>
            </w:tcBorders>
            <w:gridSpan w:val="2"/>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280" w:type="dxa"/>
            <w:vAlign w:val="bottom"/>
          </w:tcPr>
          <w:p>
            <w:pPr>
              <w:jc w:val="center"/>
              <w:spacing w:after="0" w:line="209" w:lineRule="exact"/>
              <w:rPr>
                <w:sz w:val="20"/>
                <w:szCs w:val="20"/>
                <w:color w:val="auto"/>
              </w:rPr>
            </w:pPr>
            <w:r>
              <w:rPr>
                <w:rFonts w:ascii="Arial" w:cs="Arial" w:eastAsia="Arial" w:hAnsi="Arial"/>
                <w:sz w:val="20"/>
                <w:szCs w:val="20"/>
                <w:i w:val="1"/>
                <w:iCs w:val="1"/>
                <w:color w:val="auto"/>
                <w:w w:val="89"/>
              </w:rPr>
              <w:t>in</w:t>
            </w:r>
          </w:p>
        </w:tc>
        <w:tc>
          <w:tcPr>
            <w:tcW w:w="1180" w:type="dxa"/>
            <w:vAlign w:val="bottom"/>
            <w:tcBorders>
              <w:top w:val="single" w:sz="8" w:color="auto"/>
            </w:tcBorders>
          </w:tcPr>
          <w:p>
            <w:pPr>
              <w:spacing w:after="0" w:line="209" w:lineRule="exact"/>
              <w:rPr>
                <w:sz w:val="20"/>
                <w:szCs w:val="20"/>
                <w:color w:val="auto"/>
              </w:rPr>
            </w:pPr>
            <w:r>
              <w:rPr>
                <w:rFonts w:ascii="Arial" w:cs="Arial" w:eastAsia="Arial" w:hAnsi="Arial"/>
                <w:sz w:val="20"/>
                <w:szCs w:val="20"/>
                <w:i w:val="1"/>
                <w:iCs w:val="1"/>
                <w:color w:val="auto"/>
              </w:rPr>
              <w:t>Millions)</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50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Net earnings from continuing operations attributable</w:t>
            </w:r>
          </w:p>
        </w:tc>
        <w:tc>
          <w:tcPr>
            <w:tcW w:w="24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5040" w:type="dxa"/>
            <w:vAlign w:val="bottom"/>
            <w:shd w:val="clear" w:color="auto" w:fill="CFF0FC"/>
          </w:tcPr>
          <w:p>
            <w:pPr>
              <w:ind w:left="120"/>
              <w:spacing w:after="0"/>
              <w:rPr>
                <w:sz w:val="20"/>
                <w:szCs w:val="20"/>
                <w:color w:val="auto"/>
              </w:rPr>
            </w:pPr>
            <w:r>
              <w:rPr>
                <w:rFonts w:ascii="Arial" w:cs="Arial" w:eastAsia="Arial" w:hAnsi="Arial"/>
                <w:sz w:val="20"/>
                <w:szCs w:val="20"/>
                <w:color w:val="auto"/>
              </w:rPr>
              <w:t>to Martin Marietta</w:t>
            </w:r>
          </w:p>
        </w:tc>
        <w:tc>
          <w:tcPr>
            <w:tcW w:w="3660" w:type="dxa"/>
            <w:vAlign w:val="bottom"/>
            <w:gridSpan w:val="2"/>
            <w:shd w:val="clear" w:color="auto" w:fill="CFF0FC"/>
          </w:tcPr>
          <w:p>
            <w:pPr>
              <w:jc w:val="right"/>
              <w:ind w:right="981"/>
              <w:spacing w:after="0"/>
              <w:rPr>
                <w:sz w:val="20"/>
                <w:szCs w:val="20"/>
                <w:color w:val="auto"/>
              </w:rPr>
            </w:pPr>
            <w:r>
              <w:rPr>
                <w:rFonts w:ascii="Arial" w:cs="Arial" w:eastAsia="Arial" w:hAnsi="Arial"/>
                <w:sz w:val="20"/>
                <w:szCs w:val="20"/>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w:t>
            </w:r>
          </w:p>
        </w:tc>
        <w:tc>
          <w:tcPr>
            <w:tcW w:w="1460" w:type="dxa"/>
            <w:vAlign w:val="bottom"/>
            <w:gridSpan w:val="2"/>
            <w:shd w:val="clear" w:color="auto" w:fill="CFF0FC"/>
          </w:tcPr>
          <w:p>
            <w:pPr>
              <w:ind w:left="280"/>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104</w:t>
            </w:r>
          </w:p>
        </w:tc>
        <w:tc>
          <w:tcPr>
            <w:tcW w:w="100" w:type="dxa"/>
            <w:vAlign w:val="bottom"/>
            <w:shd w:val="clear" w:color="auto" w:fill="CFF0FC"/>
          </w:tcPr>
          <w:p>
            <w:pPr>
              <w:spacing w:after="0"/>
              <w:rPr>
                <w:sz w:val="20"/>
                <w:szCs w:val="20"/>
                <w:color w:val="auto"/>
              </w:rPr>
            </w:pPr>
          </w:p>
        </w:tc>
      </w:tr>
      <w:tr>
        <w:trPr>
          <w:trHeight w:val="216"/>
        </w:trPr>
        <w:tc>
          <w:tcPr>
            <w:tcW w:w="5040" w:type="dxa"/>
            <w:vAlign w:val="bottom"/>
          </w:tcPr>
          <w:p>
            <w:pPr>
              <w:spacing w:after="0" w:line="216" w:lineRule="exact"/>
              <w:rPr>
                <w:sz w:val="20"/>
                <w:szCs w:val="20"/>
                <w:color w:val="auto"/>
              </w:rPr>
            </w:pPr>
            <w:r>
              <w:rPr>
                <w:rFonts w:ascii="Arial" w:cs="Arial" w:eastAsia="Arial" w:hAnsi="Arial"/>
                <w:sz w:val="20"/>
                <w:szCs w:val="20"/>
                <w:color w:val="auto"/>
              </w:rPr>
              <w:t>Add back:</w:t>
            </w:r>
          </w:p>
        </w:tc>
        <w:tc>
          <w:tcPr>
            <w:tcW w:w="2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ind w:left="140"/>
              <w:spacing w:after="0" w:line="216" w:lineRule="exact"/>
              <w:rPr>
                <w:sz w:val="20"/>
                <w:szCs w:val="20"/>
                <w:color w:val="auto"/>
              </w:rPr>
            </w:pPr>
            <w:r>
              <w:rPr>
                <w:rFonts w:ascii="Arial" w:cs="Arial" w:eastAsia="Arial" w:hAnsi="Arial"/>
                <w:sz w:val="20"/>
                <w:szCs w:val="20"/>
                <w:color w:val="auto"/>
              </w:rPr>
              <w:t>Interest expense, net of interest income</w:t>
            </w:r>
          </w:p>
        </w:tc>
        <w:tc>
          <w:tcPr>
            <w:tcW w:w="24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54</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51</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ind w:left="140"/>
              <w:spacing w:after="0" w:line="216" w:lineRule="exact"/>
              <w:rPr>
                <w:sz w:val="20"/>
                <w:szCs w:val="20"/>
                <w:color w:val="auto"/>
              </w:rPr>
            </w:pPr>
            <w:r>
              <w:rPr>
                <w:rFonts w:ascii="Arial" w:cs="Arial" w:eastAsia="Arial" w:hAnsi="Arial"/>
                <w:sz w:val="20"/>
                <w:szCs w:val="20"/>
                <w:color w:val="auto"/>
              </w:rPr>
              <w:t>Income tax expense for controlling interests</w:t>
            </w:r>
          </w:p>
        </w:tc>
        <w:tc>
          <w:tcPr>
            <w:tcW w:w="2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jc w:val="right"/>
              <w:spacing w:after="0" w:line="216" w:lineRule="exact"/>
              <w:rPr>
                <w:sz w:val="20"/>
                <w:szCs w:val="20"/>
                <w:color w:val="auto"/>
              </w:rPr>
            </w:pPr>
            <w:r>
              <w:rPr>
                <w:rFonts w:ascii="Arial" w:cs="Arial" w:eastAsia="Arial" w:hAnsi="Arial"/>
                <w:sz w:val="20"/>
                <w:szCs w:val="20"/>
                <w:color w:val="auto"/>
              </w:rPr>
              <w:t>38</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jc w:val="right"/>
              <w:spacing w:after="0" w:line="216" w:lineRule="exact"/>
              <w:rPr>
                <w:sz w:val="20"/>
                <w:szCs w:val="20"/>
                <w:color w:val="auto"/>
              </w:rPr>
            </w:pPr>
            <w:r>
              <w:rPr>
                <w:rFonts w:ascii="Arial" w:cs="Arial" w:eastAsia="Arial" w:hAnsi="Arial"/>
                <w:sz w:val="20"/>
                <w:szCs w:val="20"/>
                <w:color w:val="auto"/>
              </w:rPr>
              <w:t>28</w:t>
            </w:r>
          </w:p>
        </w:tc>
        <w:tc>
          <w:tcPr>
            <w:tcW w:w="100" w:type="dxa"/>
            <w:vAlign w:val="bottom"/>
          </w:tcPr>
          <w:p>
            <w:pPr>
              <w:spacing w:after="0"/>
              <w:rPr>
                <w:sz w:val="18"/>
                <w:szCs w:val="18"/>
                <w:color w:val="auto"/>
              </w:rPr>
            </w:pPr>
          </w:p>
        </w:tc>
      </w:tr>
      <w:tr>
        <w:trPr>
          <w:trHeight w:val="194"/>
        </w:trPr>
        <w:tc>
          <w:tcPr>
            <w:tcW w:w="5040" w:type="dxa"/>
            <w:vAlign w:val="bottom"/>
            <w:shd w:val="clear" w:color="auto" w:fill="CFF0FC"/>
          </w:tcPr>
          <w:p>
            <w:pPr>
              <w:ind w:left="140"/>
              <w:spacing w:after="0" w:line="194" w:lineRule="exact"/>
              <w:rPr>
                <w:sz w:val="20"/>
                <w:szCs w:val="20"/>
                <w:color w:val="auto"/>
              </w:rPr>
            </w:pPr>
            <w:r>
              <w:rPr>
                <w:rFonts w:ascii="Arial" w:cs="Arial" w:eastAsia="Arial" w:hAnsi="Arial"/>
                <w:sz w:val="20"/>
                <w:szCs w:val="20"/>
                <w:color w:val="auto"/>
              </w:rPr>
              <w:t>Depreciation, depletion and amortization expense</w:t>
            </w:r>
          </w:p>
        </w:tc>
        <w:tc>
          <w:tcPr>
            <w:tcW w:w="24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5040" w:type="dxa"/>
            <w:vAlign w:val="bottom"/>
            <w:shd w:val="clear" w:color="auto" w:fill="CFF0FC"/>
          </w:tcPr>
          <w:p>
            <w:pPr>
              <w:ind w:left="260"/>
              <w:spacing w:after="0" w:line="216" w:lineRule="exact"/>
              <w:rPr>
                <w:sz w:val="20"/>
                <w:szCs w:val="20"/>
                <w:color w:val="auto"/>
              </w:rPr>
            </w:pPr>
            <w:r>
              <w:rPr>
                <w:rFonts w:ascii="Arial" w:cs="Arial" w:eastAsia="Arial" w:hAnsi="Arial"/>
                <w:sz w:val="20"/>
                <w:szCs w:val="20"/>
                <w:color w:val="auto"/>
              </w:rPr>
              <w:t>and earnings/loss from nonconsolidated equity</w:t>
            </w:r>
          </w:p>
        </w:tc>
        <w:tc>
          <w:tcPr>
            <w:tcW w:w="24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8"/>
        </w:trPr>
        <w:tc>
          <w:tcPr>
            <w:tcW w:w="50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affiliates</w:t>
            </w:r>
          </w:p>
        </w:tc>
        <w:tc>
          <w:tcPr>
            <w:tcW w:w="24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165</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136</w:t>
            </w:r>
          </w:p>
        </w:tc>
        <w:tc>
          <w:tcPr>
            <w:tcW w:w="100" w:type="dxa"/>
            <w:vAlign w:val="bottom"/>
            <w:shd w:val="clear" w:color="auto" w:fill="CFF0FC"/>
          </w:tcPr>
          <w:p>
            <w:pPr>
              <w:spacing w:after="0"/>
              <w:rPr>
                <w:sz w:val="20"/>
                <w:szCs w:val="20"/>
                <w:color w:val="auto"/>
              </w:rPr>
            </w:pPr>
          </w:p>
        </w:tc>
      </w:tr>
      <w:tr>
        <w:trPr>
          <w:trHeight w:val="216"/>
        </w:trPr>
        <w:tc>
          <w:tcPr>
            <w:tcW w:w="5040" w:type="dxa"/>
            <w:vAlign w:val="bottom"/>
          </w:tcPr>
          <w:p>
            <w:pPr>
              <w:ind w:left="140"/>
              <w:spacing w:after="0" w:line="216" w:lineRule="exact"/>
              <w:rPr>
                <w:sz w:val="20"/>
                <w:szCs w:val="20"/>
                <w:color w:val="auto"/>
              </w:rPr>
            </w:pPr>
            <w:r>
              <w:rPr>
                <w:rFonts w:ascii="Arial" w:cs="Arial" w:eastAsia="Arial" w:hAnsi="Arial"/>
                <w:sz w:val="20"/>
                <w:szCs w:val="20"/>
                <w:color w:val="auto"/>
              </w:rPr>
              <w:t>Acquisition, divestiture and integration expenses</w:t>
            </w:r>
          </w:p>
        </w:tc>
        <w:tc>
          <w:tcPr>
            <w:tcW w:w="2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jc w:val="right"/>
              <w:spacing w:after="0" w:line="216" w:lineRule="exact"/>
              <w:rPr>
                <w:sz w:val="20"/>
                <w:szCs w:val="20"/>
                <w:color w:val="auto"/>
              </w:rPr>
            </w:pPr>
            <w:r>
              <w:rPr>
                <w:rFonts w:ascii="Arial" w:cs="Arial" w:eastAsia="Arial" w:hAnsi="Arial"/>
                <w:sz w:val="20"/>
                <w:szCs w:val="20"/>
                <w:color w:val="auto"/>
              </w:rPr>
              <w:t>4</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gridSpan w:val="2"/>
          </w:tcPr>
          <w:p>
            <w:pPr>
              <w:jc w:val="right"/>
              <w:ind w:right="120"/>
              <w:spacing w:after="0" w:line="216" w:lineRule="exact"/>
              <w:rPr>
                <w:sz w:val="20"/>
                <w:szCs w:val="20"/>
                <w:color w:val="auto"/>
              </w:rPr>
            </w:pPr>
            <w:r>
              <w:rPr>
                <w:rFonts w:ascii="Arial" w:cs="Arial" w:eastAsia="Arial" w:hAnsi="Arial"/>
                <w:sz w:val="20"/>
                <w:szCs w:val="20"/>
                <w:color w:val="auto"/>
              </w:rPr>
              <w:t>—</w:t>
            </w:r>
          </w:p>
        </w:tc>
      </w:tr>
      <w:tr>
        <w:trPr>
          <w:trHeight w:val="194"/>
        </w:trPr>
        <w:tc>
          <w:tcPr>
            <w:tcW w:w="5040" w:type="dxa"/>
            <w:vAlign w:val="bottom"/>
            <w:shd w:val="clear" w:color="auto" w:fill="CFF0FC"/>
          </w:tcPr>
          <w:p>
            <w:pPr>
              <w:ind w:left="140"/>
              <w:spacing w:after="0" w:line="194" w:lineRule="exact"/>
              <w:rPr>
                <w:sz w:val="20"/>
                <w:szCs w:val="20"/>
                <w:color w:val="auto"/>
              </w:rPr>
            </w:pPr>
            <w:r>
              <w:rPr>
                <w:rFonts w:ascii="Arial" w:cs="Arial" w:eastAsia="Arial" w:hAnsi="Arial"/>
                <w:sz w:val="20"/>
                <w:szCs w:val="20"/>
                <w:color w:val="auto"/>
              </w:rPr>
              <w:t>Impact of selling acquired inventory after markup</w:t>
            </w:r>
          </w:p>
        </w:tc>
        <w:tc>
          <w:tcPr>
            <w:tcW w:w="24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50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to fair value as part of acquisition accounting</w:t>
            </w:r>
          </w:p>
        </w:tc>
        <w:tc>
          <w:tcPr>
            <w:tcW w:w="24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16"/>
        </w:trPr>
        <w:tc>
          <w:tcPr>
            <w:tcW w:w="5040" w:type="dxa"/>
            <w:vAlign w:val="bottom"/>
          </w:tcPr>
          <w:p>
            <w:pPr>
              <w:ind w:left="140"/>
              <w:spacing w:after="0" w:line="216" w:lineRule="exact"/>
              <w:rPr>
                <w:sz w:val="20"/>
                <w:szCs w:val="20"/>
                <w:color w:val="auto"/>
              </w:rPr>
            </w:pPr>
            <w:r>
              <w:rPr>
                <w:rFonts w:ascii="Arial" w:cs="Arial" w:eastAsia="Arial" w:hAnsi="Arial"/>
                <w:sz w:val="20"/>
                <w:szCs w:val="20"/>
                <w:color w:val="auto"/>
              </w:rPr>
              <w:t>Asset and portfolio rationalization charge</w:t>
            </w:r>
          </w:p>
        </w:tc>
        <w:tc>
          <w:tcPr>
            <w:tcW w:w="24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w:t>
            </w:r>
          </w:p>
        </w:tc>
        <w:tc>
          <w:tcPr>
            <w:tcW w:w="2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8"/>
                <w:szCs w:val="18"/>
                <w:color w:val="auto"/>
              </w:rPr>
            </w:pPr>
          </w:p>
        </w:tc>
      </w:tr>
      <w:tr>
        <w:trPr>
          <w:trHeight w:val="249"/>
        </w:trPr>
        <w:tc>
          <w:tcPr>
            <w:tcW w:w="504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Adjusted EBITDA from continuing operations</w:t>
            </w:r>
          </w:p>
        </w:tc>
        <w:tc>
          <w:tcPr>
            <w:tcW w:w="3660" w:type="dxa"/>
            <w:vAlign w:val="bottom"/>
            <w:gridSpan w:val="2"/>
            <w:shd w:val="clear" w:color="auto" w:fill="CFF0FC"/>
          </w:tcPr>
          <w:p>
            <w:pPr>
              <w:jc w:val="right"/>
              <w:ind w:right="981"/>
              <w:spacing w:after="0" w:line="209" w:lineRule="exact"/>
              <w:rPr>
                <w:sz w:val="20"/>
                <w:szCs w:val="20"/>
                <w:color w:val="auto"/>
              </w:rPr>
            </w:pPr>
            <w:r>
              <w:rPr>
                <w:rFonts w:ascii="Arial" w:cs="Arial" w:eastAsia="Arial" w:hAnsi="Arial"/>
                <w:sz w:val="20"/>
                <w:szCs w:val="20"/>
                <w:color w:val="auto"/>
              </w:rPr>
              <w:t>$</w:t>
            </w:r>
          </w:p>
        </w:tc>
        <w:tc>
          <w:tcPr>
            <w:tcW w:w="48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364</w:t>
            </w:r>
          </w:p>
        </w:tc>
        <w:tc>
          <w:tcPr>
            <w:tcW w:w="1460" w:type="dxa"/>
            <w:vAlign w:val="bottom"/>
            <w:gridSpan w:val="2"/>
            <w:shd w:val="clear" w:color="auto" w:fill="CFF0FC"/>
          </w:tcPr>
          <w:p>
            <w:pPr>
              <w:ind w:left="280"/>
              <w:spacing w:after="0" w:line="209" w:lineRule="exact"/>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319</w:t>
            </w:r>
          </w:p>
        </w:tc>
        <w:tc>
          <w:tcPr>
            <w:tcW w:w="100" w:type="dxa"/>
            <w:vAlign w:val="bottom"/>
            <w:shd w:val="clear" w:color="auto" w:fill="CFF0FC"/>
          </w:tcPr>
          <w:p>
            <w:pPr>
              <w:spacing w:after="0"/>
              <w:rPr>
                <w:sz w:val="21"/>
                <w:szCs w:val="21"/>
                <w:color w:val="auto"/>
              </w:rPr>
            </w:pPr>
          </w:p>
        </w:tc>
      </w:tr>
      <w:tr>
        <w:trPr>
          <w:trHeight w:val="868"/>
        </w:trPr>
        <w:tc>
          <w:tcPr>
            <w:tcW w:w="5040" w:type="dxa"/>
            <w:vAlign w:val="bottom"/>
            <w:tcBorders>
              <w:top w:val="single" w:sz="8" w:color="CFF0FC"/>
            </w:tcBorders>
          </w:tcPr>
          <w:p>
            <w:pPr>
              <w:spacing w:after="0"/>
              <w:rPr>
                <w:sz w:val="24"/>
                <w:szCs w:val="24"/>
                <w:color w:val="auto"/>
              </w:rPr>
            </w:pPr>
          </w:p>
        </w:tc>
        <w:tc>
          <w:tcPr>
            <w:tcW w:w="2460" w:type="dxa"/>
            <w:vAlign w:val="bottom"/>
            <w:tcBorders>
              <w:top w:val="single" w:sz="8" w:color="CFF0FC"/>
            </w:tcBorders>
          </w:tcPr>
          <w:p>
            <w:pPr>
              <w:jc w:val="right"/>
              <w:ind w:right="1661"/>
              <w:spacing w:after="0"/>
              <w:rPr>
                <w:sz w:val="20"/>
                <w:szCs w:val="20"/>
                <w:color w:val="auto"/>
              </w:rPr>
            </w:pPr>
            <w:r>
              <w:rPr>
                <w:rFonts w:ascii="Arial" w:cs="Arial" w:eastAsia="Arial" w:hAnsi="Arial"/>
                <w:sz w:val="20"/>
                <w:szCs w:val="20"/>
                <w:color w:val="auto"/>
              </w:rPr>
              <w:t>15</w:t>
            </w:r>
          </w:p>
        </w:tc>
        <w:tc>
          <w:tcPr>
            <w:tcW w:w="1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39"/>
        </w:trPr>
        <w:tc>
          <w:tcPr>
            <w:tcW w:w="50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-1071245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-1053465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Appendix</w:t>
      </w:r>
    </w:p>
    <w:p>
      <w:pPr>
        <w:spacing w:after="0" w:line="200" w:lineRule="exact"/>
        <w:rPr>
          <w:sz w:val="20"/>
          <w:szCs w:val="20"/>
          <w:color w:val="auto"/>
        </w:rPr>
      </w:pPr>
    </w:p>
    <w:p>
      <w:pPr>
        <w:spacing w:after="0" w:line="225"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MARTIN MARIETTA MATERIALS, INC.</w:t>
      </w:r>
    </w:p>
    <w:p>
      <w:pPr>
        <w:spacing w:after="0" w:line="6"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Non-GAAP Financial Measures</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20"/>
          <w:szCs w:val="20"/>
          <w:b w:val="1"/>
          <w:bCs w:val="1"/>
          <w:color w:val="auto"/>
        </w:rPr>
        <w:t>Reconciliation of 2026 Net Earnings from Continuing Operations Attributable to Martin Marietta Guidance to the 2026 Adjusted EBITDA from Continuing Operations Guidance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2"/>
          </w:tcPr>
          <w:p>
            <w:pPr>
              <w:ind w:left="120"/>
              <w:spacing w:after="0"/>
              <w:rPr>
                <w:sz w:val="20"/>
                <w:szCs w:val="20"/>
                <w:color w:val="auto"/>
              </w:rPr>
            </w:pPr>
            <w:r>
              <w:rPr>
                <w:rFonts w:ascii="Arial" w:cs="Arial" w:eastAsia="Arial" w:hAnsi="Arial"/>
                <w:sz w:val="20"/>
                <w:szCs w:val="20"/>
                <w:color w:val="auto"/>
              </w:rPr>
              <w:t>Mid-Point of Range</w:t>
            </w:r>
          </w:p>
        </w:tc>
        <w:tc>
          <w:tcPr>
            <w:tcW w:w="0" w:type="dxa"/>
            <w:vAlign w:val="bottom"/>
          </w:tcPr>
          <w:p>
            <w:pPr>
              <w:spacing w:after="0"/>
              <w:rPr>
                <w:sz w:val="1"/>
                <w:szCs w:val="1"/>
                <w:color w:val="auto"/>
              </w:rPr>
            </w:pPr>
          </w:p>
        </w:tc>
      </w:tr>
      <w:tr>
        <w:trPr>
          <w:trHeight w:val="188"/>
        </w:trPr>
        <w:tc>
          <w:tcPr>
            <w:tcW w:w="7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jc w:val="right"/>
              <w:ind w:right="261"/>
              <w:spacing w:after="0" w:line="188" w:lineRule="exact"/>
              <w:rPr>
                <w:sz w:val="20"/>
                <w:szCs w:val="20"/>
                <w:color w:val="auto"/>
              </w:rPr>
            </w:pPr>
            <w:r>
              <w:rPr>
                <w:rFonts w:ascii="Arial" w:cs="Arial" w:eastAsia="Arial" w:hAnsi="Arial"/>
                <w:sz w:val="20"/>
                <w:szCs w:val="20"/>
                <w:i w:val="1"/>
                <w:iCs w:val="1"/>
                <w:color w:val="auto"/>
              </w:rPr>
              <w:t>(Dollars in 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60" w:type="dxa"/>
            <w:vAlign w:val="bottom"/>
          </w:tcPr>
          <w:p>
            <w:pPr>
              <w:spacing w:after="0"/>
              <w:rPr>
                <w:sz w:val="20"/>
                <w:szCs w:val="20"/>
                <w:color w:val="auto"/>
              </w:rPr>
            </w:pPr>
            <w:r>
              <w:rPr>
                <w:rFonts w:ascii="Arial" w:cs="Arial" w:eastAsia="Arial" w:hAnsi="Arial"/>
                <w:sz w:val="20"/>
                <w:szCs w:val="20"/>
                <w:color w:val="auto"/>
              </w:rPr>
              <w:t>Net earnings from continuing operations attributable to Martin Marietta</w:t>
            </w:r>
          </w:p>
        </w:tc>
        <w:tc>
          <w:tcPr>
            <w:tcW w:w="15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2160" w:type="dxa"/>
            <w:vAlign w:val="bottom"/>
          </w:tcPr>
          <w:p>
            <w:pPr>
              <w:jc w:val="right"/>
              <w:spacing w:after="0"/>
              <w:rPr>
                <w:sz w:val="20"/>
                <w:szCs w:val="20"/>
                <w:color w:val="auto"/>
              </w:rPr>
            </w:pPr>
            <w:r>
              <w:rPr>
                <w:rFonts w:ascii="Arial" w:cs="Arial" w:eastAsia="Arial" w:hAnsi="Arial"/>
                <w:sz w:val="20"/>
                <w:szCs w:val="20"/>
                <w:color w:val="auto"/>
              </w:rPr>
              <w:t>1,115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Add back:</w:t>
            </w: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60"/>
              <w:spacing w:after="0" w:line="216" w:lineRule="exact"/>
              <w:rPr>
                <w:sz w:val="20"/>
                <w:szCs w:val="20"/>
                <w:color w:val="auto"/>
              </w:rPr>
            </w:pPr>
            <w:r>
              <w:rPr>
                <w:rFonts w:ascii="Arial" w:cs="Arial" w:eastAsia="Arial" w:hAnsi="Arial"/>
                <w:sz w:val="20"/>
                <w:szCs w:val="20"/>
                <w:color w:val="auto"/>
              </w:rPr>
              <w:t>Interest expense, net of interest income</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jc w:val="right"/>
              <w:spacing w:after="0" w:line="216" w:lineRule="exact"/>
              <w:rPr>
                <w:sz w:val="20"/>
                <w:szCs w:val="20"/>
                <w:color w:val="auto"/>
              </w:rPr>
            </w:pPr>
            <w:r>
              <w:rPr>
                <w:rFonts w:ascii="Arial" w:cs="Arial" w:eastAsia="Arial" w:hAnsi="Arial"/>
                <w:sz w:val="20"/>
                <w:szCs w:val="20"/>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60"/>
              <w:spacing w:after="0" w:line="216" w:lineRule="exact"/>
              <w:rPr>
                <w:sz w:val="20"/>
                <w:szCs w:val="20"/>
                <w:color w:val="auto"/>
              </w:rPr>
            </w:pPr>
            <w:r>
              <w:rPr>
                <w:rFonts w:ascii="Arial" w:cs="Arial" w:eastAsia="Arial" w:hAnsi="Arial"/>
                <w:sz w:val="20"/>
                <w:szCs w:val="20"/>
                <w:color w:val="auto"/>
              </w:rPr>
              <w:t>Income tax expense for controlling interests</w:t>
            </w: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460" w:type="dxa"/>
            <w:vAlign w:val="bottom"/>
          </w:tcPr>
          <w:p>
            <w:pPr>
              <w:ind w:left="160"/>
              <w:spacing w:after="0" w:line="194" w:lineRule="exact"/>
              <w:rPr>
                <w:sz w:val="20"/>
                <w:szCs w:val="20"/>
                <w:color w:val="auto"/>
              </w:rPr>
            </w:pPr>
            <w:r>
              <w:rPr>
                <w:rFonts w:ascii="Arial" w:cs="Arial" w:eastAsia="Arial" w:hAnsi="Arial"/>
                <w:sz w:val="20"/>
                <w:szCs w:val="20"/>
                <w:color w:val="auto"/>
              </w:rPr>
              <w:t>Depreciation, depletion and amortization expense and earnings/loss</w:t>
            </w: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60" w:type="dxa"/>
            <w:vAlign w:val="bottom"/>
          </w:tcPr>
          <w:p>
            <w:pPr>
              <w:ind w:left="280"/>
              <w:spacing w:after="0"/>
              <w:rPr>
                <w:sz w:val="20"/>
                <w:szCs w:val="20"/>
                <w:color w:val="auto"/>
              </w:rPr>
            </w:pPr>
            <w:r>
              <w:rPr>
                <w:rFonts w:ascii="Arial" w:cs="Arial" w:eastAsia="Arial" w:hAnsi="Arial"/>
                <w:sz w:val="20"/>
                <w:szCs w:val="20"/>
                <w:color w:val="auto"/>
              </w:rPr>
              <w:t>from nonconsolidated equity affiliates</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737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60"/>
              <w:spacing w:after="0" w:line="216" w:lineRule="exact"/>
              <w:rPr>
                <w:sz w:val="20"/>
                <w:szCs w:val="20"/>
                <w:color w:val="auto"/>
              </w:rPr>
            </w:pPr>
            <w:r>
              <w:rPr>
                <w:rFonts w:ascii="Arial" w:cs="Arial" w:eastAsia="Arial" w:hAnsi="Arial"/>
                <w:sz w:val="20"/>
                <w:szCs w:val="20"/>
                <w:color w:val="auto"/>
              </w:rPr>
              <w:t>Acquisition, divestiture and integration expenses</w:t>
            </w: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460" w:type="dxa"/>
            <w:vAlign w:val="bottom"/>
          </w:tcPr>
          <w:p>
            <w:pPr>
              <w:ind w:left="160"/>
              <w:spacing w:after="0" w:line="194" w:lineRule="exact"/>
              <w:rPr>
                <w:sz w:val="20"/>
                <w:szCs w:val="20"/>
                <w:color w:val="auto"/>
              </w:rPr>
            </w:pPr>
            <w:r>
              <w:rPr>
                <w:rFonts w:ascii="Arial" w:cs="Arial" w:eastAsia="Arial" w:hAnsi="Arial"/>
                <w:sz w:val="20"/>
                <w:szCs w:val="20"/>
                <w:color w:val="auto"/>
              </w:rPr>
              <w:t>Impact of selling acquired inventory after markup to fair value as</w:t>
            </w: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60" w:type="dxa"/>
            <w:vAlign w:val="bottom"/>
          </w:tcPr>
          <w:p>
            <w:pPr>
              <w:ind w:left="280"/>
              <w:spacing w:after="0"/>
              <w:rPr>
                <w:sz w:val="20"/>
                <w:szCs w:val="20"/>
                <w:color w:val="auto"/>
              </w:rPr>
            </w:pPr>
            <w:r>
              <w:rPr>
                <w:rFonts w:ascii="Arial" w:cs="Arial" w:eastAsia="Arial" w:hAnsi="Arial"/>
                <w:sz w:val="20"/>
                <w:szCs w:val="20"/>
                <w:color w:val="auto"/>
              </w:rPr>
              <w:t>part of acquisition accounting</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60" w:type="dxa"/>
            <w:vAlign w:val="bottom"/>
            <w:tcBorders>
              <w:bottom w:val="single" w:sz="8" w:color="CFF0FC"/>
            </w:tcBorders>
            <w:shd w:val="clear" w:color="auto" w:fill="CFF0FC"/>
          </w:tcPr>
          <w:p>
            <w:pPr>
              <w:ind w:left="160"/>
              <w:spacing w:after="0" w:line="216" w:lineRule="exact"/>
              <w:rPr>
                <w:sz w:val="20"/>
                <w:szCs w:val="20"/>
                <w:color w:val="auto"/>
              </w:rPr>
            </w:pPr>
            <w:r>
              <w:rPr>
                <w:rFonts w:ascii="Arial" w:cs="Arial" w:eastAsia="Arial" w:hAnsi="Arial"/>
                <w:sz w:val="20"/>
                <w:szCs w:val="20"/>
                <w:color w:val="auto"/>
              </w:rPr>
              <w:t>Asset and portfolio rationalization charge</w:t>
            </w:r>
          </w:p>
        </w:tc>
        <w:tc>
          <w:tcPr>
            <w:tcW w:w="1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tcPr>
          <w:p>
            <w:pPr>
              <w:spacing w:after="0" w:line="196" w:lineRule="exact"/>
              <w:rPr>
                <w:sz w:val="20"/>
                <w:szCs w:val="20"/>
                <w:color w:val="auto"/>
              </w:rPr>
            </w:pPr>
            <w:r>
              <w:rPr>
                <w:rFonts w:ascii="Arial" w:cs="Arial" w:eastAsia="Arial" w:hAnsi="Arial"/>
                <w:sz w:val="20"/>
                <w:szCs w:val="20"/>
                <w:color w:val="auto"/>
              </w:rPr>
              <w:t>Adjusted EBITDA from continuing operations</w:t>
            </w:r>
          </w:p>
        </w:tc>
        <w:tc>
          <w:tcPr>
            <w:tcW w:w="1520" w:type="dxa"/>
            <w:vAlign w:val="bottom"/>
            <w:gridSpan w:val="2"/>
          </w:tcPr>
          <w:p>
            <w:pPr>
              <w:jc w:val="right"/>
              <w:ind w:right="100"/>
              <w:spacing w:after="0" w:line="196" w:lineRule="exact"/>
              <w:rPr>
                <w:sz w:val="20"/>
                <w:szCs w:val="20"/>
                <w:color w:val="auto"/>
              </w:rPr>
            </w:pPr>
            <w:r>
              <w:rPr>
                <w:rFonts w:ascii="Arial" w:cs="Arial" w:eastAsia="Arial" w:hAnsi="Arial"/>
                <w:sz w:val="20"/>
                <w:szCs w:val="20"/>
                <w:color w:val="auto"/>
              </w:rPr>
              <w:t>$</w:t>
            </w:r>
          </w:p>
        </w:tc>
        <w:tc>
          <w:tcPr>
            <w:tcW w:w="2160" w:type="dxa"/>
            <w:vAlign w:val="bottom"/>
          </w:tcPr>
          <w:p>
            <w:pPr>
              <w:jc w:val="right"/>
              <w:spacing w:after="0" w:line="196" w:lineRule="exact"/>
              <w:rPr>
                <w:sz w:val="20"/>
                <w:szCs w:val="20"/>
                <w:color w:val="auto"/>
              </w:rPr>
            </w:pPr>
            <w:r>
              <w:rPr>
                <w:rFonts w:ascii="Arial" w:cs="Arial" w:eastAsia="Arial" w:hAnsi="Arial"/>
                <w:sz w:val="20"/>
                <w:szCs w:val="20"/>
                <w:color w:val="auto"/>
              </w:rPr>
              <w:t>2,430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ind w:left="5520"/>
              <w:spacing w:after="0"/>
              <w:rPr>
                <w:sz w:val="20"/>
                <w:szCs w:val="20"/>
                <w:color w:val="auto"/>
              </w:rPr>
            </w:pPr>
            <w:r>
              <w:rPr>
                <w:rFonts w:ascii="Arial" w:cs="Arial" w:eastAsia="Arial" w:hAnsi="Arial"/>
                <w:sz w:val="20"/>
                <w:szCs w:val="20"/>
                <w:color w:val="auto"/>
              </w:rPr>
              <w:t>16</w:t>
            </w:r>
          </w:p>
        </w:tc>
        <w:tc>
          <w:tcPr>
            <w:tcW w:w="1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8"/>
        </w:trPr>
        <w:tc>
          <w:tcPr>
            <w:tcW w:w="74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9"/>
        </w:trPr>
        <w:tc>
          <w:tcPr>
            <w:tcW w:w="74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color w:val="auto"/>
        </w:rPr>
        <w:t>Appendix</w:t>
      </w:r>
    </w:p>
    <w:p>
      <w:pPr>
        <w:spacing w:after="0" w:line="200" w:lineRule="exact"/>
        <w:rPr>
          <w:sz w:val="20"/>
          <w:szCs w:val="20"/>
          <w:color w:val="auto"/>
        </w:rPr>
      </w:pPr>
    </w:p>
    <w:p>
      <w:pPr>
        <w:spacing w:after="0" w:line="225"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MARTIN MARIETTA MATERIALS, INC.</w:t>
      </w:r>
    </w:p>
    <w:p>
      <w:pPr>
        <w:spacing w:after="0" w:line="6"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Non-GAAP Financial Measures</w:t>
      </w:r>
    </w:p>
    <w:p>
      <w:pPr>
        <w:spacing w:after="0" w:line="18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Adjusted earnings per diluted share from continuing operations is a non-GAAP financial measure used by the Company and by investors to evaluate operating performance and enhance comparability across reporting periods. The Company calculates Adjusted earnings per diluted share from continuing operations by excluding the impact of certain items that management believes are not indicative of the Company's underlying performance from period to period, including impacts directly related to acquisition and divestiture activity as well as asset and portfolio rationalization charges. The Company has elected to add back, for purposes of its Adjusted earnings per diluted share from continuing operations calculation, acquisition, divestiture and integration expenses, the impact of selling acquired inventory after its markup to fair value as part of acquisition accounting and the revaluation of deferred tax liabilities, only for transactions with consideration of at least $2.0 billion for the Building Materials business or $200 million for the Specialties business.</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Adjusted earnings per diluted share from continuing operations is not defined by accounting principles generally accepted in the United States (GAAP) and, as such, should not be construed as an alternative to earnings per diluted share from continuing operations. For further information on Adjusted earnings per diluted share from continuing operations, refer to the Company’s website at www.martinmarietta.com.</w:t>
      </w:r>
    </w:p>
    <w:p>
      <w:pPr>
        <w:spacing w:after="0" w:line="163"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color w:val="auto"/>
        </w:rPr>
        <w:t>Reconciliation of Earnings per Diluted Share from Continuing Operations to Adjusted Earnings per Diluted Share from Continuing Operations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gridSpan w:val="4"/>
          </w:tcPr>
          <w:p>
            <w:pPr>
              <w:jc w:val="right"/>
              <w:ind w:right="281"/>
              <w:spacing w:after="0"/>
              <w:rPr>
                <w:sz w:val="20"/>
                <w:szCs w:val="20"/>
                <w:color w:val="auto"/>
              </w:rPr>
            </w:pPr>
            <w:r>
              <w:rPr>
                <w:rFonts w:ascii="Arial" w:cs="Arial" w:eastAsia="Arial" w:hAnsi="Arial"/>
                <w:sz w:val="20"/>
                <w:szCs w:val="20"/>
                <w:color w:val="auto"/>
              </w:rPr>
              <w:t>Three Months Ended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781"/>
              <w:spacing w:after="0"/>
              <w:rPr>
                <w:sz w:val="20"/>
                <w:szCs w:val="20"/>
                <w:color w:val="auto"/>
              </w:rPr>
            </w:pPr>
            <w:r>
              <w:rPr>
                <w:rFonts w:ascii="Arial" w:cs="Arial" w:eastAsia="Arial" w:hAnsi="Arial"/>
                <w:sz w:val="20"/>
                <w:szCs w:val="20"/>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2026</w:t>
            </w:r>
          </w:p>
        </w:tc>
        <w:tc>
          <w:tcPr>
            <w:tcW w:w="5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bottom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5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jc w:val="right"/>
              <w:spacing w:after="0" w:line="188" w:lineRule="exact"/>
              <w:rPr>
                <w:sz w:val="20"/>
                <w:szCs w:val="20"/>
                <w:color w:val="auto"/>
              </w:rPr>
            </w:pPr>
            <w:r>
              <w:rPr>
                <w:rFonts w:ascii="Arial" w:cs="Arial" w:eastAsia="Arial" w:hAnsi="Arial"/>
                <w:sz w:val="20"/>
                <w:szCs w:val="20"/>
                <w:i w:val="1"/>
                <w:iCs w:val="1"/>
                <w:color w:val="auto"/>
              </w:rPr>
              <w:t>(Dollars per</w:t>
            </w:r>
          </w:p>
        </w:tc>
        <w:tc>
          <w:tcPr>
            <w:tcW w:w="1440" w:type="dxa"/>
            <w:vAlign w:val="bottom"/>
            <w:gridSpan w:val="2"/>
          </w:tcPr>
          <w:p>
            <w:pPr>
              <w:jc w:val="right"/>
              <w:ind w:right="41"/>
              <w:spacing w:after="0" w:line="188" w:lineRule="exact"/>
              <w:rPr>
                <w:sz w:val="20"/>
                <w:szCs w:val="20"/>
                <w:color w:val="auto"/>
              </w:rPr>
            </w:pPr>
            <w:r>
              <w:rPr>
                <w:rFonts w:ascii="Arial" w:cs="Arial" w:eastAsia="Arial" w:hAnsi="Arial"/>
                <w:sz w:val="20"/>
                <w:szCs w:val="20"/>
                <w:i w:val="1"/>
                <w:iCs w:val="1"/>
                <w:color w:val="auto"/>
              </w:rPr>
              <w:t>Diluted Share)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r>
              <w:rPr>
                <w:rFonts w:ascii="Arial" w:cs="Arial" w:eastAsia="Arial" w:hAnsi="Arial"/>
                <w:sz w:val="20"/>
                <w:szCs w:val="20"/>
                <w:color w:val="auto"/>
              </w:rPr>
              <w:t>Earnings per diluted share from continuing operations</w:t>
            </w:r>
          </w:p>
        </w:tc>
        <w:tc>
          <w:tcPr>
            <w:tcW w:w="3140" w:type="dxa"/>
            <w:vAlign w:val="bottom"/>
            <w:gridSpan w:val="3"/>
          </w:tcPr>
          <w:p>
            <w:pPr>
              <w:jc w:val="right"/>
              <w:ind w:right="941"/>
              <w:spacing w:after="0"/>
              <w:rPr>
                <w:sz w:val="20"/>
                <w:szCs w:val="20"/>
                <w:color w:val="auto"/>
              </w:rPr>
            </w:pPr>
            <w:r>
              <w:rPr>
                <w:rFonts w:ascii="Arial" w:cs="Arial" w:eastAsia="Arial" w:hAnsi="Arial"/>
                <w:sz w:val="20"/>
                <w:szCs w:val="20"/>
                <w:color w:val="auto"/>
              </w:rPr>
              <w:t>$</w:t>
            </w:r>
          </w:p>
        </w:tc>
        <w:tc>
          <w:tcPr>
            <w:tcW w:w="520" w:type="dxa"/>
            <w:vAlign w:val="bottom"/>
          </w:tcPr>
          <w:p>
            <w:pPr>
              <w:jc w:val="right"/>
              <w:spacing w:after="0"/>
              <w:rPr>
                <w:sz w:val="20"/>
                <w:szCs w:val="20"/>
                <w:color w:val="auto"/>
              </w:rPr>
            </w:pPr>
            <w:r>
              <w:rPr>
                <w:rFonts w:ascii="Arial" w:cs="Arial" w:eastAsia="Arial" w:hAnsi="Arial"/>
                <w:sz w:val="20"/>
                <w:szCs w:val="20"/>
                <w:color w:val="auto"/>
              </w:rPr>
              <w:t>1.31</w:t>
            </w:r>
          </w:p>
        </w:tc>
        <w:tc>
          <w:tcPr>
            <w:tcW w:w="1440" w:type="dxa"/>
            <w:vAlign w:val="bottom"/>
            <w:gridSpan w:val="2"/>
          </w:tcPr>
          <w:p>
            <w:pPr>
              <w:jc w:val="right"/>
              <w:ind w:right="961"/>
              <w:spacing w:after="0"/>
              <w:rPr>
                <w:sz w:val="20"/>
                <w:szCs w:val="20"/>
                <w:color w:val="auto"/>
              </w:rPr>
            </w:pPr>
            <w:r>
              <w:rPr>
                <w:rFonts w:ascii="Arial" w:cs="Arial" w:eastAsia="Arial" w:hAnsi="Arial"/>
                <w:sz w:val="20"/>
                <w:szCs w:val="20"/>
                <w:color w:val="auto"/>
              </w:rPr>
              <w:t>$</w:t>
            </w:r>
          </w:p>
        </w:tc>
        <w:tc>
          <w:tcPr>
            <w:tcW w:w="520" w:type="dxa"/>
            <w:vAlign w:val="bottom"/>
          </w:tcPr>
          <w:p>
            <w:pPr>
              <w:jc w:val="right"/>
              <w:spacing w:after="0"/>
              <w:rPr>
                <w:sz w:val="20"/>
                <w:szCs w:val="20"/>
                <w:color w:val="auto"/>
              </w:rPr>
            </w:pPr>
            <w:r>
              <w:rPr>
                <w:rFonts w:ascii="Arial" w:cs="Arial" w:eastAsia="Arial" w:hAnsi="Arial"/>
                <w:sz w:val="20"/>
                <w:szCs w:val="20"/>
                <w:color w:val="auto"/>
              </w:rPr>
              <w:t>1.70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Add back:</w:t>
            </w:r>
          </w:p>
        </w:tc>
        <w:tc>
          <w:tcPr>
            <w:tcW w:w="18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40"/>
              <w:spacing w:after="0" w:line="216" w:lineRule="exact"/>
              <w:rPr>
                <w:sz w:val="20"/>
                <w:szCs w:val="20"/>
                <w:color w:val="auto"/>
              </w:rPr>
            </w:pPr>
            <w:r>
              <w:rPr>
                <w:rFonts w:ascii="Arial" w:cs="Arial" w:eastAsia="Arial" w:hAnsi="Arial"/>
                <w:sz w:val="20"/>
                <w:szCs w:val="20"/>
                <w:color w:val="auto"/>
              </w:rPr>
              <w:t>Acquisition, divestiture and integration expenses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line="216" w:lineRule="exact"/>
              <w:rPr>
                <w:sz w:val="20"/>
                <w:szCs w:val="20"/>
                <w:color w:val="auto"/>
              </w:rPr>
            </w:pPr>
            <w:r>
              <w:rPr>
                <w:rFonts w:ascii="Arial" w:cs="Arial" w:eastAsia="Arial" w:hAnsi="Arial"/>
                <w:sz w:val="20"/>
                <w:szCs w:val="20"/>
                <w:color w:val="auto"/>
              </w:rPr>
              <w:t>0.06</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2"/>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4"/>
        </w:trPr>
        <w:tc>
          <w:tcPr>
            <w:tcW w:w="5520" w:type="dxa"/>
            <w:vAlign w:val="bottom"/>
            <w:shd w:val="clear" w:color="auto" w:fill="CFF0FC"/>
          </w:tcPr>
          <w:p>
            <w:pPr>
              <w:ind w:left="140"/>
              <w:spacing w:after="0" w:line="194" w:lineRule="exact"/>
              <w:rPr>
                <w:sz w:val="20"/>
                <w:szCs w:val="20"/>
                <w:color w:val="auto"/>
              </w:rPr>
            </w:pPr>
            <w:r>
              <w:rPr>
                <w:rFonts w:ascii="Arial" w:cs="Arial" w:eastAsia="Arial" w:hAnsi="Arial"/>
                <w:sz w:val="20"/>
                <w:szCs w:val="20"/>
                <w:color w:val="auto"/>
              </w:rPr>
              <w:t>Impact of selling acquired inventory after markup</w:t>
            </w:r>
          </w:p>
        </w:tc>
        <w:tc>
          <w:tcPr>
            <w:tcW w:w="18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to fair value as part of acquisition accounting</w:t>
            </w:r>
          </w:p>
        </w:tc>
        <w:tc>
          <w:tcPr>
            <w:tcW w:w="1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0.28</w:t>
            </w: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140"/>
              <w:spacing w:after="0" w:line="216" w:lineRule="exact"/>
              <w:rPr>
                <w:sz w:val="20"/>
                <w:szCs w:val="20"/>
                <w:color w:val="auto"/>
              </w:rPr>
            </w:pPr>
            <w:r>
              <w:rPr>
                <w:rFonts w:ascii="Arial" w:cs="Arial" w:eastAsia="Arial" w:hAnsi="Arial"/>
                <w:sz w:val="20"/>
                <w:szCs w:val="20"/>
                <w:color w:val="auto"/>
              </w:rPr>
              <w:t>Asset and portfolio rationalization charge</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line="216" w:lineRule="exact"/>
              <w:rPr>
                <w:sz w:val="20"/>
                <w:szCs w:val="20"/>
                <w:color w:val="auto"/>
              </w:rPr>
            </w:pPr>
            <w:r>
              <w:rPr>
                <w:rFonts w:ascii="Arial" w:cs="Arial" w:eastAsia="Arial" w:hAnsi="Arial"/>
                <w:sz w:val="20"/>
                <w:szCs w:val="20"/>
                <w:color w:val="auto"/>
              </w:rPr>
              <w:t>0.02</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2"/>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5520" w:type="dxa"/>
            <w:vAlign w:val="bottom"/>
            <w:tcBorders>
              <w:bottom w:val="single" w:sz="8" w:color="CFF0FC"/>
            </w:tcBorders>
            <w:shd w:val="clear" w:color="auto" w:fill="CFF0FC"/>
          </w:tcPr>
          <w:p>
            <w:pPr>
              <w:ind w:left="140"/>
              <w:spacing w:after="0" w:line="216" w:lineRule="exact"/>
              <w:rPr>
                <w:sz w:val="20"/>
                <w:szCs w:val="20"/>
                <w:color w:val="auto"/>
              </w:rPr>
            </w:pPr>
            <w:r>
              <w:rPr>
                <w:rFonts w:ascii="Arial" w:cs="Arial" w:eastAsia="Arial" w:hAnsi="Arial"/>
                <w:sz w:val="20"/>
                <w:szCs w:val="20"/>
                <w:color w:val="auto"/>
              </w:rPr>
              <w:t>Revaluation of deferred tax liabilities</w:t>
            </w:r>
          </w:p>
        </w:tc>
        <w:tc>
          <w:tcPr>
            <w:tcW w:w="18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0.26</w:t>
            </w:r>
          </w:p>
        </w:tc>
        <w:tc>
          <w:tcPr>
            <w:tcW w:w="2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line="209" w:lineRule="exact"/>
              <w:rPr>
                <w:sz w:val="20"/>
                <w:szCs w:val="20"/>
                <w:color w:val="auto"/>
              </w:rPr>
            </w:pPr>
            <w:r>
              <w:rPr>
                <w:rFonts w:ascii="Arial" w:cs="Arial" w:eastAsia="Arial" w:hAnsi="Arial"/>
                <w:sz w:val="20"/>
                <w:szCs w:val="20"/>
                <w:color w:val="auto"/>
                <w:w w:val="98"/>
              </w:rPr>
              <w:t>Adjusted earnings per diluted share from continuing operations</w:t>
            </w:r>
          </w:p>
        </w:tc>
        <w:tc>
          <w:tcPr>
            <w:tcW w:w="3140" w:type="dxa"/>
            <w:vAlign w:val="bottom"/>
            <w:gridSpan w:val="3"/>
          </w:tcPr>
          <w:p>
            <w:pPr>
              <w:jc w:val="right"/>
              <w:ind w:right="941"/>
              <w:spacing w:after="0" w:line="209" w:lineRule="exact"/>
              <w:rPr>
                <w:sz w:val="20"/>
                <w:szCs w:val="20"/>
                <w:color w:val="auto"/>
              </w:rPr>
            </w:pPr>
            <w:r>
              <w:rPr>
                <w:rFonts w:ascii="Arial" w:cs="Arial" w:eastAsia="Arial" w:hAnsi="Arial"/>
                <w:sz w:val="20"/>
                <w:szCs w:val="20"/>
                <w:color w:val="auto"/>
              </w:rPr>
              <w:t>$</w:t>
            </w:r>
          </w:p>
        </w:tc>
        <w:tc>
          <w:tcPr>
            <w:tcW w:w="520" w:type="dxa"/>
            <w:vAlign w:val="bottom"/>
          </w:tcPr>
          <w:p>
            <w:pPr>
              <w:jc w:val="right"/>
              <w:spacing w:after="0" w:line="209" w:lineRule="exact"/>
              <w:rPr>
                <w:sz w:val="20"/>
                <w:szCs w:val="20"/>
                <w:color w:val="auto"/>
              </w:rPr>
            </w:pPr>
            <w:r>
              <w:rPr>
                <w:rFonts w:ascii="Arial" w:cs="Arial" w:eastAsia="Arial" w:hAnsi="Arial"/>
                <w:sz w:val="20"/>
                <w:szCs w:val="20"/>
                <w:color w:val="auto"/>
              </w:rPr>
              <w:t>1.93</w:t>
            </w:r>
          </w:p>
        </w:tc>
        <w:tc>
          <w:tcPr>
            <w:tcW w:w="1440" w:type="dxa"/>
            <w:vAlign w:val="bottom"/>
            <w:gridSpan w:val="2"/>
          </w:tcPr>
          <w:p>
            <w:pPr>
              <w:jc w:val="right"/>
              <w:ind w:right="961"/>
              <w:spacing w:after="0" w:line="209" w:lineRule="exact"/>
              <w:rPr>
                <w:sz w:val="20"/>
                <w:szCs w:val="20"/>
                <w:color w:val="auto"/>
              </w:rPr>
            </w:pPr>
            <w:r>
              <w:rPr>
                <w:rFonts w:ascii="Arial" w:cs="Arial" w:eastAsia="Arial" w:hAnsi="Arial"/>
                <w:sz w:val="20"/>
                <w:szCs w:val="20"/>
                <w:color w:val="auto"/>
              </w:rPr>
              <w:t>$</w:t>
            </w:r>
          </w:p>
        </w:tc>
        <w:tc>
          <w:tcPr>
            <w:tcW w:w="520" w:type="dxa"/>
            <w:vAlign w:val="bottom"/>
          </w:tcPr>
          <w:p>
            <w:pPr>
              <w:jc w:val="right"/>
              <w:spacing w:after="0" w:line="209" w:lineRule="exact"/>
              <w:rPr>
                <w:sz w:val="20"/>
                <w:szCs w:val="20"/>
                <w:color w:val="auto"/>
              </w:rPr>
            </w:pPr>
            <w:r>
              <w:rPr>
                <w:rFonts w:ascii="Arial" w:cs="Arial" w:eastAsia="Arial" w:hAnsi="Arial"/>
                <w:sz w:val="20"/>
                <w:szCs w:val="20"/>
                <w:color w:val="auto"/>
              </w:rPr>
              <w:t>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00" w:type="dxa"/>
            <w:vAlign w:val="bottom"/>
            <w:vMerge w:val="restart"/>
          </w:tcPr>
          <w:p>
            <w:pPr>
              <w:jc w:val="right"/>
              <w:ind w:right="1481"/>
              <w:spacing w:after="0"/>
              <w:rPr>
                <w:sz w:val="20"/>
                <w:szCs w:val="20"/>
                <w:color w:val="auto"/>
              </w:rPr>
            </w:pPr>
            <w:r>
              <w:rPr>
                <w:rFonts w:ascii="Arial" w:cs="Arial" w:eastAsia="Arial" w:hAnsi="Arial"/>
                <w:sz w:val="20"/>
                <w:szCs w:val="20"/>
                <w:color w:val="auto"/>
                <w:w w:val="89"/>
              </w:rPr>
              <w:t>17</w:t>
            </w: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55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0"/>
        </w:trPr>
        <w:tc>
          <w:tcPr>
            <w:tcW w:w="55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-1079500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2"/>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2026-04-30T06:09:27Z</dcterms:created>
  <dcterms:modified xsi:type="dcterms:W3CDTF">2026-04-30T06:09:27Z</dcterms:modified>
</cp:coreProperties>
</file>