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 w:lineRule="exact"/>
        <w:rPr>
          <w:sz w:val="24"/>
          <w:szCs w:val="24"/>
          <w:color w:val="auto"/>
        </w:rPr>
      </w:pPr>
    </w:p>
    <w:p>
      <w:pPr>
        <w:ind w:left="3640" w:right="1300" w:hanging="3632"/>
        <w:spacing w:after="0" w:line="243" w:lineRule="auto"/>
        <w:tabs>
          <w:tab w:leader="none" w:pos="51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 For the quarterly period ended September 30, 2017</w:t>
      </w:r>
    </w:p>
    <w:p>
      <w:pPr>
        <w:spacing w:after="0" w:line="18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ectPr>
          <w:pgSz w:w="11900" w:h="16838" w:orient="portrait"/>
          <w:cols w:equalWidth="0" w:num="1">
            <w:col w:w="11440"/>
          </w:cols>
          <w:pgMar w:left="240" w:top="595" w:right="219" w:bottom="1440" w:gutter="0" w:footer="0" w:header="0"/>
        </w:sectPr>
      </w:pPr>
    </w:p>
    <w:p>
      <w:pPr>
        <w:spacing w:after="0" w:line="31" w:lineRule="exact"/>
        <w:rPr>
          <w:sz w:val="24"/>
          <w:szCs w:val="24"/>
          <w:color w:val="auto"/>
        </w:rPr>
      </w:pPr>
    </w:p>
    <w:p>
      <w:pPr>
        <w:jc w:val="right"/>
        <w:ind w:right="4400"/>
        <w:spacing w:after="0"/>
        <w:tabs>
          <w:tab w:leader="none" w:pos="180" w:val="left"/>
        </w:tabs>
        <w:rPr>
          <w:sz w:val="20"/>
          <w:szCs w:val="20"/>
          <w:color w:val="auto"/>
        </w:rPr>
      </w:pPr>
      <w:r>
        <w:rPr>
          <w:rFonts w:ascii="Times New Roman" w:cs="Times New Roman" w:eastAsia="Times New Roman" w:hAnsi="Times New Roman"/>
          <w:sz w:val="19"/>
          <w:szCs w:val="19"/>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jc w:val="right"/>
        <w:ind w:right="4360"/>
        <w:spacing w:after="0"/>
        <w:rPr>
          <w:sz w:val="20"/>
          <w:szCs w:val="20"/>
          <w:color w:val="auto"/>
        </w:rPr>
      </w:pPr>
      <w:r>
        <w:rPr>
          <w:rFonts w:ascii="Times New Roman" w:cs="Times New Roman" w:eastAsia="Times New Roman" w:hAnsi="Times New Roman"/>
          <w:sz w:val="19"/>
          <w:szCs w:val="19"/>
          <w:b w:val="1"/>
          <w:bCs w:val="1"/>
          <w:color w:val="auto"/>
        </w:rPr>
        <w:t>Commission File Number 1-12744</w:t>
      </w:r>
    </w:p>
    <w:p>
      <w:pPr>
        <w:sectPr>
          <w:pgSz w:w="11900" w:h="16838" w:orient="portrait"/>
          <w:cols w:equalWidth="0" w:num="1">
            <w:col w:w="11440"/>
          </w:cols>
          <w:pgMar w:left="240" w:top="595" w:right="219" w:bottom="1440" w:gutter="0" w:footer="0" w:header="0"/>
          <w:type w:val="continuous"/>
        </w:sectPr>
      </w:pP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62865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1240" w:type="dxa"/>
        <w:tblCellMar>
          <w:top w:w="0" w:type="dxa"/>
          <w:left w:w="0" w:type="dxa"/>
          <w:bottom w:w="0" w:type="dxa"/>
          <w:right w:w="0" w:type="dxa"/>
        </w:tblCellMar>
      </w:tblPr>
      <w:tr>
        <w:trPr>
          <w:trHeight w:val="218"/>
        </w:trPr>
        <w:tc>
          <w:tcPr>
            <w:tcW w:w="4800" w:type="dxa"/>
            <w:vAlign w:val="bottom"/>
          </w:tcPr>
          <w:p>
            <w:pPr>
              <w:jc w:val="center"/>
              <w:ind w:right="1505"/>
              <w:spacing w:after="0"/>
              <w:rPr>
                <w:sz w:val="20"/>
                <w:szCs w:val="20"/>
                <w:color w:val="auto"/>
              </w:rPr>
            </w:pPr>
            <w:r>
              <w:rPr>
                <w:rFonts w:ascii="Times New Roman" w:cs="Times New Roman" w:eastAsia="Times New Roman" w:hAnsi="Times New Roman"/>
                <w:sz w:val="19"/>
                <w:szCs w:val="19"/>
                <w:b w:val="1"/>
                <w:bCs w:val="1"/>
                <w:color w:val="auto"/>
                <w:w w:val="99"/>
              </w:rPr>
              <w:t>North Carolina</w:t>
            </w:r>
          </w:p>
        </w:tc>
        <w:tc>
          <w:tcPr>
            <w:tcW w:w="3520" w:type="dxa"/>
            <w:vAlign w:val="bottom"/>
          </w:tcPr>
          <w:p>
            <w:pPr>
              <w:jc w:val="center"/>
              <w:ind w:left="1545"/>
              <w:spacing w:after="0"/>
              <w:rPr>
                <w:sz w:val="20"/>
                <w:szCs w:val="20"/>
                <w:color w:val="auto"/>
              </w:rPr>
            </w:pPr>
            <w:r>
              <w:rPr>
                <w:rFonts w:ascii="Times New Roman" w:cs="Times New Roman" w:eastAsia="Times New Roman" w:hAnsi="Times New Roman"/>
                <w:sz w:val="19"/>
                <w:szCs w:val="19"/>
                <w:b w:val="1"/>
                <w:bCs w:val="1"/>
                <w:color w:val="auto"/>
              </w:rPr>
              <w:t>56-1848578</w:t>
            </w:r>
          </w:p>
        </w:tc>
      </w:tr>
      <w:tr>
        <w:trPr>
          <w:trHeight w:val="216"/>
        </w:trPr>
        <w:tc>
          <w:tcPr>
            <w:tcW w:w="4800" w:type="dxa"/>
            <w:vAlign w:val="bottom"/>
          </w:tcPr>
          <w:p>
            <w:pPr>
              <w:jc w:val="center"/>
              <w:ind w:right="1565"/>
              <w:spacing w:after="0" w:line="216" w:lineRule="exact"/>
              <w:rPr>
                <w:sz w:val="20"/>
                <w:szCs w:val="20"/>
                <w:color w:val="auto"/>
              </w:rPr>
            </w:pPr>
            <w:r>
              <w:rPr>
                <w:rFonts w:ascii="Times New Roman" w:cs="Times New Roman" w:eastAsia="Times New Roman" w:hAnsi="Times New Roman"/>
                <w:sz w:val="19"/>
                <w:szCs w:val="19"/>
                <w:b w:val="1"/>
                <w:bCs w:val="1"/>
                <w:color w:val="auto"/>
              </w:rPr>
              <w:t>(State or other jurisdiction of</w:t>
            </w:r>
          </w:p>
        </w:tc>
        <w:tc>
          <w:tcPr>
            <w:tcW w:w="3520" w:type="dxa"/>
            <w:vAlign w:val="bottom"/>
          </w:tcPr>
          <w:p>
            <w:pPr>
              <w:jc w:val="center"/>
              <w:ind w:left="1545"/>
              <w:spacing w:after="0" w:line="216" w:lineRule="exact"/>
              <w:rPr>
                <w:sz w:val="20"/>
                <w:szCs w:val="20"/>
                <w:color w:val="auto"/>
              </w:rPr>
            </w:pPr>
            <w:r>
              <w:rPr>
                <w:rFonts w:ascii="Times New Roman" w:cs="Times New Roman" w:eastAsia="Times New Roman" w:hAnsi="Times New Roman"/>
                <w:sz w:val="19"/>
                <w:szCs w:val="19"/>
                <w:b w:val="1"/>
                <w:bCs w:val="1"/>
                <w:color w:val="auto"/>
                <w:w w:val="99"/>
              </w:rPr>
              <w:t>(I.R.S. Employer</w:t>
            </w:r>
          </w:p>
        </w:tc>
      </w:tr>
      <w:tr>
        <w:trPr>
          <w:trHeight w:val="248"/>
        </w:trPr>
        <w:tc>
          <w:tcPr>
            <w:tcW w:w="4800" w:type="dxa"/>
            <w:vAlign w:val="bottom"/>
          </w:tcPr>
          <w:p>
            <w:pPr>
              <w:jc w:val="center"/>
              <w:ind w:right="1565"/>
              <w:spacing w:after="0"/>
              <w:rPr>
                <w:sz w:val="20"/>
                <w:szCs w:val="20"/>
                <w:color w:val="auto"/>
              </w:rPr>
            </w:pPr>
            <w:r>
              <w:rPr>
                <w:rFonts w:ascii="Times New Roman" w:cs="Times New Roman" w:eastAsia="Times New Roman" w:hAnsi="Times New Roman"/>
                <w:sz w:val="19"/>
                <w:szCs w:val="19"/>
                <w:b w:val="1"/>
                <w:bCs w:val="1"/>
                <w:color w:val="auto"/>
                <w:w w:val="99"/>
              </w:rPr>
              <w:t>incorporation or organization)</w:t>
            </w:r>
          </w:p>
        </w:tc>
        <w:tc>
          <w:tcPr>
            <w:tcW w:w="3520" w:type="dxa"/>
            <w:vAlign w:val="bottom"/>
          </w:tcPr>
          <w:p>
            <w:pPr>
              <w:jc w:val="center"/>
              <w:ind w:left="1545"/>
              <w:spacing w:after="0"/>
              <w:rPr>
                <w:sz w:val="20"/>
                <w:szCs w:val="20"/>
                <w:color w:val="auto"/>
              </w:rPr>
            </w:pPr>
            <w:r>
              <w:rPr>
                <w:rFonts w:ascii="Times New Roman" w:cs="Times New Roman" w:eastAsia="Times New Roman" w:hAnsi="Times New Roman"/>
                <w:sz w:val="19"/>
                <w:szCs w:val="19"/>
                <w:b w:val="1"/>
                <w:bCs w:val="1"/>
                <w:color w:val="auto"/>
                <w:w w:val="99"/>
              </w:rPr>
              <w:t>Identification Number)</w:t>
            </w:r>
          </w:p>
        </w:tc>
      </w:tr>
      <w:tr>
        <w:trPr>
          <w:trHeight w:val="413"/>
        </w:trPr>
        <w:tc>
          <w:tcPr>
            <w:tcW w:w="4800" w:type="dxa"/>
            <w:vAlign w:val="bottom"/>
          </w:tcPr>
          <w:p>
            <w:pPr>
              <w:jc w:val="center"/>
              <w:ind w:right="1565"/>
              <w:spacing w:after="0"/>
              <w:rPr>
                <w:sz w:val="20"/>
                <w:szCs w:val="20"/>
                <w:color w:val="auto"/>
              </w:rPr>
            </w:pPr>
            <w:r>
              <w:rPr>
                <w:rFonts w:ascii="Times New Roman" w:cs="Times New Roman" w:eastAsia="Times New Roman" w:hAnsi="Times New Roman"/>
                <w:sz w:val="19"/>
                <w:szCs w:val="19"/>
                <w:b w:val="1"/>
                <w:bCs w:val="1"/>
                <w:color w:val="auto"/>
                <w:w w:val="99"/>
              </w:rPr>
              <w:t>2710 Wycliff Road, Raleigh, NC</w:t>
            </w:r>
          </w:p>
        </w:tc>
        <w:tc>
          <w:tcPr>
            <w:tcW w:w="3520" w:type="dxa"/>
            <w:vAlign w:val="bottom"/>
          </w:tcPr>
          <w:p>
            <w:pPr>
              <w:jc w:val="center"/>
              <w:ind w:left="1545"/>
              <w:spacing w:after="0"/>
              <w:rPr>
                <w:sz w:val="20"/>
                <w:szCs w:val="20"/>
                <w:color w:val="auto"/>
              </w:rPr>
            </w:pPr>
            <w:r>
              <w:rPr>
                <w:rFonts w:ascii="Times New Roman" w:cs="Times New Roman" w:eastAsia="Times New Roman" w:hAnsi="Times New Roman"/>
                <w:sz w:val="19"/>
                <w:szCs w:val="19"/>
                <w:b w:val="1"/>
                <w:bCs w:val="1"/>
                <w:color w:val="auto"/>
              </w:rPr>
              <w:t>27607-3033</w:t>
            </w:r>
          </w:p>
        </w:tc>
      </w:tr>
      <w:tr>
        <w:trPr>
          <w:trHeight w:val="240"/>
        </w:trPr>
        <w:tc>
          <w:tcPr>
            <w:tcW w:w="4800" w:type="dxa"/>
            <w:vAlign w:val="bottom"/>
          </w:tcPr>
          <w:p>
            <w:pPr>
              <w:jc w:val="center"/>
              <w:ind w:right="1565"/>
              <w:spacing w:after="0"/>
              <w:rPr>
                <w:sz w:val="20"/>
                <w:szCs w:val="20"/>
                <w:color w:val="auto"/>
              </w:rPr>
            </w:pPr>
            <w:r>
              <w:rPr>
                <w:rFonts w:ascii="Times New Roman" w:cs="Times New Roman" w:eastAsia="Times New Roman" w:hAnsi="Times New Roman"/>
                <w:sz w:val="19"/>
                <w:szCs w:val="19"/>
                <w:b w:val="1"/>
                <w:bCs w:val="1"/>
                <w:color w:val="auto"/>
                <w:w w:val="99"/>
              </w:rPr>
              <w:t>(Address of principal executive offices)</w:t>
            </w:r>
          </w:p>
        </w:tc>
        <w:tc>
          <w:tcPr>
            <w:tcW w:w="3520" w:type="dxa"/>
            <w:vAlign w:val="bottom"/>
          </w:tcPr>
          <w:p>
            <w:pPr>
              <w:jc w:val="center"/>
              <w:ind w:left="1545"/>
              <w:spacing w:after="0"/>
              <w:rPr>
                <w:sz w:val="20"/>
                <w:szCs w:val="20"/>
                <w:color w:val="auto"/>
              </w:rPr>
            </w:pPr>
            <w:r>
              <w:rPr>
                <w:rFonts w:ascii="Times New Roman" w:cs="Times New Roman" w:eastAsia="Times New Roman" w:hAnsi="Times New Roman"/>
                <w:sz w:val="19"/>
                <w:szCs w:val="19"/>
                <w:b w:val="1"/>
                <w:bCs w:val="1"/>
                <w:color w:val="auto"/>
                <w:w w:val="99"/>
              </w:rPr>
              <w:t>(Zip Code)</w:t>
            </w:r>
          </w:p>
        </w:tc>
      </w:tr>
    </w:tbl>
    <w:p>
      <w:pPr>
        <w:jc w:val="center"/>
        <w:ind w:right="20"/>
        <w:spacing w:after="0" w:line="237" w:lineRule="auto"/>
        <w:rPr>
          <w:sz w:val="20"/>
          <w:szCs w:val="20"/>
          <w:color w:val="auto"/>
        </w:rPr>
      </w:pPr>
      <w:r>
        <w:rPr>
          <w:rFonts w:ascii="Times New Roman" w:cs="Times New Roman" w:eastAsia="Times New Roman" w:hAnsi="Times New Roman"/>
          <w:sz w:val="19"/>
          <w:szCs w:val="19"/>
          <w:b w:val="1"/>
          <w:bCs w:val="1"/>
          <w:color w:val="auto"/>
        </w:rPr>
        <w:t>Registrant’s telephone number, including area code 919-781-4550</w:t>
      </w:r>
    </w:p>
    <w:p>
      <w:pPr>
        <w:jc w:val="center"/>
        <w:ind w:right="20"/>
        <w:spacing w:after="0" w:line="237" w:lineRule="auto"/>
        <w:rPr>
          <w:sz w:val="20"/>
          <w:szCs w:val="20"/>
          <w:color w:val="auto"/>
        </w:rPr>
      </w:pPr>
      <w:r>
        <w:rPr>
          <w:rFonts w:ascii="Times New Roman" w:cs="Times New Roman" w:eastAsia="Times New Roman" w:hAnsi="Times New Roman"/>
          <w:sz w:val="19"/>
          <w:szCs w:val="19"/>
          <w:b w:val="1"/>
          <w:bCs w:val="1"/>
          <w:color w:val="auto"/>
        </w:rPr>
        <w:t>Former name: None</w:t>
      </w:r>
    </w:p>
    <w:p>
      <w:pPr>
        <w:jc w:val="center"/>
        <w:ind w:right="20"/>
        <w:spacing w:after="0" w:line="238" w:lineRule="auto"/>
        <w:rPr>
          <w:sz w:val="20"/>
          <w:szCs w:val="20"/>
          <w:color w:val="auto"/>
        </w:rPr>
      </w:pPr>
      <w:r>
        <w:rPr>
          <w:rFonts w:ascii="Times New Roman" w:cs="Times New Roman" w:eastAsia="Times New Roman" w:hAnsi="Times New Roman"/>
          <w:sz w:val="19"/>
          <w:szCs w:val="19"/>
          <w:b w:val="1"/>
          <w:bCs w:val="1"/>
          <w:color w:val="auto"/>
        </w:rPr>
        <w:t>Former name, former address and former fiscal year, if changes since last report.</w:t>
      </w:r>
    </w:p>
    <w:p>
      <w:pPr>
        <w:jc w:val="both"/>
        <w:ind w:right="20"/>
        <w:spacing w:after="0" w:line="237" w:lineRule="auto"/>
        <w:rPr>
          <w:sz w:val="20"/>
          <w:szCs w:val="20"/>
          <w:color w:val="auto"/>
        </w:rPr>
      </w:pPr>
      <w:r>
        <w:rPr>
          <w:rFonts w:ascii="Times New Roman" w:cs="Times New Roman" w:eastAsia="Times New Roman" w:hAnsi="Times New Roman"/>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20"/>
        <w:spacing w:after="0" w:line="217" w:lineRule="exact"/>
        <w:tabs>
          <w:tab w:leader="none" w:pos="180" w:val="left"/>
        </w:tabs>
        <w:rPr>
          <w:sz w:val="20"/>
          <w:szCs w:val="20"/>
          <w:color w:val="auto"/>
        </w:rPr>
      </w:pPr>
      <w:r>
        <w:rPr>
          <w:rFonts w:ascii="Times New Roman" w:cs="Times New Roman" w:eastAsia="Times New Roman" w:hAnsi="Times New Roman"/>
          <w:sz w:val="19"/>
          <w:szCs w:val="19"/>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9"/>
          <w:szCs w:val="19"/>
          <w:color w:val="auto"/>
        </w:rPr>
        <w:tab/>
        <w:t xml:space="preserve">No </w:t>
      </w:r>
      <w:r>
        <w:rPr>
          <w:rFonts w:ascii="MS PGothic" w:cs="MS PGothic" w:eastAsia="MS PGothic" w:hAnsi="MS PGothic"/>
          <w:sz w:val="18"/>
          <w:szCs w:val="18"/>
          <w:color w:val="auto"/>
        </w:rPr>
        <w:t>☐</w:t>
      </w:r>
    </w:p>
    <w:p>
      <w:pPr>
        <w:jc w:val="both"/>
        <w:ind w:right="20"/>
        <w:spacing w:after="0" w:line="237"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20"/>
        <w:spacing w:after="0" w:line="217" w:lineRule="exact"/>
        <w:tabs>
          <w:tab w:leader="none" w:pos="180" w:val="left"/>
        </w:tabs>
        <w:rPr>
          <w:sz w:val="20"/>
          <w:szCs w:val="20"/>
          <w:color w:val="auto"/>
        </w:rPr>
      </w:pPr>
      <w:r>
        <w:rPr>
          <w:rFonts w:ascii="Times New Roman" w:cs="Times New Roman" w:eastAsia="Times New Roman" w:hAnsi="Times New Roman"/>
          <w:sz w:val="19"/>
          <w:szCs w:val="19"/>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9"/>
          <w:szCs w:val="19"/>
          <w:color w:val="auto"/>
        </w:rPr>
        <w:tab/>
        <w:t xml:space="preserve">No </w:t>
      </w:r>
      <w:r>
        <w:rPr>
          <w:rFonts w:ascii="MS PGothic" w:cs="MS PGothic" w:eastAsia="MS PGothic" w:hAnsi="MS PGothic"/>
          <w:sz w:val="18"/>
          <w:szCs w:val="18"/>
          <w:color w:val="auto"/>
        </w:rPr>
        <w:t>☐</w:t>
      </w:r>
    </w:p>
    <w:p>
      <w:pPr>
        <w:jc w:val="both"/>
        <w:ind w:right="20"/>
        <w:spacing w:after="0"/>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8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Large accelerated filer</w:t>
            </w:r>
          </w:p>
        </w:tc>
        <w:tc>
          <w:tcPr>
            <w:tcW w:w="2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020"/>
              <w:spacing w:after="0"/>
              <w:rPr>
                <w:sz w:val="20"/>
                <w:szCs w:val="20"/>
                <w:color w:val="auto"/>
              </w:rPr>
            </w:pPr>
            <w:r>
              <w:rPr>
                <w:rFonts w:ascii="Times New Roman" w:cs="Times New Roman" w:eastAsia="Times New Roman" w:hAnsi="Times New Roman"/>
                <w:sz w:val="19"/>
                <w:szCs w:val="19"/>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9"/>
                <w:szCs w:val="19"/>
                <w:color w:val="auto"/>
              </w:rPr>
              <w:t>Non-accelerated filer</w:t>
            </w:r>
          </w:p>
        </w:tc>
        <w:tc>
          <w:tcPr>
            <w:tcW w:w="2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020"/>
              <w:spacing w:after="0"/>
              <w:rPr>
                <w:sz w:val="20"/>
                <w:szCs w:val="20"/>
                <w:color w:val="auto"/>
              </w:rPr>
            </w:pPr>
            <w:r>
              <w:rPr>
                <w:rFonts w:ascii="Times New Roman" w:cs="Times New Roman" w:eastAsia="Times New Roman" w:hAnsi="Times New Roman"/>
                <w:sz w:val="19"/>
                <w:szCs w:val="19"/>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9"/>
                <w:szCs w:val="19"/>
                <w:color w:val="auto"/>
              </w:rPr>
              <w:t>Emerging growth company</w:t>
            </w:r>
          </w:p>
        </w:tc>
        <w:tc>
          <w:tcPr>
            <w:tcW w:w="2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62"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r>
        <w:rPr>
          <w:rFonts w:ascii="Times New Roman" w:cs="Times New Roman" w:eastAsia="Times New Roman" w:hAnsi="Times New Roman"/>
          <w:sz w:val="19"/>
          <w:szCs w:val="19"/>
          <w:color w:val="auto"/>
        </w:rPr>
        <w:t xml:space="preserve"> Indicate by check mark whether the registrant is a shell company (as defined in Rule 12b-2 of the Exchange Act).</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700" w:type="dxa"/>
            <w:vAlign w:val="bottom"/>
            <w:gridSpan w:val="2"/>
          </w:tcPr>
          <w:p>
            <w:pPr>
              <w:ind w:left="5060"/>
              <w:spacing w:after="0" w:line="198" w:lineRule="exact"/>
              <w:rPr>
                <w:sz w:val="20"/>
                <w:szCs w:val="20"/>
                <w:color w:val="auto"/>
              </w:rPr>
            </w:pPr>
            <w:r>
              <w:rPr>
                <w:rFonts w:ascii="Times New Roman" w:cs="Times New Roman" w:eastAsia="Times New Roman" w:hAnsi="Times New Roman"/>
                <w:sz w:val="19"/>
                <w:szCs w:val="19"/>
                <w:color w:val="auto"/>
              </w:rPr>
              <w:t xml:space="preserve">Yes </w:t>
            </w:r>
            <w:r>
              <w:rPr>
                <w:rFonts w:ascii="MS PGothic" w:cs="MS PGothic" w:eastAsia="MS PGothic" w:hAnsi="MS PGothic"/>
                <w:sz w:val="18"/>
                <w:szCs w:val="18"/>
                <w:color w:val="auto"/>
              </w:rPr>
              <w:t>☐</w:t>
            </w:r>
          </w:p>
        </w:tc>
        <w:tc>
          <w:tcPr>
            <w:tcW w:w="57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9"/>
                <w:szCs w:val="19"/>
                <w:color w:val="auto"/>
              </w:rPr>
              <w:t xml:space="preserve">No  </w:t>
            </w:r>
            <w:r>
              <w:rPr>
                <w:rFonts w:ascii="MS PGothic" w:cs="MS PGothic" w:eastAsia="MS PGothic" w:hAnsi="MS PGothic"/>
                <w:sz w:val="18"/>
                <w:szCs w:val="18"/>
                <w:color w:val="auto"/>
              </w:rPr>
              <w:t>☑</w:t>
            </w:r>
          </w:p>
        </w:tc>
        <w:tc>
          <w:tcPr>
            <w:tcW w:w="20" w:type="dxa"/>
            <w:vAlign w:val="bottom"/>
          </w:tcPr>
          <w:p>
            <w:pPr>
              <w:spacing w:after="0"/>
              <w:rPr>
                <w:sz w:val="17"/>
                <w:szCs w:val="17"/>
                <w:color w:val="auto"/>
              </w:rPr>
            </w:pPr>
          </w:p>
        </w:tc>
      </w:tr>
      <w:tr>
        <w:trPr>
          <w:trHeight w:val="244"/>
        </w:trPr>
        <w:tc>
          <w:tcPr>
            <w:tcW w:w="1142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the latest practicable date.</w:t>
            </w:r>
          </w:p>
        </w:tc>
        <w:tc>
          <w:tcPr>
            <w:tcW w:w="20" w:type="dxa"/>
            <w:vAlign w:val="bottom"/>
          </w:tcPr>
          <w:p>
            <w:pPr>
              <w:spacing w:after="0"/>
              <w:rPr>
                <w:sz w:val="21"/>
                <w:szCs w:val="21"/>
                <w:color w:val="auto"/>
              </w:rPr>
            </w:pPr>
          </w:p>
        </w:tc>
      </w:tr>
      <w:tr>
        <w:trPr>
          <w:trHeight w:val="322"/>
        </w:trPr>
        <w:tc>
          <w:tcPr>
            <w:tcW w:w="20" w:type="dxa"/>
            <w:vAlign w:val="bottom"/>
          </w:tcPr>
          <w:p>
            <w:pPr>
              <w:spacing w:after="0"/>
              <w:rPr>
                <w:sz w:val="24"/>
                <w:szCs w:val="24"/>
                <w:color w:val="auto"/>
              </w:rPr>
            </w:pPr>
          </w:p>
        </w:tc>
        <w:tc>
          <w:tcPr>
            <w:tcW w:w="570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6"/>
              </w:rPr>
              <w:t>Class</w:t>
            </w:r>
          </w:p>
        </w:tc>
        <w:tc>
          <w:tcPr>
            <w:tcW w:w="1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Outstanding as of October 25, 2017</w:t>
            </w: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Common Stock, $0.01 par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Borders>
              <w:top w:val="single" w:sz="8" w:color="auto"/>
            </w:tcBorders>
          </w:tcPr>
          <w:p>
            <w:pPr>
              <w:jc w:val="right"/>
              <w:ind w:right="2285"/>
              <w:spacing w:after="0"/>
              <w:rPr>
                <w:sz w:val="20"/>
                <w:szCs w:val="20"/>
                <w:color w:val="auto"/>
              </w:rPr>
            </w:pPr>
            <w:r>
              <w:rPr>
                <w:rFonts w:ascii="Times New Roman" w:cs="Times New Roman" w:eastAsia="Times New Roman" w:hAnsi="Times New Roman"/>
                <w:sz w:val="19"/>
                <w:szCs w:val="19"/>
                <w:color w:val="auto"/>
              </w:rPr>
              <w:t>62,859,551</w:t>
            </w:r>
          </w:p>
        </w:tc>
        <w:tc>
          <w:tcPr>
            <w:tcW w:w="20" w:type="dxa"/>
            <w:vAlign w:val="bottom"/>
          </w:tcPr>
          <w:p>
            <w:pPr>
              <w:spacing w:after="0"/>
              <w:rPr>
                <w:sz w:val="20"/>
                <w:szCs w:val="20"/>
                <w:color w:val="auto"/>
              </w:rPr>
            </w:pPr>
          </w:p>
        </w:tc>
      </w:tr>
      <w:tr>
        <w:trPr>
          <w:trHeight w:val="147"/>
        </w:trPr>
        <w:tc>
          <w:tcPr>
            <w:tcW w:w="20" w:type="dxa"/>
            <w:vAlign w:val="bottom"/>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784"/>
        </w:trPr>
        <w:tc>
          <w:tcPr>
            <w:tcW w:w="20" w:type="dxa"/>
            <w:vAlign w:val="bottom"/>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5" w:right="2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860" w:type="dxa"/>
            <w:vAlign w:val="bottom"/>
            <w:gridSpan w:val="20"/>
            <w:vMerge w:val="restart"/>
          </w:tcPr>
          <w:p>
            <w:pPr>
              <w:spacing w:after="0"/>
              <w:rPr>
                <w:sz w:val="20"/>
                <w:szCs w:val="20"/>
                <w:color w:val="auto"/>
              </w:rPr>
            </w:pPr>
            <w:r>
              <w:rPr>
                <w:rFonts w:ascii="Times New Roman" w:cs="Times New Roman" w:eastAsia="Times New Roman" w:hAnsi="Times New Roman"/>
                <w:sz w:val="20"/>
                <w:szCs w:val="20"/>
                <w:color w:val="auto"/>
              </w:rPr>
              <w:t>Part I. Financial Information:</w:t>
            </w:r>
          </w:p>
        </w:tc>
        <w:tc>
          <w:tcPr>
            <w:tcW w:w="5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229"/>
        </w:trPr>
        <w:tc>
          <w:tcPr>
            <w:tcW w:w="10860" w:type="dxa"/>
            <w:vAlign w:val="bottom"/>
            <w:gridSpan w:val="20"/>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20" w:type="dxa"/>
            <w:vAlign w:val="bottom"/>
          </w:tcPr>
          <w:p>
            <w:pPr>
              <w:spacing w:after="0"/>
              <w:rPr>
                <w:sz w:val="24"/>
                <w:szCs w:val="24"/>
                <w:color w:val="auto"/>
              </w:rPr>
            </w:pPr>
          </w:p>
        </w:tc>
        <w:tc>
          <w:tcPr>
            <w:tcW w:w="10640" w:type="dxa"/>
            <w:vAlign w:val="bottom"/>
            <w:gridSpan w:val="19"/>
          </w:tcPr>
          <w:p>
            <w:pPr>
              <w:spacing w:after="0"/>
              <w:rPr>
                <w:rFonts w:ascii="Times New Roman" w:cs="Times New Roman" w:eastAsia="Times New Roman" w:hAnsi="Times New Roman"/>
                <w:sz w:val="20"/>
                <w:szCs w:val="20"/>
                <w:color w:val="0000EE"/>
              </w:rPr>
            </w:pPr>
            <w:hyperlink w:anchor="page3">
              <w:r>
                <w:rPr>
                  <w:rFonts w:ascii="Times New Roman" w:cs="Times New Roman" w:eastAsia="Times New Roman" w:hAnsi="Times New Roman"/>
                  <w:sz w:val="20"/>
                  <w:szCs w:val="20"/>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Times New Roman" w:cs="Times New Roman" w:eastAsia="Times New Roman" w:hAnsi="Times New Roman"/>
                <w:sz w:val="20"/>
                <w:szCs w:val="20"/>
                <w:color w:val="0000EE"/>
                <w:w w:val="98"/>
              </w:rPr>
            </w:pPr>
            <w:hyperlink w:anchor="page3">
              <w:r>
                <w:rPr>
                  <w:rFonts w:ascii="Times New Roman" w:cs="Times New Roman" w:eastAsia="Times New Roman" w:hAnsi="Times New Roman"/>
                  <w:sz w:val="20"/>
                  <w:szCs w:val="20"/>
                  <w:color w:val="0000EE"/>
                  <w:w w:val="98"/>
                </w:rPr>
                <w:t>Consolidated Balance Sheets – September 30, 2017, December 31, 2016 and September 30, 2016</w:t>
              </w:r>
            </w:hyperlink>
          </w:p>
        </w:tc>
        <w:tc>
          <w:tcPr>
            <w:tcW w:w="27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8"/>
          </w:tcPr>
          <w:p>
            <w:pPr>
              <w:spacing w:after="0"/>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color w:val="0000EE"/>
                </w:rPr>
                <w:t>Consolidated Statements of Earnings and Comprehensive Earnings – Three- and Nine-Months Ended September 30, 2017 and</w:t>
              </w:r>
            </w:hyperlink>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10"/>
        </w:trPr>
        <w:tc>
          <w:tcPr>
            <w:tcW w:w="460" w:type="dxa"/>
            <w:vAlign w:val="bottom"/>
            <w:gridSpan w:val="3"/>
          </w:tcPr>
          <w:p>
            <w:pPr>
              <w:spacing w:after="0"/>
              <w:rPr>
                <w:sz w:val="18"/>
                <w:szCs w:val="18"/>
                <w:color w:val="auto"/>
              </w:rPr>
            </w:pPr>
          </w:p>
        </w:tc>
        <w:tc>
          <w:tcPr>
            <w:tcW w:w="600" w:type="dxa"/>
            <w:vAlign w:val="bottom"/>
            <w:tcBorders>
              <w:top w:val="single" w:sz="8" w:color="0000EE"/>
            </w:tcBorders>
            <w:gridSpan w:val="3"/>
          </w:tcPr>
          <w:p>
            <w:pPr>
              <w:jc w:val="right"/>
              <w:spacing w:after="0" w:line="209" w:lineRule="exact"/>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color w:val="0000EE"/>
                </w:rPr>
                <w:t>2016</w:t>
              </w:r>
            </w:hyperlink>
          </w:p>
        </w:tc>
        <w:tc>
          <w:tcPr>
            <w:tcW w:w="4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8"/>
          </w:tcPr>
          <w:p>
            <w:pPr>
              <w:spacing w:after="0"/>
              <w:rPr>
                <w:rFonts w:ascii="Times New Roman" w:cs="Times New Roman" w:eastAsia="Times New Roman" w:hAnsi="Times New Roman"/>
                <w:sz w:val="20"/>
                <w:szCs w:val="20"/>
                <w:color w:val="0000EE"/>
              </w:rPr>
            </w:pPr>
            <w:hyperlink w:anchor="page5">
              <w:r>
                <w:rPr>
                  <w:rFonts w:ascii="Times New Roman" w:cs="Times New Roman" w:eastAsia="Times New Roman" w:hAnsi="Times New Roman"/>
                  <w:sz w:val="20"/>
                  <w:szCs w:val="20"/>
                  <w:color w:val="0000EE"/>
                </w:rPr>
                <w:t>Consolidated Statements of Cash Flows – Nine-Months Ended September 30, 2017 and 2016</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20"/>
                <w:szCs w:val="20"/>
                <w:color w:val="0000EE"/>
                <w:w w:val="98"/>
              </w:rPr>
            </w:pPr>
            <w:hyperlink w:anchor="page6">
              <w:r>
                <w:rPr>
                  <w:rFonts w:ascii="Times New Roman" w:cs="Times New Roman" w:eastAsia="Times New Roman" w:hAnsi="Times New Roman"/>
                  <w:sz w:val="20"/>
                  <w:szCs w:val="20"/>
                  <w:color w:val="0000EE"/>
                  <w:w w:val="98"/>
                </w:rPr>
                <w:t>Consolidated Statement of Total Equity – Nine-Months Ended September 30, 2017</w:t>
              </w:r>
            </w:hyperlink>
          </w:p>
        </w:tc>
        <w:tc>
          <w:tcPr>
            <w:tcW w:w="800" w:type="dxa"/>
            <w:vAlign w:val="bottom"/>
            <w:tcBorders>
              <w:top w:val="single" w:sz="8" w:color="0000EE"/>
            </w:tcBorders>
          </w:tcPr>
          <w:p>
            <w:pPr>
              <w:spacing w:after="0"/>
              <w:rPr>
                <w:sz w:val="24"/>
                <w:szCs w:val="24"/>
                <w:color w:val="auto"/>
              </w:rPr>
            </w:pPr>
          </w:p>
        </w:tc>
        <w:tc>
          <w:tcPr>
            <w:tcW w:w="304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8"/>
          </w:tcPr>
          <w:p>
            <w:pPr>
              <w:spacing w:after="0"/>
              <w:rPr>
                <w:rFonts w:ascii="Times New Roman" w:cs="Times New Roman" w:eastAsia="Times New Roman" w:hAnsi="Times New Roman"/>
                <w:sz w:val="20"/>
                <w:szCs w:val="20"/>
                <w:color w:val="0000EE"/>
              </w:rPr>
            </w:pPr>
            <w:hyperlink w:anchor="page7">
              <w:r>
                <w:rPr>
                  <w:rFonts w:ascii="Times New Roman" w:cs="Times New Roman" w:eastAsia="Times New Roman" w:hAnsi="Times New Roman"/>
                  <w:sz w:val="20"/>
                  <w:szCs w:val="20"/>
                  <w:color w:val="0000EE"/>
                </w:rPr>
                <w:t>Notes to Consolidated Financial Statements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Times New Roman" w:cs="Times New Roman" w:eastAsia="Times New Roman" w:hAnsi="Times New Roman"/>
                <w:sz w:val="20"/>
                <w:szCs w:val="20"/>
                <w:color w:val="0000EE"/>
                <w:w w:val="98"/>
              </w:rPr>
            </w:pPr>
            <w:hyperlink w:anchor="page25">
              <w:r>
                <w:rPr>
                  <w:rFonts w:ascii="Times New Roman" w:cs="Times New Roman" w:eastAsia="Times New Roman" w:hAnsi="Times New Roman"/>
                  <w:sz w:val="20"/>
                  <w:szCs w:val="20"/>
                  <w:color w:val="0000EE"/>
                  <w:w w:val="98"/>
                </w:rPr>
                <w:t>Item 2. Management’s Discussion and Analysis of Financial Condition and Results of Operations</w:t>
              </w:r>
            </w:hyperlink>
          </w:p>
        </w:tc>
        <w:tc>
          <w:tcPr>
            <w:tcW w:w="292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5420" w:type="dxa"/>
            <w:vAlign w:val="bottom"/>
            <w:tcBorders>
              <w:bottom w:val="single" w:sz="8" w:color="0000EE"/>
            </w:tcBorders>
            <w:gridSpan w:val="13"/>
          </w:tcPr>
          <w:p>
            <w:pPr>
              <w:spacing w:after="0"/>
              <w:rPr>
                <w:rFonts w:ascii="Times New Roman" w:cs="Times New Roman" w:eastAsia="Times New Roman" w:hAnsi="Times New Roman"/>
                <w:sz w:val="20"/>
                <w:szCs w:val="20"/>
                <w:color w:val="0000EE"/>
                <w:w w:val="98"/>
              </w:rPr>
            </w:pPr>
            <w:hyperlink w:anchor="page45">
              <w:r>
                <w:rPr>
                  <w:rFonts w:ascii="Times New Roman" w:cs="Times New Roman" w:eastAsia="Times New Roman" w:hAnsi="Times New Roman"/>
                  <w:sz w:val="20"/>
                  <w:szCs w:val="20"/>
                  <w:color w:val="0000EE"/>
                  <w:w w:val="98"/>
                </w:rPr>
                <w:t>Item 3. Quantitative and Qualitative Disclosures About Market Risk</w:t>
              </w:r>
            </w:hyperlink>
          </w:p>
        </w:tc>
        <w:tc>
          <w:tcPr>
            <w:tcW w:w="522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19"/>
          </w:tcPr>
          <w:p>
            <w:pPr>
              <w:spacing w:after="0"/>
              <w:rPr>
                <w:rFonts w:ascii="Times New Roman" w:cs="Times New Roman" w:eastAsia="Times New Roman" w:hAnsi="Times New Roman"/>
                <w:sz w:val="20"/>
                <w:szCs w:val="20"/>
                <w:color w:val="0000EE"/>
              </w:rPr>
            </w:pPr>
            <w:hyperlink w:anchor="page46">
              <w:r>
                <w:rPr>
                  <w:rFonts w:ascii="Times New Roman" w:cs="Times New Roman" w:eastAsia="Times New Roman" w:hAnsi="Times New Roman"/>
                  <w:sz w:val="20"/>
                  <w:szCs w:val="20"/>
                  <w:color w:val="0000EE"/>
                </w:rPr>
                <w:t>Item 4. Controls and Procedures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086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20" w:type="dxa"/>
            <w:vAlign w:val="bottom"/>
          </w:tcPr>
          <w:p>
            <w:pPr>
              <w:spacing w:after="0"/>
              <w:rPr>
                <w:sz w:val="24"/>
                <w:szCs w:val="24"/>
                <w:color w:val="auto"/>
              </w:rPr>
            </w:pPr>
          </w:p>
        </w:tc>
        <w:tc>
          <w:tcPr>
            <w:tcW w:w="620" w:type="dxa"/>
            <w:vAlign w:val="bottom"/>
            <w:gridSpan w:val="4"/>
          </w:tcPr>
          <w:p>
            <w:pPr>
              <w:spacing w:after="0"/>
              <w:rPr>
                <w:rFonts w:ascii="Times New Roman" w:cs="Times New Roman" w:eastAsia="Times New Roman" w:hAnsi="Times New Roman"/>
                <w:sz w:val="20"/>
                <w:szCs w:val="20"/>
                <w:color w:val="0000EE"/>
              </w:rPr>
            </w:pPr>
            <w:hyperlink w:anchor="page47">
              <w:r>
                <w:rPr>
                  <w:rFonts w:ascii="Times New Roman" w:cs="Times New Roman" w:eastAsia="Times New Roman" w:hAnsi="Times New Roman"/>
                  <w:sz w:val="20"/>
                  <w:szCs w:val="20"/>
                  <w:color w:val="0000EE"/>
                </w:rPr>
                <w:t>Item 1.</w:t>
              </w:r>
            </w:hyperlink>
          </w:p>
        </w:tc>
        <w:tc>
          <w:tcPr>
            <w:tcW w:w="10020" w:type="dxa"/>
            <w:vAlign w:val="bottom"/>
            <w:gridSpan w:val="15"/>
          </w:tcPr>
          <w:p>
            <w:pPr>
              <w:spacing w:after="0"/>
              <w:rPr>
                <w:rFonts w:ascii="Times New Roman" w:cs="Times New Roman" w:eastAsia="Times New Roman" w:hAnsi="Times New Roman"/>
                <w:sz w:val="20"/>
                <w:szCs w:val="20"/>
                <w:color w:val="0000EE"/>
              </w:rPr>
            </w:pPr>
            <w:hyperlink w:anchor="page47">
              <w:r>
                <w:rPr>
                  <w:rFonts w:ascii="Times New Roman" w:cs="Times New Roman" w:eastAsia="Times New Roman" w:hAnsi="Times New Roman"/>
                  <w:sz w:val="20"/>
                  <w:szCs w:val="20"/>
                  <w:color w:val="0000EE"/>
                </w:rPr>
                <w:t>Legal Proceedings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20"/>
                <w:szCs w:val="20"/>
                <w:color w:val="0000EE"/>
                <w:w w:val="98"/>
              </w:rPr>
            </w:pPr>
            <w:hyperlink w:anchor="page47">
              <w:r>
                <w:rPr>
                  <w:rFonts w:ascii="Times New Roman" w:cs="Times New Roman" w:eastAsia="Times New Roman" w:hAnsi="Times New Roman"/>
                  <w:sz w:val="20"/>
                  <w:szCs w:val="20"/>
                  <w:color w:val="0000EE"/>
                  <w:w w:val="98"/>
                </w:rPr>
                <w:t>Item 1A. Risk Factors</w:t>
              </w:r>
            </w:hyperlink>
          </w:p>
        </w:tc>
        <w:tc>
          <w:tcPr>
            <w:tcW w:w="320" w:type="dxa"/>
            <w:vAlign w:val="bottom"/>
            <w:tcBorders>
              <w:top w:val="single" w:sz="8" w:color="0000EE"/>
            </w:tcBorders>
          </w:tcPr>
          <w:p>
            <w:pPr>
              <w:spacing w:after="0"/>
              <w:rPr>
                <w:sz w:val="24"/>
                <w:szCs w:val="24"/>
                <w:color w:val="auto"/>
              </w:rPr>
            </w:pPr>
          </w:p>
        </w:tc>
        <w:tc>
          <w:tcPr>
            <w:tcW w:w="856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rFonts w:ascii="Times New Roman" w:cs="Times New Roman" w:eastAsia="Times New Roman" w:hAnsi="Times New Roman"/>
                <w:sz w:val="20"/>
                <w:szCs w:val="20"/>
                <w:color w:val="0000EE"/>
              </w:rPr>
            </w:pPr>
            <w:hyperlink w:anchor="page47">
              <w:r>
                <w:rPr>
                  <w:rFonts w:ascii="Times New Roman" w:cs="Times New Roman" w:eastAsia="Times New Roman" w:hAnsi="Times New Roman"/>
                  <w:sz w:val="20"/>
                  <w:szCs w:val="20"/>
                  <w:color w:val="0000EE"/>
                </w:rPr>
                <w:t>Item 2.</w:t>
              </w:r>
            </w:hyperlink>
          </w:p>
        </w:tc>
        <w:tc>
          <w:tcPr>
            <w:tcW w:w="4780" w:type="dxa"/>
            <w:vAlign w:val="bottom"/>
            <w:tcBorders>
              <w:bottom w:val="single" w:sz="8" w:color="0000EE"/>
            </w:tcBorders>
            <w:gridSpan w:val="8"/>
          </w:tcPr>
          <w:p>
            <w:pPr>
              <w:spacing w:after="0"/>
              <w:rPr>
                <w:rFonts w:ascii="Times New Roman" w:cs="Times New Roman" w:eastAsia="Times New Roman" w:hAnsi="Times New Roman"/>
                <w:sz w:val="20"/>
                <w:szCs w:val="20"/>
                <w:color w:val="0000EE"/>
                <w:w w:val="98"/>
              </w:rPr>
            </w:pPr>
            <w:hyperlink w:anchor="page47">
              <w:r>
                <w:rPr>
                  <w:rFonts w:ascii="Times New Roman" w:cs="Times New Roman" w:eastAsia="Times New Roman" w:hAnsi="Times New Roman"/>
                  <w:sz w:val="20"/>
                  <w:szCs w:val="20"/>
                  <w:color w:val="0000EE"/>
                  <w:w w:val="98"/>
                </w:rPr>
                <w:t>Unregistered Sales of Equity Securities and Use of Proceeds</w:t>
              </w:r>
            </w:hyperlink>
          </w:p>
        </w:tc>
        <w:tc>
          <w:tcPr>
            <w:tcW w:w="52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gridSpan w:val="4"/>
          </w:tcPr>
          <w:p>
            <w:pPr>
              <w:spacing w:after="0"/>
              <w:rPr>
                <w:rFonts w:ascii="Times New Roman" w:cs="Times New Roman" w:eastAsia="Times New Roman" w:hAnsi="Times New Roman"/>
                <w:sz w:val="20"/>
                <w:szCs w:val="20"/>
                <w:color w:val="0000EE"/>
              </w:rPr>
            </w:pPr>
            <w:hyperlink w:anchor="page47">
              <w:r>
                <w:rPr>
                  <w:rFonts w:ascii="Times New Roman" w:cs="Times New Roman" w:eastAsia="Times New Roman" w:hAnsi="Times New Roman"/>
                  <w:sz w:val="20"/>
                  <w:szCs w:val="20"/>
                  <w:color w:val="0000EE"/>
                </w:rPr>
                <w:t>Item 4.</w:t>
              </w:r>
            </w:hyperlink>
          </w:p>
        </w:tc>
        <w:tc>
          <w:tcPr>
            <w:tcW w:w="10020" w:type="dxa"/>
            <w:vAlign w:val="bottom"/>
            <w:gridSpan w:val="15"/>
          </w:tcPr>
          <w:p>
            <w:pPr>
              <w:spacing w:after="0"/>
              <w:rPr>
                <w:rFonts w:ascii="Times New Roman" w:cs="Times New Roman" w:eastAsia="Times New Roman" w:hAnsi="Times New Roman"/>
                <w:sz w:val="20"/>
                <w:szCs w:val="20"/>
                <w:color w:val="0000EE"/>
              </w:rPr>
            </w:pPr>
            <w:hyperlink w:anchor="page47">
              <w:r>
                <w:rPr>
                  <w:rFonts w:ascii="Times New Roman" w:cs="Times New Roman" w:eastAsia="Times New Roman" w:hAnsi="Times New Roman"/>
                  <w:sz w:val="20"/>
                  <w:szCs w:val="20"/>
                  <w:color w:val="0000EE"/>
                </w:rPr>
                <w:t>Mine Safety Disclosures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20"/>
                <w:szCs w:val="20"/>
                <w:color w:val="0000EE"/>
              </w:rPr>
            </w:pPr>
            <w:hyperlink w:anchor="page48">
              <w:r>
                <w:rPr>
                  <w:rFonts w:ascii="Times New Roman" w:cs="Times New Roman" w:eastAsia="Times New Roman" w:hAnsi="Times New Roman"/>
                  <w:sz w:val="20"/>
                  <w:szCs w:val="20"/>
                  <w:color w:val="0000EE"/>
                </w:rPr>
                <w:t>Item 6.</w:t>
              </w:r>
            </w:hyperlink>
          </w:p>
        </w:tc>
        <w:tc>
          <w:tcPr>
            <w:tcW w:w="6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20"/>
                <w:szCs w:val="20"/>
                <w:color w:val="0000EE"/>
                <w:w w:val="95"/>
              </w:rPr>
            </w:pPr>
            <w:hyperlink w:anchor="page48">
              <w:r>
                <w:rPr>
                  <w:rFonts w:ascii="Times New Roman" w:cs="Times New Roman" w:eastAsia="Times New Roman" w:hAnsi="Times New Roman"/>
                  <w:sz w:val="20"/>
                  <w:szCs w:val="20"/>
                  <w:color w:val="0000EE"/>
                  <w:w w:val="95"/>
                </w:rPr>
                <w:t>Exhibits</w:t>
              </w:r>
            </w:hyperlink>
          </w:p>
        </w:tc>
        <w:tc>
          <w:tcPr>
            <w:tcW w:w="1280" w:type="dxa"/>
            <w:vAlign w:val="bottom"/>
            <w:tcBorders>
              <w:top w:val="single" w:sz="8" w:color="0000EE"/>
            </w:tcBorders>
            <w:gridSpan w:val="4"/>
          </w:tcPr>
          <w:p>
            <w:pPr>
              <w:spacing w:after="0"/>
              <w:rPr>
                <w:sz w:val="24"/>
                <w:szCs w:val="24"/>
                <w:color w:val="auto"/>
              </w:rPr>
            </w:pPr>
          </w:p>
        </w:tc>
        <w:tc>
          <w:tcPr>
            <w:tcW w:w="80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331"/>
        </w:trPr>
        <w:tc>
          <w:tcPr>
            <w:tcW w:w="10860" w:type="dxa"/>
            <w:vAlign w:val="bottom"/>
            <w:gridSpan w:val="20"/>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Signatures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MARTIN MARIETTA MATERIALS, INC. AND CONSOLIDATED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September 30,</w:t>
            </w:r>
          </w:p>
        </w:tc>
        <w:tc>
          <w:tcPr>
            <w:tcW w:w="14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December 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rPr>
              <w:t>2017</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2016</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35,219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50,038</w:t>
            </w:r>
          </w:p>
        </w:tc>
        <w:tc>
          <w:tcPr>
            <w:tcW w:w="2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576,429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521,624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83,809</w:t>
            </w:r>
          </w:p>
        </w:tc>
        <w:tc>
          <w:tcPr>
            <w:tcW w:w="3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56,813</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56,217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1,277,989</w:t>
            </w:r>
          </w:p>
        </w:tc>
        <w:tc>
          <w:tcPr>
            <w:tcW w:w="3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1,086,385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1,191,525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6,375,813</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6,115,530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6,013,084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Allowances for depreciation, depletion and amortization</w:t>
            </w:r>
          </w:p>
        </w:tc>
        <w:tc>
          <w:tcPr>
            <w:tcW w:w="30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(2,854,236)</w:t>
            </w:r>
          </w:p>
        </w:tc>
        <w:tc>
          <w:tcPr>
            <w:tcW w:w="140" w:type="dxa"/>
            <w:vAlign w:val="bottom"/>
          </w:tcPr>
          <w:p>
            <w:pPr>
              <w:spacing w:after="0"/>
              <w:rPr>
                <w:sz w:val="18"/>
                <w:szCs w:val="18"/>
                <w:color w:val="auto"/>
              </w:rPr>
            </w:pP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(2,692,135)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(2,633,471)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30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3,521,577</w:t>
            </w: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3,423,395</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3,379,613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2,160,060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2,159,337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permits, net</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440,846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442,202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intangibles, net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102,573</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7,566,785</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7,300,905</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7,373,201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Bank overdraft</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163,597</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Accrued salaries, benefits and payroll taxes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Pension and postretirement benefits</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Accrued insurance and other taxes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maturities of long-term debt and short-term facilities</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80,038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180,036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75,458</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468,503</w:t>
            </w:r>
          </w:p>
        </w:tc>
        <w:tc>
          <w:tcPr>
            <w:tcW w:w="3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546,588</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604,909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1,642,502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1,506,153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Pension, postretirement and postemployment benefits</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230,212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248,086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662,982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228,604</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194,469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3,232,803</w:t>
            </w:r>
          </w:p>
        </w:tc>
        <w:tc>
          <w:tcPr>
            <w:tcW w:w="3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3,158,315</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3,214,803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Equity:</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par value $0.01 per share</w:t>
            </w:r>
          </w:p>
        </w:tc>
        <w:tc>
          <w:tcPr>
            <w:tcW w:w="30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3,362,744</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3,334,461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3,326,531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(122,928)</w:t>
            </w:r>
          </w:p>
        </w:tc>
        <w:tc>
          <w:tcPr>
            <w:tcW w:w="140" w:type="dxa"/>
            <w:vAlign w:val="bottom"/>
          </w:tcPr>
          <w:p>
            <w:pPr>
              <w:spacing w:after="0"/>
              <w:rPr>
                <w:sz w:val="18"/>
                <w:szCs w:val="18"/>
                <w:color w:val="auto"/>
              </w:rPr>
            </w:pP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(130,687)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(104,511)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1,090,778</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935,574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4,331,221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4,139,978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4,155,332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4,333,982</w:t>
            </w:r>
          </w:p>
        </w:tc>
        <w:tc>
          <w:tcPr>
            <w:tcW w:w="3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4,142,590</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4,158,398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7,566,785</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7,300,905</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7,373,201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MARTIN MARIETTA MATERIALS, INC. AND CONSOLIDATED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EARNINGS AND COMPREHENSIVE EARNINGS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color w:val="auto"/>
              </w:rPr>
              <w:t>Three-Months Ended</w:t>
            </w:r>
          </w:p>
        </w:tc>
        <w:tc>
          <w:tcPr>
            <w:tcW w:w="260" w:type="dxa"/>
            <w:vAlign w:val="bottom"/>
          </w:tcPr>
          <w:p>
            <w:pPr>
              <w:spacing w:after="0"/>
              <w:rPr>
                <w:sz w:val="19"/>
                <w:szCs w:val="19"/>
                <w:color w:val="auto"/>
              </w:rPr>
            </w:pPr>
          </w:p>
        </w:tc>
        <w:tc>
          <w:tcPr>
            <w:tcW w:w="26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Nine-Months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2016</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6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1,022,137</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1,038,344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2,810,110</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Freight and delivery revenues</w:t>
            </w: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1,087,732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1,103,901</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2,995,116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745,037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Freight and delivery costs</w:t>
            </w: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cost of revenues</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810,594</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2,282,278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293,307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expenses, net</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(4,441)</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242,669</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(8,246)</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(6,434)</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230,347</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70,869</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earnings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(loss) earnings attributable to noncontrolling</w:t>
            </w: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Attributable to Martin Marietta Materials, Inc.</w:t>
            </w:r>
          </w:p>
        </w:tc>
        <w:tc>
          <w:tcPr>
            <w:tcW w:w="5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151,546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159,479</w:t>
            </w:r>
          </w:p>
        </w:tc>
        <w:tc>
          <w:tcPr>
            <w:tcW w:w="2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336,159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326,526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Comprehensive Earnings: (See Note 1)</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Earnings attributable to Martin Marietta Materials, Inc.</w:t>
            </w: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154,524</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161,036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343,918</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(Loss) attributable to noncontrolling interests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161,055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Earnings Attributable to Martin Marietta Materials, Inc.</w:t>
            </w: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Per Common Share:</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Basic attributable to common shareholders</w:t>
            </w:r>
          </w:p>
        </w:tc>
        <w:tc>
          <w:tcPr>
            <w:tcW w:w="5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Diluted attributable to common shareholders</w:t>
            </w:r>
          </w:p>
        </w:tc>
        <w:tc>
          <w:tcPr>
            <w:tcW w:w="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62,896</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2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62,940</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63,158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63,723</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8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MARTIN MARIETTA MATERIALS, INC. AND CONSOLIDATED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CASH FLOWS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Nine-Months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9"/>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earnings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336,087</w:t>
            </w:r>
          </w:p>
        </w:tc>
        <w:tc>
          <w:tcPr>
            <w:tcW w:w="2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earnings to net cash</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221,418</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23,698</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on divestitures and sales of assets</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(17,970)</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items, net</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(9,618)</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and divestitures:</w:t>
            </w: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(124,622)</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(133,848)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(54,804)</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34,484</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(20,911)</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418,398</w:t>
            </w: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(308,745)</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 net</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(7,200)</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(178,689)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received in acquisition</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divestitures and sales of assets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33,138</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 of railcar construction advances</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(42,954)</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Reimbursement of railcar construction advances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40,930</w:t>
            </w: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(284,831)</w:t>
            </w:r>
          </w:p>
        </w:tc>
        <w:tc>
          <w:tcPr>
            <w:tcW w:w="2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Borrowings of debt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1,011,244</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Repayments of debt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(975,035)</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(2,708)</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(1,989)</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bank overdraft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Contributions by owners of noncontrolling interest</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(80,961)</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withheld for employees' income tax obligations</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(10,213)</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(99,999)</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(190,000)</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(148,386)</w:t>
            </w: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50,038</w:t>
            </w: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35,219</w:t>
            </w: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5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MARTIN MARIETTA MATERIALS, INC. AND CONSOLIDATED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 OF TOTAL EQUITY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Shares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Additional</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w:t>
            </w:r>
          </w:p>
        </w:tc>
        <w:tc>
          <w:tcPr>
            <w:tcW w:w="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Common</w:t>
            </w: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Paid-</w:t>
            </w:r>
          </w:p>
        </w:tc>
        <w:tc>
          <w:tcPr>
            <w:tcW w:w="16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Accumulated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Retained</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Shareholders'</w:t>
            </w:r>
          </w:p>
        </w:tc>
        <w:tc>
          <w:tcPr>
            <w:tcW w:w="1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Noncontrolling</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2220" w:type="dxa"/>
            <w:vAlign w:val="bottom"/>
            <w:gridSpan w:val="2"/>
            <w:vMerge w:val="continue"/>
          </w:tcPr>
          <w:p>
            <w:pPr>
              <w:spacing w:after="0"/>
              <w:rPr>
                <w:sz w:val="20"/>
                <w:szCs w:val="20"/>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Stock</w:t>
            </w:r>
          </w:p>
        </w:tc>
        <w:tc>
          <w:tcPr>
            <w:tcW w:w="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Capital</w:t>
            </w: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Comprehensive Loss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Earnings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Interests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05"/>
        </w:trPr>
        <w:tc>
          <w:tcPr>
            <w:tcW w:w="20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Balance at December 31,</w:t>
            </w: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63,176</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$ 3,334,461</w:t>
            </w:r>
          </w:p>
        </w:tc>
        <w:tc>
          <w:tcPr>
            <w:tcW w:w="6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(130,687)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935,574</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4,139,978</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$ 4,142,590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Consolidated net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earnings (loss)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336,159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336,159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earnings,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Dividends declared</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(80,961)</w:t>
            </w:r>
          </w:p>
        </w:tc>
        <w:tc>
          <w:tcPr>
            <w:tcW w:w="0" w:type="dxa"/>
            <w:vAlign w:val="bottom"/>
          </w:tcPr>
          <w:p>
            <w:pPr>
              <w:spacing w:after="0"/>
              <w:rPr>
                <w:sz w:val="1"/>
                <w:szCs w:val="1"/>
                <w:color w:val="auto"/>
              </w:rPr>
            </w:pPr>
          </w:p>
        </w:tc>
      </w:tr>
      <w:tr>
        <w:trPr>
          <w:trHeight w:val="211"/>
        </w:trPr>
        <w:tc>
          <w:tcPr>
            <w:tcW w:w="2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 for stock</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Repurchases of</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(99,994)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(99,999)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(99,999)</w:t>
            </w:r>
          </w:p>
        </w:tc>
        <w:tc>
          <w:tcPr>
            <w:tcW w:w="0" w:type="dxa"/>
            <w:vAlign w:val="bottom"/>
          </w:tcPr>
          <w:p>
            <w:pPr>
              <w:spacing w:after="0"/>
              <w:rPr>
                <w:sz w:val="1"/>
                <w:szCs w:val="1"/>
                <w:color w:val="auto"/>
              </w:rPr>
            </w:pPr>
          </w:p>
        </w:tc>
      </w:tr>
      <w:tr>
        <w:trPr>
          <w:trHeight w:val="211"/>
        </w:trPr>
        <w:tc>
          <w:tcPr>
            <w:tcW w:w="2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compensation expense</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23,698</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Contributions by</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owners of</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noncontrolling</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20" w:type="dxa"/>
            <w:vAlign w:val="bottom"/>
            <w:tcBorders>
              <w:top w:val="single" w:sz="8" w:color="CFF0FC"/>
            </w:tcBorders>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Balance at September 30,</w:t>
            </w: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62,859</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$ 3,362,744</w:t>
            </w:r>
          </w:p>
        </w:tc>
        <w:tc>
          <w:tcPr>
            <w:tcW w:w="6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(122,928)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1,090,778</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4,331,221</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$ 4,333,982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the consolidated financial statements.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6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117" w:lineRule="exact"/>
        <w:rPr>
          <w:sz w:val="20"/>
          <w:szCs w:val="20"/>
          <w:color w:val="auto"/>
        </w:rPr>
      </w:pPr>
    </w:p>
    <w:p>
      <w:pPr>
        <w:ind w:left="380" w:right="8420" w:hanging="372"/>
        <w:spacing w:after="0" w:line="354" w:lineRule="auto"/>
        <w:tabs>
          <w:tab w:leader="none" w:pos="37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 Organization</w:t>
      </w:r>
    </w:p>
    <w:p>
      <w:pPr>
        <w:jc w:val="both"/>
        <w:ind w:left="38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Martin Marietta Materials, Inc. (the Company or Martin Marietta) is engaged principally in the building materials business, including aggregates, cement, ready mixed concrete and asphalt and paving product lines, collectively reported as the Building Materials business. The aggregates product line is sold and shipped from a network of more than 270 quarries and distribution facilities in 26 states, Nova Scotia and the Bahamas. The cement, ready mixed concrete and asphalt and paving product lines are located in strategic, vertically integrated markets, predominantly Texas and Colorado. Building materials are used for construction of highways and other infrastructure projects, and in the nonresidential and residential construction industries. Aggregates and cement products are also used in the railroad, agricultural, utility and environmental industries.</w:t>
      </w:r>
    </w:p>
    <w:p>
      <w:pPr>
        <w:spacing w:after="0" w:line="78" w:lineRule="exact"/>
        <w:rPr>
          <w:rFonts w:ascii="Times New Roman" w:cs="Times New Roman" w:eastAsia="Times New Roman" w:hAnsi="Times New Roman"/>
          <w:sz w:val="20"/>
          <w:szCs w:val="20"/>
          <w:b w:val="1"/>
          <w:bCs w:val="1"/>
          <w:color w:val="auto"/>
        </w:rPr>
      </w:pPr>
    </w:p>
    <w:p>
      <w:pPr>
        <w:jc w:val="both"/>
        <w:ind w:left="38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Effective January 1, 2017, the Company reorganized the operations and management reporting structure of its Texas-based aggregates, cement and ready mixed concrete product lines, resulting in a change to its reportable segments. As a result, the cement product line is reported in the West Group. The Company’s Building Materials business includes three reportable segments: the Mid-America Group, the Southeast Group and the West Group.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BUILDING MATERIALS BUSINESS</w:t>
      </w:r>
    </w:p>
    <w:p>
      <w:pPr>
        <w:spacing w:after="0" w:line="26" w:lineRule="exact"/>
        <w:rPr>
          <w:sz w:val="20"/>
          <w:szCs w:val="20"/>
          <w:color w:val="auto"/>
        </w:rPr>
      </w:pPr>
    </w:p>
    <w:tbl>
      <w:tblPr>
        <w:tblLayout w:type="fixed"/>
        <w:tblInd w:w="480" w:type="dxa"/>
        <w:tblCellMar>
          <w:top w:w="0" w:type="dxa"/>
          <w:left w:w="0" w:type="dxa"/>
          <w:bottom w:w="0" w:type="dxa"/>
          <w:right w:w="0" w:type="dxa"/>
        </w:tblCellMar>
      </w:tblPr>
      <w:tr>
        <w:trPr>
          <w:trHeight w:val="237"/>
        </w:trPr>
        <w:tc>
          <w:tcPr>
            <w:tcW w:w="2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Reportable Segments</w:t>
            </w:r>
          </w:p>
        </w:tc>
        <w:tc>
          <w:tcPr>
            <w:tcW w:w="274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9"/>
              </w:rPr>
              <w:t>Mid-America Group</w:t>
            </w:r>
          </w:p>
        </w:tc>
        <w:tc>
          <w:tcPr>
            <w:tcW w:w="20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Southeast Group</w:t>
            </w: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West Group</w:t>
            </w:r>
          </w:p>
        </w:tc>
      </w:tr>
      <w:tr>
        <w:trPr>
          <w:trHeight w:val="200"/>
        </w:trPr>
        <w:tc>
          <w:tcPr>
            <w:tcW w:w="24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Operating Locations</w:t>
            </w:r>
          </w:p>
        </w:tc>
        <w:tc>
          <w:tcPr>
            <w:tcW w:w="160" w:type="dxa"/>
            <w:vAlign w:val="bottom"/>
          </w:tcPr>
          <w:p>
            <w:pPr>
              <w:spacing w:after="0"/>
              <w:rPr>
                <w:sz w:val="17"/>
                <w:szCs w:val="17"/>
                <w:color w:val="auto"/>
              </w:rPr>
            </w:pPr>
          </w:p>
        </w:tc>
        <w:tc>
          <w:tcPr>
            <w:tcW w:w="260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Indiana, Iowa,</w:t>
            </w:r>
          </w:p>
        </w:tc>
        <w:tc>
          <w:tcPr>
            <w:tcW w:w="140" w:type="dxa"/>
            <w:vAlign w:val="bottom"/>
          </w:tcPr>
          <w:p>
            <w:pPr>
              <w:spacing w:after="0"/>
              <w:rPr>
                <w:sz w:val="17"/>
                <w:szCs w:val="17"/>
                <w:color w:val="auto"/>
              </w:rPr>
            </w:pPr>
          </w:p>
        </w:tc>
        <w:tc>
          <w:tcPr>
            <w:tcW w:w="190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Alabama, Florida,</w:t>
            </w:r>
          </w:p>
        </w:tc>
        <w:tc>
          <w:tcPr>
            <w:tcW w:w="140" w:type="dxa"/>
            <w:vAlign w:val="bottom"/>
          </w:tcPr>
          <w:p>
            <w:pPr>
              <w:spacing w:after="0"/>
              <w:rPr>
                <w:sz w:val="17"/>
                <w:szCs w:val="17"/>
                <w:color w:val="auto"/>
              </w:rPr>
            </w:pPr>
          </w:p>
        </w:tc>
        <w:tc>
          <w:tcPr>
            <w:tcW w:w="308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Arkansas, Colorado, southern Kansas,</w:t>
            </w:r>
          </w:p>
        </w:tc>
      </w:tr>
      <w:tr>
        <w:trPr>
          <w:trHeight w:val="230"/>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8"/>
              </w:rPr>
              <w:t>northern Kansas, Kentucky,</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Georgia, Tennessee,</w:t>
            </w: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Louisiana, western Nebraska, Nevada,</w:t>
            </w:r>
          </w:p>
        </w:tc>
      </w:tr>
      <w:tr>
        <w:trPr>
          <w:trHeight w:val="230"/>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9"/>
              </w:rPr>
              <w:t>Maryland, Minnesota, Missouri,</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Nova Scotia and the</w:t>
            </w: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Oklahoma, Texas, Utah</w:t>
            </w:r>
          </w:p>
        </w:tc>
      </w:tr>
      <w:tr>
        <w:trPr>
          <w:trHeight w:val="230"/>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9"/>
              </w:rPr>
              <w:t>eastern Nebraska, North</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Bahamas</w:t>
            </w: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and Wyoming</w:t>
            </w:r>
          </w:p>
        </w:tc>
      </w:tr>
      <w:tr>
        <w:trPr>
          <w:trHeight w:val="230"/>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Carolina, Ohio,</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30"/>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8"/>
              </w:rPr>
              <w:t>South Carolina,</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30"/>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7"/>
              </w:rPr>
              <w:t>Virginia, Washington and</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58"/>
        </w:trPr>
        <w:tc>
          <w:tcPr>
            <w:tcW w:w="2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5"/>
              </w:rPr>
              <w:t>West Virginia</w:t>
            </w:r>
          </w:p>
        </w:tc>
        <w:tc>
          <w:tcPr>
            <w:tcW w:w="1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80" w:type="dxa"/>
            <w:vAlign w:val="bottom"/>
          </w:tcPr>
          <w:p>
            <w:pPr>
              <w:spacing w:after="0"/>
              <w:rPr>
                <w:sz w:val="22"/>
                <w:szCs w:val="22"/>
                <w:color w:val="auto"/>
              </w:rPr>
            </w:pPr>
          </w:p>
        </w:tc>
      </w:tr>
      <w:tr>
        <w:trPr>
          <w:trHeight w:val="430"/>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Product Lines</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Aggregates</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8"/>
              </w:rPr>
              <w:t>Aggregates</w:t>
            </w: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Aggregates, cement, ready mixed</w:t>
            </w:r>
          </w:p>
        </w:tc>
      </w:tr>
      <w:tr>
        <w:trPr>
          <w:trHeight w:val="258"/>
        </w:trPr>
        <w:tc>
          <w:tcPr>
            <w:tcW w:w="2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concrete and asphalt and paving</w:t>
            </w:r>
          </w:p>
        </w:tc>
      </w:tr>
      <w:tr>
        <w:trPr>
          <w:trHeight w:val="430"/>
        </w:trPr>
        <w:tc>
          <w:tcPr>
            <w:tcW w:w="2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Products and Services</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9"/>
              </w:rPr>
              <w:t>Crushed stone, sand and gravel</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8"/>
              </w:rPr>
              <w:t>Crushed stone, sand</w:t>
            </w: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Crushed stone, sand and gravel;</w:t>
            </w:r>
          </w:p>
        </w:tc>
      </w:tr>
      <w:tr>
        <w:trPr>
          <w:trHeight w:val="230"/>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7"/>
              </w:rPr>
              <w:t>and gravel</w:t>
            </w: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Portland and specialty cements; ready</w:t>
            </w:r>
          </w:p>
        </w:tc>
      </w:tr>
      <w:tr>
        <w:trPr>
          <w:trHeight w:val="230"/>
        </w:trPr>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mixed concrete and asphalt and</w:t>
            </w:r>
          </w:p>
        </w:tc>
      </w:tr>
      <w:tr>
        <w:trPr>
          <w:trHeight w:val="258"/>
        </w:trPr>
        <w:tc>
          <w:tcPr>
            <w:tcW w:w="2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paving</w:t>
            </w:r>
          </w:p>
        </w:tc>
      </w:tr>
    </w:tbl>
    <w:p>
      <w:pPr>
        <w:spacing w:after="0" w:line="187"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The Company has a Magnesia Specialties segment with manufacturing facilities in Manistee, Michigan, and Woodville, Ohio. The Magnesia Specialties segment produces magnesia-based chemicals products used in industrial, agricultural and environmental applications and dolomitic lime sold primarily to customers in the steel industry.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7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right="7400" w:hanging="372"/>
        <w:spacing w:after="0" w:line="354" w:lineRule="auto"/>
        <w:tabs>
          <w:tab w:leader="none" w:pos="378"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 (continued) Basis of Presentation</w:t>
      </w:r>
    </w:p>
    <w:p>
      <w:pPr>
        <w:jc w:val="both"/>
        <w:ind w:left="38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accompanying unaudited consolidated financial statements of the Company have been prepared in accordance with generally accepted accounting principles for interim financial information and with the instructions to the Quarterly Report on Form 10-Q and in Article 10 of Regulation S-X. Other than the adoption of two new accounting pronouncements described below, the Company has continued to follow the accounting policies set forth in the audited consolidated financial statements and related notes thereto included in the Company’s Annual Report on Form 10-K for the year ended December 31, 2016.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nine-months ended September 30, 2017 are not indicative of the results expected for other interim periods or the full year. The consolidated balance sheet at December 31, 2016 has been derived from the audited consolidated financial statements at that date but does not include all of the information and notes required by generally accepted accounting principles for complete financial statements. These consolidated financial statements should be read in conjunction with the audited consolidated financial statements and notes thereto included in the Company’s Annual Report on Form 10-K for the year ended December 31, 2016.</w:t>
      </w:r>
    </w:p>
    <w:p>
      <w:pPr>
        <w:spacing w:after="0" w:line="184" w:lineRule="exact"/>
        <w:rPr>
          <w:rFonts w:ascii="Times New Roman" w:cs="Times New Roman" w:eastAsia="Times New Roman" w:hAnsi="Times New Roman"/>
          <w:sz w:val="20"/>
          <w:szCs w:val="20"/>
          <w:b w:val="1"/>
          <w:bCs w:val="1"/>
          <w:color w:val="auto"/>
        </w:rPr>
      </w:pPr>
    </w:p>
    <w:p>
      <w:pPr>
        <w:ind w:left="380" w:right="8180"/>
        <w:spacing w:after="0" w:line="37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 xml:space="preserve">New Accounting Pronouncements </w:t>
      </w:r>
      <w:r>
        <w:rPr>
          <w:rFonts w:ascii="Times New Roman" w:cs="Times New Roman" w:eastAsia="Times New Roman" w:hAnsi="Times New Roman"/>
          <w:sz w:val="19"/>
          <w:szCs w:val="19"/>
          <w:i w:val="1"/>
          <w:iCs w:val="1"/>
          <w:color w:val="auto"/>
        </w:rPr>
        <w:t>Share-Based Payment Accounting</w:t>
      </w:r>
    </w:p>
    <w:p>
      <w:pPr>
        <w:spacing w:after="0" w:line="1" w:lineRule="exact"/>
        <w:rPr>
          <w:rFonts w:ascii="Times New Roman" w:cs="Times New Roman" w:eastAsia="Times New Roman" w:hAnsi="Times New Roman"/>
          <w:sz w:val="20"/>
          <w:szCs w:val="20"/>
          <w:b w:val="1"/>
          <w:bCs w:val="1"/>
          <w:color w:val="auto"/>
        </w:rPr>
      </w:pPr>
    </w:p>
    <w:p>
      <w:pPr>
        <w:jc w:val="both"/>
        <w:ind w:left="38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Effective January 1, 2017, the Company adopted Accounting Standards Update (ASU) 2016-09, </w:t>
      </w:r>
      <w:r>
        <w:rPr>
          <w:rFonts w:ascii="Times New Roman" w:cs="Times New Roman" w:eastAsia="Times New Roman" w:hAnsi="Times New Roman"/>
          <w:sz w:val="20"/>
          <w:szCs w:val="20"/>
          <w:i w:val="1"/>
          <w:iCs w:val="1"/>
          <w:color w:val="auto"/>
        </w:rPr>
        <w:t>Compensation—Stock 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(Topic 718): Improvements to Employee Share-Based Payment Accounting (ASU 2016-09)</w:t>
      </w:r>
      <w:r>
        <w:rPr>
          <w:rFonts w:ascii="Times New Roman" w:cs="Times New Roman" w:eastAsia="Times New Roman" w:hAnsi="Times New Roman"/>
          <w:sz w:val="20"/>
          <w:szCs w:val="20"/>
          <w:color w:val="auto"/>
        </w:rPr>
        <w:t>, which simplifies certain aspects of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guidance and requirements for share-based transactions. ASU 2016-09 requires shares withheld for employees’ income tax obligations to be presented as a financing activity in the statement of cash flows, with retrospective presentation. For the nine-months ended September 30, 2016, the Company reclassified a use of $2,635,000 from operating activities to financing activities on the statement of cash flows. Additionally, excess tax benefits from stock-based compensation transactions are presented as an operating activity with retrospective presentation. The Company previously presented excess tax benefits from stock-based compensation transactions as a financing activity and, for the nine-months ended September 30, 2016, reclassified a source of $5,010,000 to operating activities on the statement of cash flows. ASU 2016-09 also requires excess tax benefits and tax deficiencies to be recognized prospectively as income tax benefits or expense in the period awards vest or are exercised. For the three- and nine-months ended September 30, 2017, the Company recognized excess tax benefits of $854,000 and $6,113,000,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8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right="7400" w:hanging="372"/>
        <w:spacing w:after="0" w:line="370" w:lineRule="auto"/>
        <w:tabs>
          <w:tab w:leader="none" w:pos="378" w:val="left"/>
        </w:tabs>
        <w:numPr>
          <w:ilvl w:val="0"/>
          <w:numId w:val="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Significant Accounting Policies (continued) New Accounting Pronouncements</w:t>
      </w:r>
    </w:p>
    <w:p>
      <w:pPr>
        <w:spacing w:after="0" w:line="1" w:lineRule="exact"/>
        <w:rPr>
          <w:rFonts w:ascii="Times New Roman" w:cs="Times New Roman" w:eastAsia="Times New Roman" w:hAnsi="Times New Roman"/>
          <w:sz w:val="19"/>
          <w:szCs w:val="19"/>
          <w:b w:val="1"/>
          <w:bCs w:val="1"/>
          <w:color w:val="auto"/>
        </w:rPr>
      </w:pPr>
    </w:p>
    <w:p>
      <w:pPr>
        <w:ind w:left="38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i w:val="1"/>
          <w:iCs w:val="1"/>
          <w:color w:val="auto"/>
        </w:rPr>
        <w:t>Net Periodic Pension Cost and Net Periodic Postretirement Benefit Cost</w:t>
      </w:r>
    </w:p>
    <w:p>
      <w:pPr>
        <w:spacing w:after="0" w:line="107" w:lineRule="exact"/>
        <w:rPr>
          <w:rFonts w:ascii="Times New Roman" w:cs="Times New Roman" w:eastAsia="Times New Roman" w:hAnsi="Times New Roman"/>
          <w:sz w:val="19"/>
          <w:szCs w:val="19"/>
          <w:b w:val="1"/>
          <w:bCs w:val="1"/>
          <w:color w:val="auto"/>
        </w:rPr>
      </w:pPr>
    </w:p>
    <w:p>
      <w:pPr>
        <w:jc w:val="both"/>
        <w:ind w:left="380"/>
        <w:spacing w:after="0" w:line="242"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 xml:space="preserve">In March 2017, the Financial Accounting Standards Board (FASB) issued ASU 2017-07, </w:t>
      </w:r>
      <w:r>
        <w:rPr>
          <w:rFonts w:ascii="Times New Roman" w:cs="Times New Roman" w:eastAsia="Times New Roman" w:hAnsi="Times New Roman"/>
          <w:sz w:val="20"/>
          <w:szCs w:val="20"/>
          <w:i w:val="1"/>
          <w:iCs w:val="1"/>
          <w:color w:val="auto"/>
        </w:rPr>
        <w:t>Improving the Presentation of Net Periodic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Pension Cost and Net Periodic Postretirement Benefit Cost </w:t>
      </w:r>
      <w:r>
        <w:rPr>
          <w:rFonts w:ascii="Times New Roman" w:cs="Times New Roman" w:eastAsia="Times New Roman" w:hAnsi="Times New Roman"/>
          <w:sz w:val="20"/>
          <w:szCs w:val="20"/>
          <w:color w:val="auto"/>
        </w:rPr>
        <w:t>(ASU 2017-07)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revises the financial statement presentation for periodic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pension and postretirement expense or credit, other than service cost. ASU 2017-07 requires net periodic benefit cost or credit, with the exception of service cost, to be presented retrospectively as nonoperating expense. As permitted by ASU 2017-07, the Company used the pension and other postretirement benefit plan disclosures for the comparative prior periods as a practical expedient to estimate amounts for retrospective application. Service cost will remain a component of earnings from operations and represent the only cost of pension and postretirement expense eligible for capitalization, notably in the Company’s inventory standards. The Company early adopted this standard effective January 1, 2017. For the three-months ended September 30, 2016, the Company reclassified $739,000 and $1,575,000 from cost of sales and selling, general and administrative expenses, respectively, to nonoperating expense. For the nine-months ended September 30, 2016, the Company reclassified $2,084,000, $4,815,000 and $774,000 from cost of sales; selling, general and administrative expenses; and other operating income and expenses, respectively, to nonoperating expense.</w:t>
      </w:r>
    </w:p>
    <w:p>
      <w:pPr>
        <w:spacing w:after="0" w:line="190" w:lineRule="exact"/>
        <w:rPr>
          <w:rFonts w:ascii="Times New Roman" w:cs="Times New Roman" w:eastAsia="Times New Roman" w:hAnsi="Times New Roman"/>
          <w:sz w:val="19"/>
          <w:szCs w:val="19"/>
          <w:b w:val="1"/>
          <w:bCs w:val="1"/>
          <w:color w:val="auto"/>
        </w:rPr>
      </w:pPr>
    </w:p>
    <w:p>
      <w:pPr>
        <w:ind w:left="380" w:right="7860"/>
        <w:spacing w:after="0" w:line="373"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Pending Accounting Pronouncements </w:t>
      </w:r>
      <w:r>
        <w:rPr>
          <w:rFonts w:ascii="Times New Roman" w:cs="Times New Roman" w:eastAsia="Times New Roman" w:hAnsi="Times New Roman"/>
          <w:sz w:val="19"/>
          <w:szCs w:val="19"/>
          <w:i w:val="1"/>
          <w:iCs w:val="1"/>
          <w:color w:val="auto"/>
        </w:rPr>
        <w:t>Revenue Recognition Standard</w:t>
      </w:r>
    </w:p>
    <w:p>
      <w:pPr>
        <w:jc w:val="both"/>
        <w:ind w:left="380"/>
        <w:spacing w:after="0" w:line="247"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The FASB issued an accounting standards update that amends the accounting guidance on revenue recognition. The new standard intends to provide a more robust framework for addressing revenue issues, improve comparability of revenue recognition practices and improve disclosure requirements. The new standard is effective January 1, 2018 and can be applied on a full retrospective or modified retrospective approach. The Company has completed its initial assessment of the provisions of the new standard and, at this time, does not expect the impact to be material to its results of operations and expects to adopt using the full retrospective approach.</w:t>
      </w:r>
    </w:p>
    <w:p>
      <w:pPr>
        <w:spacing w:after="0" w:line="176" w:lineRule="exact"/>
        <w:rPr>
          <w:rFonts w:ascii="Times New Roman" w:cs="Times New Roman" w:eastAsia="Times New Roman" w:hAnsi="Times New Roman"/>
          <w:sz w:val="19"/>
          <w:szCs w:val="19"/>
          <w:b w:val="1"/>
          <w:bCs w:val="1"/>
          <w:color w:val="auto"/>
        </w:rPr>
      </w:pPr>
    </w:p>
    <w:p>
      <w:pPr>
        <w:ind w:left="38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i w:val="1"/>
          <w:iCs w:val="1"/>
          <w:color w:val="auto"/>
        </w:rPr>
        <w:t>Lease Standard</w:t>
      </w:r>
    </w:p>
    <w:p>
      <w:pPr>
        <w:spacing w:after="0" w:line="107" w:lineRule="exact"/>
        <w:rPr>
          <w:rFonts w:ascii="Times New Roman" w:cs="Times New Roman" w:eastAsia="Times New Roman" w:hAnsi="Times New Roman"/>
          <w:sz w:val="19"/>
          <w:szCs w:val="19"/>
          <w:b w:val="1"/>
          <w:bCs w:val="1"/>
          <w:color w:val="auto"/>
        </w:rPr>
      </w:pPr>
    </w:p>
    <w:p>
      <w:pPr>
        <w:jc w:val="both"/>
        <w:ind w:left="380"/>
        <w:spacing w:after="0" w:line="24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 xml:space="preserve">In February 2016, the FASB issued a new accounting standard, </w:t>
      </w:r>
      <w:r>
        <w:rPr>
          <w:rFonts w:ascii="Times New Roman" w:cs="Times New Roman" w:eastAsia="Times New Roman" w:hAnsi="Times New Roman"/>
          <w:sz w:val="20"/>
          <w:szCs w:val="20"/>
          <w:i w:val="1"/>
          <w:iCs w:val="1"/>
          <w:color w:val="auto"/>
        </w:rPr>
        <w:t>Accounting Codification Standard 842 – Leases,</w:t>
      </w:r>
      <w:r>
        <w:rPr>
          <w:rFonts w:ascii="Times New Roman" w:cs="Times New Roman" w:eastAsia="Times New Roman" w:hAnsi="Times New Roman"/>
          <w:sz w:val="20"/>
          <w:szCs w:val="20"/>
          <w:color w:val="auto"/>
        </w:rPr>
        <w:t xml:space="preserve"> intending to improve financial reporting of leases and to provide more transparency into off-balance sheet leasing obligations. The guidance requires virtually all leases, excluding mineral interest leases, to be recorded on the balance sheet and provides guidance on the recognition of lease expense and income. The new standard is effective January 1, 2019 and must be applied on a modified retrospective approach. The Company is currently assessing the impact of the new standard on the Company’s financial statements. The Company believes the new standard will have a material effect on its balance sheet but has not quantified the impact at this time.</w:t>
      </w:r>
    </w:p>
    <w:p>
      <w:pPr>
        <w:spacing w:after="0" w:line="179" w:lineRule="exact"/>
        <w:rPr>
          <w:rFonts w:ascii="Times New Roman" w:cs="Times New Roman" w:eastAsia="Times New Roman" w:hAnsi="Times New Roman"/>
          <w:sz w:val="19"/>
          <w:szCs w:val="19"/>
          <w:b w:val="1"/>
          <w:bCs w:val="1"/>
          <w:color w:val="auto"/>
        </w:rPr>
      </w:pPr>
    </w:p>
    <w:p>
      <w:pPr>
        <w:ind w:left="38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Reclassifications</w:t>
      </w:r>
    </w:p>
    <w:p>
      <w:pPr>
        <w:spacing w:after="0" w:line="111" w:lineRule="exact"/>
        <w:rPr>
          <w:rFonts w:ascii="Times New Roman" w:cs="Times New Roman" w:eastAsia="Times New Roman" w:hAnsi="Times New Roman"/>
          <w:sz w:val="19"/>
          <w:szCs w:val="19"/>
          <w:b w:val="1"/>
          <w:bCs w:val="1"/>
          <w:color w:val="auto"/>
        </w:rPr>
      </w:pPr>
    </w:p>
    <w:p>
      <w:pPr>
        <w:ind w:left="380"/>
        <w:spacing w:after="0" w:line="26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Prior-year information has been reclassified to conform to the presentation of the Company’s current reportable segments and for the adoption of the two aforementioned accounting pronouncements.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9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 (continued)</w:t>
      </w:r>
    </w:p>
    <w:p>
      <w:pPr>
        <w:spacing w:after="0" w:line="107"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Comprehensive Earnings/Loss and Accumulated Other Comprehensive Loss</w:t>
      </w:r>
    </w:p>
    <w:p>
      <w:pPr>
        <w:spacing w:after="0" w:line="111" w:lineRule="exact"/>
        <w:rPr>
          <w:rFonts w:ascii="Times New Roman" w:cs="Times New Roman" w:eastAsia="Times New Roman" w:hAnsi="Times New Roman"/>
          <w:sz w:val="20"/>
          <w:szCs w:val="20"/>
          <w:b w:val="1"/>
          <w:bCs w:val="1"/>
          <w:color w:val="auto"/>
        </w:rPr>
      </w:pPr>
    </w:p>
    <w:p>
      <w:pPr>
        <w:jc w:val="both"/>
        <w:ind w:left="38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Consolidated comprehensive earnings/loss and accumulated other comprehensive loss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earnings and comprehensive earnings.</w:t>
      </w:r>
    </w:p>
    <w:p>
      <w:pPr>
        <w:spacing w:after="0" w:line="71"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Comprehensive earnings attributable to Martin Marietta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right"/>
              <w:ind w:right="341"/>
              <w:spacing w:after="0"/>
              <w:rPr>
                <w:sz w:val="20"/>
                <w:szCs w:val="20"/>
                <w:color w:val="auto"/>
              </w:rPr>
            </w:pPr>
            <w:r>
              <w:rPr>
                <w:rFonts w:ascii="Times New Roman" w:cs="Times New Roman" w:eastAsia="Times New Roman" w:hAnsi="Times New Roman"/>
                <w:sz w:val="20"/>
                <w:szCs w:val="20"/>
                <w:color w:val="auto"/>
              </w:rPr>
              <w:t>Three-Months Ended</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340"/>
              <w:spacing w:after="0"/>
              <w:rPr>
                <w:sz w:val="20"/>
                <w:szCs w:val="20"/>
                <w:color w:val="auto"/>
              </w:rPr>
            </w:pPr>
            <w:r>
              <w:rPr>
                <w:rFonts w:ascii="Times New Roman" w:cs="Times New Roman" w:eastAsia="Times New Roman" w:hAnsi="Times New Roman"/>
                <w:sz w:val="20"/>
                <w:szCs w:val="20"/>
                <w:color w:val="auto"/>
                <w:w w:val="98"/>
              </w:rPr>
              <w:t>Nine-Months Ended</w:t>
            </w:r>
          </w:p>
        </w:tc>
      </w:tr>
      <w:tr>
        <w:trPr>
          <w:trHeight w:val="252"/>
        </w:trPr>
        <w:tc>
          <w:tcPr>
            <w:tcW w:w="5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right"/>
              <w:ind w:right="601"/>
              <w:spacing w:after="0"/>
              <w:rPr>
                <w:sz w:val="20"/>
                <w:szCs w:val="20"/>
                <w:color w:val="auto"/>
              </w:rPr>
            </w:pPr>
            <w:r>
              <w:rPr>
                <w:rFonts w:ascii="Times New Roman" w:cs="Times New Roman" w:eastAsia="Times New Roman" w:hAnsi="Times New Roman"/>
                <w:sz w:val="20"/>
                <w:szCs w:val="20"/>
                <w:color w:val="auto"/>
              </w:rPr>
              <w:t>September 30,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auto"/>
                <w:w w:val="98"/>
              </w:rPr>
              <w:t>September 30,</w:t>
            </w:r>
          </w:p>
        </w:tc>
      </w:tr>
      <w:tr>
        <w:trPr>
          <w:trHeight w:val="237"/>
        </w:trPr>
        <w:tc>
          <w:tcPr>
            <w:tcW w:w="59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2017</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2016</w:t>
            </w:r>
          </w:p>
        </w:tc>
        <w:tc>
          <w:tcPr>
            <w:tcW w:w="26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2017</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earnings attributable to Martin Marietta Materials, Inc.</w:t>
            </w:r>
          </w:p>
        </w:tc>
        <w:tc>
          <w:tcPr>
            <w:tcW w:w="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151,546</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159,479</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336,159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326,526</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Other comprehensive earnings, net of tax</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2,978</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1,557</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7,759</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100" w:type="dxa"/>
            <w:vAlign w:val="bottom"/>
            <w:tcBorders>
              <w:bottom w:val="single" w:sz="8" w:color="CFF0FC"/>
            </w:tcBorders>
          </w:tcPr>
          <w:p>
            <w:pPr>
              <w:spacing w:after="0"/>
              <w:rPr>
                <w:sz w:val="21"/>
                <w:szCs w:val="21"/>
                <w:color w:val="auto"/>
              </w:rPr>
            </w:pPr>
          </w:p>
        </w:tc>
      </w:tr>
      <w:tr>
        <w:trPr>
          <w:trHeight w:val="214"/>
        </w:trPr>
        <w:tc>
          <w:tcPr>
            <w:tcW w:w="5920" w:type="dxa"/>
            <w:vAlign w:val="bottom"/>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rPr>
              <w:t>Comprehensive earnings attributable to Martin Marietta</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5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Materials, Inc.</w:t>
            </w:r>
          </w:p>
        </w:tc>
        <w:tc>
          <w:tcPr>
            <w:tcW w:w="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154,524</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161,036</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343,918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327,637</w:t>
            </w:r>
          </w:p>
        </w:tc>
        <w:tc>
          <w:tcPr>
            <w:tcW w:w="100" w:type="dxa"/>
            <w:vAlign w:val="bottom"/>
            <w:shd w:val="clear" w:color="auto" w:fill="CFF0FC"/>
          </w:tcPr>
          <w:p>
            <w:pPr>
              <w:spacing w:after="0"/>
              <w:rPr>
                <w:sz w:val="21"/>
                <w:szCs w:val="21"/>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4" w:lineRule="exact"/>
        <w:rPr>
          <w:sz w:val="20"/>
          <w:szCs w:val="20"/>
          <w:color w:val="auto"/>
        </w:rPr>
      </w:pPr>
    </w:p>
    <w:p>
      <w:pPr>
        <w:ind w:left="380" w:right="640"/>
        <w:spacing w:after="0" w:line="269" w:lineRule="auto"/>
        <w:rPr>
          <w:sz w:val="20"/>
          <w:szCs w:val="20"/>
          <w:color w:val="auto"/>
        </w:rPr>
      </w:pPr>
      <w:r>
        <w:rPr>
          <w:rFonts w:ascii="Times New Roman" w:cs="Times New Roman" w:eastAsia="Times New Roman" w:hAnsi="Times New Roman"/>
          <w:sz w:val="20"/>
          <w:szCs w:val="20"/>
          <w:color w:val="auto"/>
        </w:rPr>
        <w:t>Comprehensive earnings attributable to noncontrolling interests, consisting of net earnings and adjustments for the funded status of pension and postretirement benefit plans,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2260" w:type="dxa"/>
            <w:vAlign w:val="bottom"/>
            <w:gridSpan w:val="5"/>
          </w:tcPr>
          <w:p>
            <w:pPr>
              <w:jc w:val="right"/>
              <w:ind w:right="41"/>
              <w:spacing w:after="0"/>
              <w:rPr>
                <w:sz w:val="20"/>
                <w:szCs w:val="20"/>
                <w:color w:val="auto"/>
              </w:rPr>
            </w:pPr>
            <w:r>
              <w:rPr>
                <w:rFonts w:ascii="Times New Roman" w:cs="Times New Roman" w:eastAsia="Times New Roman" w:hAnsi="Times New Roman"/>
                <w:sz w:val="20"/>
                <w:szCs w:val="20"/>
                <w:color w:val="auto"/>
              </w:rPr>
              <w:t>Three-Months Ended</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340"/>
              <w:spacing w:after="0"/>
              <w:rPr>
                <w:sz w:val="20"/>
                <w:szCs w:val="20"/>
                <w:color w:val="auto"/>
              </w:rPr>
            </w:pPr>
            <w:r>
              <w:rPr>
                <w:rFonts w:ascii="Times New Roman" w:cs="Times New Roman" w:eastAsia="Times New Roman" w:hAnsi="Times New Roman"/>
                <w:sz w:val="20"/>
                <w:szCs w:val="20"/>
                <w:color w:val="auto"/>
                <w:w w:val="98"/>
              </w:rPr>
              <w:t>Nine-Months Ended</w:t>
            </w:r>
          </w:p>
        </w:tc>
      </w:tr>
      <w:tr>
        <w:trPr>
          <w:trHeight w:val="252"/>
        </w:trPr>
        <w:tc>
          <w:tcPr>
            <w:tcW w:w="5920" w:type="dxa"/>
            <w:vAlign w:val="bottom"/>
          </w:tcPr>
          <w:p>
            <w:pPr>
              <w:spacing w:after="0"/>
              <w:rPr>
                <w:sz w:val="21"/>
                <w:szCs w:val="21"/>
                <w:color w:val="auto"/>
              </w:rPr>
            </w:pPr>
          </w:p>
        </w:tc>
        <w:tc>
          <w:tcPr>
            <w:tcW w:w="2260" w:type="dxa"/>
            <w:vAlign w:val="bottom"/>
            <w:gridSpan w:val="5"/>
          </w:tcPr>
          <w:p>
            <w:pPr>
              <w:jc w:val="right"/>
              <w:ind w:right="301"/>
              <w:spacing w:after="0"/>
              <w:rPr>
                <w:sz w:val="20"/>
                <w:szCs w:val="20"/>
                <w:color w:val="auto"/>
              </w:rPr>
            </w:pPr>
            <w:r>
              <w:rPr>
                <w:rFonts w:ascii="Times New Roman" w:cs="Times New Roman" w:eastAsia="Times New Roman" w:hAnsi="Times New Roman"/>
                <w:sz w:val="20"/>
                <w:szCs w:val="20"/>
                <w:color w:val="auto"/>
              </w:rPr>
              <w:t>September 30,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auto"/>
                <w:w w:val="98"/>
              </w:rPr>
              <w:t>September 30,</w:t>
            </w:r>
          </w:p>
        </w:tc>
      </w:tr>
      <w:tr>
        <w:trPr>
          <w:trHeight w:val="237"/>
        </w:trPr>
        <w:tc>
          <w:tcPr>
            <w:tcW w:w="59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30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2017</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gridSpan w:val="7"/>
          </w:tcPr>
          <w:p>
            <w:pPr>
              <w:jc w:val="right"/>
              <w:ind w:right="60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(loss) earnings attributable to noncontrolling interests</w:t>
            </w:r>
          </w:p>
        </w:tc>
        <w:tc>
          <w:tcPr>
            <w:tcW w:w="880" w:type="dxa"/>
            <w:vAlign w:val="bottom"/>
            <w:shd w:val="clear" w:color="auto" w:fill="CFF0FC"/>
          </w:tcPr>
          <w:p>
            <w:pPr>
              <w:jc w:val="right"/>
              <w:ind w:right="681"/>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(7)</w:t>
            </w:r>
          </w:p>
        </w:tc>
        <w:tc>
          <w:tcPr>
            <w:tcW w:w="940" w:type="dxa"/>
            <w:vAlign w:val="bottom"/>
            <w:gridSpan w:val="2"/>
            <w:shd w:val="clear" w:color="auto" w:fill="CFF0FC"/>
          </w:tcPr>
          <w:p>
            <w:pPr>
              <w:jc w:val="right"/>
              <w:ind w:right="661"/>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(72)</w:t>
            </w:r>
          </w:p>
        </w:tc>
        <w:tc>
          <w:tcPr>
            <w:tcW w:w="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Other comprehensive earnings, net of tax</w:t>
            </w: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00" w:type="dxa"/>
            <w:vAlign w:val="bottom"/>
            <w:tcBorders>
              <w:bottom w:val="single" w:sz="8" w:color="CFF0FC"/>
            </w:tcBorders>
          </w:tcPr>
          <w:p>
            <w:pPr>
              <w:spacing w:after="0"/>
              <w:rPr>
                <w:sz w:val="21"/>
                <w:szCs w:val="21"/>
                <w:color w:val="auto"/>
              </w:rPr>
            </w:pPr>
          </w:p>
        </w:tc>
      </w:tr>
      <w:tr>
        <w:trPr>
          <w:trHeight w:val="214"/>
        </w:trPr>
        <w:tc>
          <w:tcPr>
            <w:tcW w:w="5920" w:type="dxa"/>
            <w:vAlign w:val="bottom"/>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rPr>
              <w:t>Comprehensive earnings (loss) attributable to</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5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noncontrolling interests</w:t>
            </w:r>
          </w:p>
        </w:tc>
        <w:tc>
          <w:tcPr>
            <w:tcW w:w="880" w:type="dxa"/>
            <w:vAlign w:val="bottom"/>
            <w:shd w:val="clear" w:color="auto" w:fill="CFF0FC"/>
          </w:tcPr>
          <w:p>
            <w:pPr>
              <w:jc w:val="right"/>
              <w:ind w:right="681"/>
              <w:spacing w:after="0"/>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6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(62)</w:t>
            </w:r>
          </w:p>
        </w:tc>
        <w:tc>
          <w:tcPr>
            <w:tcW w:w="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100" w:type="dxa"/>
            <w:vAlign w:val="bottom"/>
            <w:shd w:val="clear" w:color="auto" w:fill="CFF0FC"/>
          </w:tcPr>
          <w:p>
            <w:pPr>
              <w:spacing w:after="0"/>
              <w:rPr>
                <w:sz w:val="21"/>
                <w:szCs w:val="21"/>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10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 (continued)</w:t>
      </w:r>
    </w:p>
    <w:p>
      <w:pPr>
        <w:spacing w:after="0" w:line="107" w:lineRule="exact"/>
        <w:rPr>
          <w:rFonts w:ascii="Times New Roman" w:cs="Times New Roman" w:eastAsia="Times New Roman" w:hAnsi="Times New Roman"/>
          <w:sz w:val="20"/>
          <w:szCs w:val="20"/>
          <w:b w:val="1"/>
          <w:bCs w:val="1"/>
          <w:color w:val="auto"/>
        </w:rPr>
      </w:pPr>
    </w:p>
    <w:p>
      <w:pPr>
        <w:ind w:left="380" w:right="2380"/>
        <w:spacing w:after="0" w:line="38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Consolidated Comprehensive Earnings/Loss and Accumulated Other Comprehensive Loss (continued) </w:t>
      </w:r>
      <w:r>
        <w:rPr>
          <w:rFonts w:ascii="Times New Roman" w:cs="Times New Roman" w:eastAsia="Times New Roman" w:hAnsi="Times New Roman"/>
          <w:sz w:val="20"/>
          <w:szCs w:val="20"/>
          <w:color w:val="auto"/>
        </w:rPr>
        <w:t>Changes in accumulated other comprehensive earnings (loss), net of tax,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7"/>
        </w:trPr>
        <w:tc>
          <w:tcPr>
            <w:tcW w:w="4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380"/>
              <w:spacing w:after="0" w:line="228" w:lineRule="exact"/>
              <w:rPr>
                <w:sz w:val="20"/>
                <w:szCs w:val="20"/>
                <w:color w:val="auto"/>
              </w:rPr>
            </w:pPr>
            <w:r>
              <w:rPr>
                <w:rFonts w:ascii="Times New Roman" w:cs="Times New Roman" w:eastAsia="Times New Roman" w:hAnsi="Times New Roman"/>
                <w:sz w:val="20"/>
                <w:szCs w:val="20"/>
                <w:color w:val="auto"/>
                <w:w w:val="97"/>
              </w:rPr>
              <w:t>Unamortized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4"/>
              </w:rPr>
              <w:t>Value of</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7"/>
              </w:rPr>
              <w:t>Terminated</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9"/>
              </w:rPr>
              <w:t>Accumulated</w:t>
            </w: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181"/>
              <w:spacing w:after="0"/>
              <w:rPr>
                <w:sz w:val="20"/>
                <w:szCs w:val="20"/>
                <w:color w:val="auto"/>
              </w:rPr>
            </w:pPr>
            <w:r>
              <w:rPr>
                <w:rFonts w:ascii="Times New Roman" w:cs="Times New Roman" w:eastAsia="Times New Roman" w:hAnsi="Times New Roman"/>
                <w:sz w:val="20"/>
                <w:szCs w:val="20"/>
                <w:color w:val="auto"/>
                <w:w w:val="98"/>
              </w:rPr>
              <w:t>Pension and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Forward Starting</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color w:val="auto"/>
                <w:w w:val="96"/>
              </w:rPr>
              <w:t>Other</w:t>
            </w: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gridSpan w:val="3"/>
          </w:tcPr>
          <w:p>
            <w:pPr>
              <w:jc w:val="center"/>
              <w:ind w:right="61"/>
              <w:spacing w:after="0"/>
              <w:rPr>
                <w:sz w:val="20"/>
                <w:szCs w:val="20"/>
                <w:color w:val="auto"/>
              </w:rPr>
            </w:pPr>
            <w:r>
              <w:rPr>
                <w:rFonts w:ascii="Times New Roman" w:cs="Times New Roman" w:eastAsia="Times New Roman" w:hAnsi="Times New Roman"/>
                <w:sz w:val="20"/>
                <w:szCs w:val="20"/>
                <w:color w:val="auto"/>
                <w:w w:val="99"/>
              </w:rPr>
              <w:t>Postretirement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20"/>
                <w:szCs w:val="20"/>
                <w:color w:val="auto"/>
              </w:rPr>
              <w:t>Foreign</w:t>
            </w: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color w:val="auto"/>
              </w:rPr>
              <w:t>Interest Rate</w:t>
            </w:r>
          </w:p>
        </w:tc>
        <w:tc>
          <w:tcPr>
            <w:tcW w:w="1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Comprehensive</w:t>
            </w:r>
          </w:p>
        </w:tc>
      </w:tr>
      <w:tr>
        <w:trPr>
          <w:trHeight w:val="252"/>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gridSpan w:val="3"/>
          </w:tcPr>
          <w:p>
            <w:pPr>
              <w:jc w:val="center"/>
              <w:ind w:right="81"/>
              <w:spacing w:after="0"/>
              <w:rPr>
                <w:sz w:val="20"/>
                <w:szCs w:val="20"/>
                <w:color w:val="auto"/>
              </w:rPr>
            </w:pPr>
            <w:r>
              <w:rPr>
                <w:rFonts w:ascii="Times New Roman" w:cs="Times New Roman" w:eastAsia="Times New Roman" w:hAnsi="Times New Roman"/>
                <w:sz w:val="20"/>
                <w:szCs w:val="20"/>
                <w:color w:val="auto"/>
                <w:w w:val="98"/>
              </w:rPr>
              <w:t>Benefit Plans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Currency</w:t>
            </w:r>
          </w:p>
        </w:tc>
        <w:tc>
          <w:tcPr>
            <w:tcW w:w="12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color w:val="auto"/>
                <w:w w:val="98"/>
              </w:rPr>
              <w:t>Swap</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color w:val="auto"/>
                <w:w w:val="95"/>
              </w:rPr>
              <w:t>Loss</w:t>
            </w:r>
          </w:p>
        </w:tc>
      </w:tr>
      <w:tr>
        <w:trPr>
          <w:trHeight w:val="237"/>
        </w:trPr>
        <w:tc>
          <w:tcPr>
            <w:tcW w:w="460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tcBorders>
            <w:gridSpan w:val="8"/>
          </w:tcPr>
          <w:p>
            <w:pPr>
              <w:jc w:val="center"/>
              <w:spacing w:after="0"/>
              <w:rPr>
                <w:sz w:val="20"/>
                <w:szCs w:val="20"/>
                <w:color w:val="auto"/>
              </w:rPr>
            </w:pPr>
            <w:r>
              <w:rPr>
                <w:rFonts w:ascii="Times New Roman" w:cs="Times New Roman" w:eastAsia="Times New Roman" w:hAnsi="Times New Roman"/>
                <w:sz w:val="20"/>
                <w:szCs w:val="20"/>
                <w:color w:val="auto"/>
                <w:w w:val="98"/>
              </w:rPr>
              <w:t>Three-Months Ended September 30, 2017</w:t>
            </w: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(124,553)</w:t>
            </w:r>
          </w:p>
        </w:tc>
        <w:tc>
          <w:tcPr>
            <w:tcW w:w="2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(636)</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(717)</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(125,906)</w:t>
            </w:r>
          </w:p>
        </w:tc>
        <w:tc>
          <w:tcPr>
            <w:tcW w:w="100" w:type="dxa"/>
            <w:vAlign w:val="bottom"/>
            <w:shd w:val="clear" w:color="auto" w:fill="CFF0FC"/>
          </w:tcPr>
          <w:p>
            <w:pPr>
              <w:spacing w:after="0"/>
              <w:rPr>
                <w:sz w:val="20"/>
                <w:szCs w:val="20"/>
                <w:color w:val="auto"/>
              </w:rPr>
            </w:pPr>
          </w:p>
        </w:tc>
      </w:tr>
      <w:tr>
        <w:trPr>
          <w:trHeight w:val="214"/>
        </w:trPr>
        <w:tc>
          <w:tcPr>
            <w:tcW w:w="4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comprehensive earnings before</w:t>
            </w:r>
          </w:p>
        </w:tc>
        <w:tc>
          <w:tcPr>
            <w:tcW w:w="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4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reclassifications,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100" w:type="dxa"/>
            <w:vAlign w:val="bottom"/>
          </w:tcPr>
          <w:p>
            <w:pPr>
              <w:spacing w:after="0"/>
              <w:rPr>
                <w:sz w:val="21"/>
                <w:szCs w:val="21"/>
                <w:color w:val="auto"/>
              </w:rPr>
            </w:pPr>
          </w:p>
        </w:tc>
      </w:tr>
      <w:tr>
        <w:trPr>
          <w:trHeight w:val="220"/>
        </w:trPr>
        <w:tc>
          <w:tcPr>
            <w:tcW w:w="46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Amounts reclassified from accumulated</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2"/>
        </w:trPr>
        <w:tc>
          <w:tcPr>
            <w:tcW w:w="4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other comprehensive earnings, net of tax</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1,918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2,140</w:t>
            </w:r>
          </w:p>
        </w:tc>
        <w:tc>
          <w:tcPr>
            <w:tcW w:w="100" w:type="dxa"/>
            <w:vAlign w:val="bottom"/>
            <w:shd w:val="clear" w:color="auto" w:fill="CFF0FC"/>
          </w:tcPr>
          <w:p>
            <w:pPr>
              <w:spacing w:after="0"/>
              <w:rPr>
                <w:sz w:val="21"/>
                <w:szCs w:val="2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Other comprehensive earnings, net of tax</w:t>
            </w: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1,918</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2,978</w:t>
            </w:r>
          </w:p>
        </w:tc>
        <w:tc>
          <w:tcPr>
            <w:tcW w:w="100" w:type="dxa"/>
            <w:vAlign w:val="bottom"/>
            <w:tcBorders>
              <w:bottom w:val="single" w:sz="8" w:color="CFF0FC"/>
            </w:tcBorders>
          </w:tcPr>
          <w:p>
            <w:pPr>
              <w:spacing w:after="0"/>
              <w:rPr>
                <w:sz w:val="20"/>
                <w:szCs w:val="20"/>
                <w:color w:val="auto"/>
              </w:rPr>
            </w:pPr>
          </w:p>
        </w:tc>
      </w:tr>
      <w:tr>
        <w:trPr>
          <w:trHeight w:val="237"/>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(122,635)</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(122,928)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6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20"/>
                <w:szCs w:val="20"/>
                <w:color w:val="auto"/>
                <w:w w:val="98"/>
              </w:rPr>
              <w:t>Three-Months Ended September 30, 2016</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FF2FA"/>
            </w:tcBorders>
          </w:tcPr>
          <w:p>
            <w:pPr>
              <w:spacing w:after="0"/>
              <w:rPr>
                <w:sz w:val="24"/>
                <w:szCs w:val="24"/>
                <w:color w:val="auto"/>
              </w:rPr>
            </w:pPr>
          </w:p>
        </w:tc>
      </w:tr>
      <w:tr>
        <w:trPr>
          <w:trHeight w:val="23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820" w:type="dxa"/>
            <w:vAlign w:val="bottom"/>
            <w:shd w:val="clear" w:color="auto" w:fill="CFF0FC"/>
          </w:tcPr>
          <w:p>
            <w:pPr>
              <w:spacing w:after="0"/>
              <w:rPr>
                <w:sz w:val="20"/>
                <w:szCs w:val="20"/>
                <w:color w:val="auto"/>
              </w:rPr>
            </w:pPr>
          </w:p>
        </w:tc>
        <w:tc>
          <w:tcPr>
            <w:tcW w:w="12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(104,114)</w:t>
            </w:r>
          </w:p>
        </w:tc>
        <w:tc>
          <w:tcPr>
            <w:tcW w:w="280" w:type="dxa"/>
            <w:vAlign w:val="bottom"/>
            <w:gridSpan w:val="2"/>
            <w:shd w:val="clear" w:color="auto" w:fill="CFF2FA"/>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shd w:val="clear" w:color="auto" w:fill="CFF2FA"/>
          </w:tcPr>
          <w:p>
            <w:pPr>
              <w:jc w:val="right"/>
              <w:ind w:right="180"/>
              <w:spacing w:after="0"/>
              <w:rPr>
                <w:sz w:val="20"/>
                <w:szCs w:val="20"/>
                <w:color w:val="auto"/>
              </w:rPr>
            </w:pPr>
            <w:r>
              <w:rPr>
                <w:rFonts w:ascii="Times New Roman" w:cs="Times New Roman" w:eastAsia="Times New Roman" w:hAnsi="Times New Roman"/>
                <w:sz w:val="20"/>
                <w:szCs w:val="20"/>
                <w:color w:val="auto"/>
              </w:rPr>
              <w:t>(381)</w:t>
            </w:r>
          </w:p>
        </w:tc>
        <w:tc>
          <w:tcPr>
            <w:tcW w:w="120" w:type="dxa"/>
            <w:vAlign w:val="bottom"/>
            <w:shd w:val="clear" w:color="auto" w:fill="CFF2FA"/>
          </w:tcPr>
          <w:p>
            <w:pPr>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gridSpan w:val="2"/>
            <w:shd w:val="clear" w:color="auto" w:fill="CFF2FA"/>
          </w:tcPr>
          <w:p>
            <w:pPr>
              <w:jc w:val="right"/>
              <w:ind w:right="180"/>
              <w:spacing w:after="0"/>
              <w:rPr>
                <w:sz w:val="20"/>
                <w:szCs w:val="20"/>
                <w:color w:val="auto"/>
              </w:rPr>
            </w:pPr>
            <w:r>
              <w:rPr>
                <w:rFonts w:ascii="Times New Roman" w:cs="Times New Roman" w:eastAsia="Times New Roman" w:hAnsi="Times New Roman"/>
                <w:sz w:val="20"/>
                <w:szCs w:val="20"/>
                <w:color w:val="auto"/>
              </w:rPr>
              <w:t>(1,573)</w:t>
            </w:r>
          </w:p>
        </w:tc>
        <w:tc>
          <w:tcPr>
            <w:tcW w:w="240" w:type="dxa"/>
            <w:vAlign w:val="bottom"/>
            <w:shd w:val="clear" w:color="auto" w:fill="CFF2FA"/>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(106,068)</w:t>
            </w:r>
          </w:p>
        </w:tc>
        <w:tc>
          <w:tcPr>
            <w:tcW w:w="100" w:type="dxa"/>
            <w:vAlign w:val="bottom"/>
            <w:shd w:val="clear" w:color="auto" w:fill="CFF2FA"/>
          </w:tcPr>
          <w:p>
            <w:pPr>
              <w:spacing w:after="0"/>
              <w:rPr>
                <w:sz w:val="20"/>
                <w:szCs w:val="20"/>
                <w:color w:val="auto"/>
              </w:rPr>
            </w:pPr>
          </w:p>
        </w:tc>
      </w:tr>
      <w:tr>
        <w:trPr>
          <w:trHeight w:val="214"/>
        </w:trPr>
        <w:tc>
          <w:tcPr>
            <w:tcW w:w="4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comprehensive loss before</w:t>
            </w:r>
          </w:p>
        </w:tc>
        <w:tc>
          <w:tcPr>
            <w:tcW w:w="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4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reclassifications,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(198)</w:t>
            </w: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(198)</w:t>
            </w:r>
          </w:p>
        </w:tc>
      </w:tr>
      <w:tr>
        <w:trPr>
          <w:trHeight w:val="220"/>
        </w:trPr>
        <w:tc>
          <w:tcPr>
            <w:tcW w:w="46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Amounts reclassified from accumulated</w:t>
            </w:r>
          </w:p>
        </w:tc>
        <w:tc>
          <w:tcPr>
            <w:tcW w:w="820" w:type="dxa"/>
            <w:vAlign w:val="bottom"/>
            <w:shd w:val="clear" w:color="auto" w:fill="CFF0FC"/>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1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52"/>
        </w:trPr>
        <w:tc>
          <w:tcPr>
            <w:tcW w:w="4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other comprehensive earnings, net of tax</w:t>
            </w:r>
          </w:p>
        </w:tc>
        <w:tc>
          <w:tcPr>
            <w:tcW w:w="820" w:type="dxa"/>
            <w:vAlign w:val="bottom"/>
            <w:shd w:val="clear" w:color="auto" w:fill="CFF0FC"/>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12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1,547</w:t>
            </w:r>
          </w:p>
        </w:tc>
        <w:tc>
          <w:tcPr>
            <w:tcW w:w="160" w:type="dxa"/>
            <w:vAlign w:val="bottom"/>
            <w:shd w:val="clear" w:color="auto" w:fill="CFF2FA"/>
          </w:tcPr>
          <w:p>
            <w:pPr>
              <w:spacing w:after="0"/>
              <w:rPr>
                <w:sz w:val="21"/>
                <w:szCs w:val="21"/>
                <w:color w:val="auto"/>
              </w:rPr>
            </w:pPr>
          </w:p>
        </w:tc>
        <w:tc>
          <w:tcPr>
            <w:tcW w:w="80" w:type="dxa"/>
            <w:vAlign w:val="bottom"/>
            <w:shd w:val="clear" w:color="auto" w:fill="CFF2FA"/>
          </w:tcPr>
          <w:p>
            <w:pPr>
              <w:spacing w:after="0"/>
              <w:rPr>
                <w:sz w:val="21"/>
                <w:szCs w:val="21"/>
                <w:color w:val="auto"/>
              </w:rPr>
            </w:pPr>
          </w:p>
        </w:tc>
        <w:tc>
          <w:tcPr>
            <w:tcW w:w="20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2FA"/>
          </w:tcPr>
          <w:p>
            <w:pPr>
              <w:spacing w:after="0"/>
              <w:rPr>
                <w:sz w:val="21"/>
                <w:szCs w:val="21"/>
                <w:color w:val="auto"/>
              </w:rPr>
            </w:pPr>
          </w:p>
        </w:tc>
        <w:tc>
          <w:tcPr>
            <w:tcW w:w="124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240" w:type="dxa"/>
            <w:vAlign w:val="bottom"/>
            <w:shd w:val="clear" w:color="auto" w:fill="CFF2FA"/>
          </w:tcPr>
          <w:p>
            <w:pPr>
              <w:spacing w:after="0"/>
              <w:rPr>
                <w:sz w:val="21"/>
                <w:szCs w:val="21"/>
                <w:color w:val="auto"/>
              </w:rPr>
            </w:pPr>
          </w:p>
        </w:tc>
        <w:tc>
          <w:tcPr>
            <w:tcW w:w="240" w:type="dxa"/>
            <w:vAlign w:val="bottom"/>
            <w:shd w:val="clear" w:color="auto" w:fill="CFF2FA"/>
          </w:tcPr>
          <w:p>
            <w:pPr>
              <w:spacing w:after="0"/>
              <w:rPr>
                <w:sz w:val="21"/>
                <w:szCs w:val="21"/>
                <w:color w:val="auto"/>
              </w:rPr>
            </w:pPr>
          </w:p>
        </w:tc>
        <w:tc>
          <w:tcPr>
            <w:tcW w:w="102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1,755</w:t>
            </w:r>
          </w:p>
        </w:tc>
        <w:tc>
          <w:tcPr>
            <w:tcW w:w="100" w:type="dxa"/>
            <w:vAlign w:val="bottom"/>
            <w:shd w:val="clear" w:color="auto" w:fill="CFF2FA"/>
          </w:tcPr>
          <w:p>
            <w:pPr>
              <w:spacing w:after="0"/>
              <w:rPr>
                <w:sz w:val="21"/>
                <w:szCs w:val="2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Other comprehensive earnings (loss), net of tax</w:t>
            </w: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1,547</w:t>
            </w:r>
          </w:p>
        </w:tc>
        <w:tc>
          <w:tcPr>
            <w:tcW w:w="160" w:type="dxa"/>
            <w:vAlign w:val="bottom"/>
            <w:tcBorders>
              <w:bottom w:val="single" w:sz="8" w:color="CFF2FA"/>
            </w:tcBorders>
          </w:tcPr>
          <w:p>
            <w:pPr>
              <w:spacing w:after="0"/>
              <w:rPr>
                <w:sz w:val="20"/>
                <w:szCs w:val="20"/>
                <w:color w:val="auto"/>
              </w:rPr>
            </w:pPr>
          </w:p>
        </w:tc>
        <w:tc>
          <w:tcPr>
            <w:tcW w:w="80" w:type="dxa"/>
            <w:vAlign w:val="bottom"/>
            <w:tcBorders>
              <w:bottom w:val="single" w:sz="8" w:color="CFF2FA"/>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240" w:type="dxa"/>
            <w:vAlign w:val="bottom"/>
            <w:tcBorders>
              <w:bottom w:val="single" w:sz="8" w:color="CFF2FA"/>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240" w:type="dxa"/>
            <w:vAlign w:val="bottom"/>
            <w:tcBorders>
              <w:bottom w:val="single" w:sz="8" w:color="CFF2FA"/>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1,557</w:t>
            </w:r>
          </w:p>
        </w:tc>
        <w:tc>
          <w:tcPr>
            <w:tcW w:w="100" w:type="dxa"/>
            <w:vAlign w:val="bottom"/>
            <w:tcBorders>
              <w:bottom w:val="single" w:sz="8" w:color="CFF2FA"/>
            </w:tcBorders>
          </w:tcPr>
          <w:p>
            <w:pPr>
              <w:spacing w:after="0"/>
              <w:rPr>
                <w:sz w:val="20"/>
                <w:szCs w:val="20"/>
                <w:color w:val="auto"/>
              </w:rPr>
            </w:pPr>
          </w:p>
        </w:tc>
      </w:tr>
      <w:tr>
        <w:trPr>
          <w:trHeight w:val="237"/>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(102,567)</w:t>
            </w:r>
          </w:p>
        </w:tc>
        <w:tc>
          <w:tcPr>
            <w:tcW w:w="160" w:type="dxa"/>
            <w:vAlign w:val="bottom"/>
            <w:tcBorders>
              <w:bottom w:val="single" w:sz="8" w:color="CFF2FA"/>
            </w:tcBorders>
            <w:shd w:val="clear" w:color="auto" w:fill="CFF2FA"/>
          </w:tcPr>
          <w:p>
            <w:pPr>
              <w:spacing w:after="0"/>
              <w:rPr>
                <w:sz w:val="20"/>
                <w:szCs w:val="20"/>
                <w:color w:val="auto"/>
              </w:rPr>
            </w:pPr>
          </w:p>
        </w:tc>
        <w:tc>
          <w:tcPr>
            <w:tcW w:w="80" w:type="dxa"/>
            <w:vAlign w:val="bottom"/>
            <w:tcBorders>
              <w:bottom w:val="single" w:sz="8" w:color="CFF2FA"/>
            </w:tcBorders>
            <w:shd w:val="clear" w:color="auto" w:fill="CFF2FA"/>
          </w:tcPr>
          <w:p>
            <w:pPr>
              <w:spacing w:after="0"/>
              <w:rPr>
                <w:sz w:val="20"/>
                <w:szCs w:val="20"/>
                <w:color w:val="auto"/>
              </w:rPr>
            </w:pPr>
          </w:p>
        </w:tc>
        <w:tc>
          <w:tcPr>
            <w:tcW w:w="200" w:type="dxa"/>
            <w:vAlign w:val="bottom"/>
            <w:tcBorders>
              <w:bottom w:val="single" w:sz="8" w:color="auto"/>
            </w:tcBorders>
            <w:shd w:val="clear" w:color="auto" w:fill="CFF2FA"/>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24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(1,365)</w:t>
            </w:r>
          </w:p>
        </w:tc>
        <w:tc>
          <w:tcPr>
            <w:tcW w:w="240" w:type="dxa"/>
            <w:vAlign w:val="bottom"/>
            <w:tcBorders>
              <w:bottom w:val="single" w:sz="8" w:color="CFF2FA"/>
            </w:tcBorders>
            <w:shd w:val="clear" w:color="auto" w:fill="CFF2FA"/>
          </w:tcPr>
          <w:p>
            <w:pPr>
              <w:spacing w:after="0"/>
              <w:rPr>
                <w:sz w:val="20"/>
                <w:szCs w:val="20"/>
                <w:color w:val="auto"/>
              </w:rPr>
            </w:pPr>
          </w:p>
        </w:tc>
        <w:tc>
          <w:tcPr>
            <w:tcW w:w="240" w:type="dxa"/>
            <w:vAlign w:val="bottom"/>
            <w:tcBorders>
              <w:bottom w:val="single" w:sz="8" w:color="auto"/>
            </w:tcBorders>
            <w:shd w:val="clear" w:color="auto" w:fill="CFF2FA"/>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(104,511)</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11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 (continued)</w:t>
      </w:r>
    </w:p>
    <w:p>
      <w:pPr>
        <w:spacing w:after="0" w:line="107"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Consolidated Comprehensive Earnings/Loss and Accumulated Other Comprehensive Loss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7"/>
        </w:trPr>
        <w:tc>
          <w:tcPr>
            <w:tcW w:w="4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380"/>
              <w:spacing w:after="0" w:line="228" w:lineRule="exact"/>
              <w:rPr>
                <w:sz w:val="20"/>
                <w:szCs w:val="20"/>
                <w:color w:val="auto"/>
              </w:rPr>
            </w:pPr>
            <w:r>
              <w:rPr>
                <w:rFonts w:ascii="Times New Roman" w:cs="Times New Roman" w:eastAsia="Times New Roman" w:hAnsi="Times New Roman"/>
                <w:sz w:val="20"/>
                <w:szCs w:val="20"/>
                <w:color w:val="auto"/>
                <w:w w:val="97"/>
              </w:rPr>
              <w:t>Unamortized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4"/>
              </w:rPr>
              <w:t>Value of</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7"/>
              </w:rPr>
              <w:t>Terminated</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9"/>
              </w:rPr>
              <w:t>Accumulated</w:t>
            </w: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auto"/>
                <w:w w:val="98"/>
              </w:rPr>
              <w:t>Pension and</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Forward Starting</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color w:val="auto"/>
                <w:w w:val="96"/>
              </w:rPr>
              <w:t>Other</w:t>
            </w: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color w:val="auto"/>
                <w:w w:val="99"/>
              </w:rPr>
              <w:t>Postretirement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20"/>
                <w:szCs w:val="20"/>
                <w:color w:val="auto"/>
              </w:rPr>
              <w:t>Foreign</w:t>
            </w: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color w:val="auto"/>
              </w:rPr>
              <w:t>Interest Rate</w:t>
            </w:r>
          </w:p>
        </w:tc>
        <w:tc>
          <w:tcPr>
            <w:tcW w:w="1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Comprehensive</w:t>
            </w:r>
          </w:p>
        </w:tc>
      </w:tr>
      <w:tr>
        <w:trPr>
          <w:trHeight w:val="252"/>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8"/>
              </w:rPr>
              <w:t>Benefit Plans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Currency</w:t>
            </w:r>
          </w:p>
        </w:tc>
        <w:tc>
          <w:tcPr>
            <w:tcW w:w="12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color w:val="auto"/>
                <w:w w:val="98"/>
              </w:rPr>
              <w:t>Swap</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color w:val="auto"/>
                <w:w w:val="95"/>
              </w:rPr>
              <w:t>Loss</w:t>
            </w:r>
          </w:p>
        </w:tc>
      </w:tr>
      <w:tr>
        <w:trPr>
          <w:trHeight w:val="237"/>
        </w:trPr>
        <w:tc>
          <w:tcPr>
            <w:tcW w:w="460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320" w:type="dxa"/>
            <w:vAlign w:val="bottom"/>
            <w:tcBorders>
              <w:top w:val="single" w:sz="8" w:color="auto"/>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20"/>
                <w:szCs w:val="20"/>
                <w:color w:val="auto"/>
                <w:w w:val="98"/>
              </w:rPr>
              <w:t>Nine-Months Ended September 30, 2017</w:t>
            </w: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r>
      <w:tr>
        <w:trPr>
          <w:trHeight w:val="23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820" w:type="dxa"/>
            <w:vAlign w:val="bottom"/>
            <w:shd w:val="clear" w:color="auto" w:fill="CFF0FC"/>
          </w:tcPr>
          <w:p>
            <w:pPr>
              <w:spacing w:after="0"/>
              <w:rPr>
                <w:sz w:val="20"/>
                <w:szCs w:val="20"/>
                <w:color w:val="auto"/>
              </w:rPr>
            </w:pPr>
          </w:p>
        </w:tc>
        <w:tc>
          <w:tcPr>
            <w:tcW w:w="12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(128,373)</w:t>
            </w:r>
          </w:p>
        </w:tc>
        <w:tc>
          <w:tcPr>
            <w:tcW w:w="360" w:type="dxa"/>
            <w:vAlign w:val="bottom"/>
            <w:gridSpan w:val="2"/>
            <w:shd w:val="clear" w:color="auto" w:fill="CFF2FA"/>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shd w:val="clear" w:color="auto" w:fill="CFF2FA"/>
          </w:tcPr>
          <w:p>
            <w:pPr>
              <w:jc w:val="right"/>
              <w:ind w:right="180"/>
              <w:spacing w:after="0"/>
              <w:rPr>
                <w:sz w:val="20"/>
                <w:szCs w:val="20"/>
                <w:color w:val="auto"/>
              </w:rPr>
            </w:pPr>
            <w:r>
              <w:rPr>
                <w:rFonts w:ascii="Times New Roman" w:cs="Times New Roman" w:eastAsia="Times New Roman" w:hAnsi="Times New Roman"/>
                <w:sz w:val="20"/>
                <w:szCs w:val="20"/>
                <w:color w:val="auto"/>
              </w:rPr>
              <w:t>(1,162)</w:t>
            </w:r>
          </w:p>
        </w:tc>
        <w:tc>
          <w:tcPr>
            <w:tcW w:w="120" w:type="dxa"/>
            <w:vAlign w:val="bottom"/>
            <w:shd w:val="clear" w:color="auto" w:fill="CFF2FA"/>
          </w:tcPr>
          <w:p>
            <w:pPr>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gridSpan w:val="2"/>
            <w:shd w:val="clear" w:color="auto" w:fill="CFF2FA"/>
          </w:tcPr>
          <w:p>
            <w:pPr>
              <w:jc w:val="right"/>
              <w:ind w:right="180"/>
              <w:spacing w:after="0"/>
              <w:rPr>
                <w:sz w:val="20"/>
                <w:szCs w:val="20"/>
                <w:color w:val="auto"/>
              </w:rPr>
            </w:pPr>
            <w:r>
              <w:rPr>
                <w:rFonts w:ascii="Times New Roman" w:cs="Times New Roman" w:eastAsia="Times New Roman" w:hAnsi="Times New Roman"/>
                <w:sz w:val="20"/>
                <w:szCs w:val="20"/>
                <w:color w:val="auto"/>
              </w:rPr>
              <w:t>(1,152)</w:t>
            </w:r>
          </w:p>
        </w:tc>
        <w:tc>
          <w:tcPr>
            <w:tcW w:w="240" w:type="dxa"/>
            <w:vAlign w:val="bottom"/>
            <w:shd w:val="clear" w:color="auto" w:fill="CFF2FA"/>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(130,687)</w:t>
            </w:r>
          </w:p>
        </w:tc>
        <w:tc>
          <w:tcPr>
            <w:tcW w:w="100" w:type="dxa"/>
            <w:vAlign w:val="bottom"/>
            <w:shd w:val="clear" w:color="auto" w:fill="CFF2FA"/>
          </w:tcPr>
          <w:p>
            <w:pPr>
              <w:spacing w:after="0"/>
              <w:rPr>
                <w:sz w:val="20"/>
                <w:szCs w:val="20"/>
                <w:color w:val="auto"/>
              </w:rPr>
            </w:pPr>
          </w:p>
        </w:tc>
      </w:tr>
      <w:tr>
        <w:trPr>
          <w:trHeight w:val="214"/>
        </w:trPr>
        <w:tc>
          <w:tcPr>
            <w:tcW w:w="4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comprehensive earnings before</w:t>
            </w:r>
          </w:p>
        </w:tc>
        <w:tc>
          <w:tcPr>
            <w:tcW w:w="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4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reclassifications,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w:t>
            </w:r>
          </w:p>
        </w:tc>
        <w:tc>
          <w:tcPr>
            <w:tcW w:w="100" w:type="dxa"/>
            <w:vAlign w:val="bottom"/>
          </w:tcPr>
          <w:p>
            <w:pPr>
              <w:spacing w:after="0"/>
              <w:rPr>
                <w:sz w:val="21"/>
                <w:szCs w:val="21"/>
                <w:color w:val="auto"/>
              </w:rPr>
            </w:pPr>
          </w:p>
        </w:tc>
      </w:tr>
      <w:tr>
        <w:trPr>
          <w:trHeight w:val="220"/>
        </w:trPr>
        <w:tc>
          <w:tcPr>
            <w:tcW w:w="46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Amounts reclassified from accumulated</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52"/>
        </w:trPr>
        <w:tc>
          <w:tcPr>
            <w:tcW w:w="4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other comprehensive earnings, net of tax</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5,738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240" w:type="dxa"/>
            <w:vAlign w:val="bottom"/>
            <w:shd w:val="clear" w:color="auto" w:fill="CFF0FC"/>
          </w:tcPr>
          <w:p>
            <w:pPr>
              <w:spacing w:after="0"/>
              <w:rPr>
                <w:sz w:val="21"/>
                <w:szCs w:val="21"/>
                <w:color w:val="auto"/>
              </w:rPr>
            </w:pPr>
          </w:p>
        </w:tc>
        <w:tc>
          <w:tcPr>
            <w:tcW w:w="240" w:type="dxa"/>
            <w:vAlign w:val="bottom"/>
            <w:shd w:val="clear" w:color="auto" w:fill="CFF2FA"/>
          </w:tcPr>
          <w:p>
            <w:pPr>
              <w:spacing w:after="0"/>
              <w:rPr>
                <w:sz w:val="21"/>
                <w:szCs w:val="21"/>
                <w:color w:val="auto"/>
              </w:rPr>
            </w:pPr>
          </w:p>
        </w:tc>
        <w:tc>
          <w:tcPr>
            <w:tcW w:w="1020" w:type="dxa"/>
            <w:vAlign w:val="bottom"/>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6,395</w:t>
            </w:r>
          </w:p>
        </w:tc>
        <w:tc>
          <w:tcPr>
            <w:tcW w:w="100" w:type="dxa"/>
            <w:vAlign w:val="bottom"/>
            <w:shd w:val="clear" w:color="auto" w:fill="CFF2FA"/>
          </w:tcPr>
          <w:p>
            <w:pPr>
              <w:spacing w:after="0"/>
              <w:rPr>
                <w:sz w:val="21"/>
                <w:szCs w:val="2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Other comprehensive earnings, net of tax</w:t>
            </w: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5,738</w:t>
            </w: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1,364</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7,759</w:t>
            </w:r>
          </w:p>
        </w:tc>
        <w:tc>
          <w:tcPr>
            <w:tcW w:w="100" w:type="dxa"/>
            <w:vAlign w:val="bottom"/>
            <w:tcBorders>
              <w:bottom w:val="single" w:sz="8" w:color="CFF2FA"/>
            </w:tcBorders>
          </w:tcPr>
          <w:p>
            <w:pPr>
              <w:spacing w:after="0"/>
              <w:rPr>
                <w:sz w:val="20"/>
                <w:szCs w:val="20"/>
                <w:color w:val="auto"/>
              </w:rPr>
            </w:pPr>
          </w:p>
        </w:tc>
      </w:tr>
      <w:tr>
        <w:trPr>
          <w:trHeight w:val="237"/>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(122,635)</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2FA"/>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FF2FA"/>
          </w:tcPr>
          <w:p>
            <w:pPr>
              <w:jc w:val="right"/>
              <w:spacing w:after="0"/>
              <w:rPr>
                <w:sz w:val="20"/>
                <w:szCs w:val="20"/>
                <w:color w:val="auto"/>
              </w:rPr>
            </w:pPr>
            <w:r>
              <w:rPr>
                <w:rFonts w:ascii="Times New Roman" w:cs="Times New Roman" w:eastAsia="Times New Roman" w:hAnsi="Times New Roman"/>
                <w:sz w:val="20"/>
                <w:szCs w:val="20"/>
                <w:color w:val="auto"/>
              </w:rPr>
              <w:t>(122,928)</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6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20"/>
                <w:szCs w:val="20"/>
                <w:color w:val="auto"/>
                <w:w w:val="98"/>
              </w:rPr>
              <w:t>Nine-Months Ended September 30, 2016</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(103,380)</w:t>
            </w:r>
          </w:p>
        </w:tc>
        <w:tc>
          <w:tcPr>
            <w:tcW w:w="3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(264)</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(1,978)</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(105,622)</w:t>
            </w:r>
          </w:p>
        </w:tc>
        <w:tc>
          <w:tcPr>
            <w:tcW w:w="100" w:type="dxa"/>
            <w:vAlign w:val="bottom"/>
            <w:shd w:val="clear" w:color="auto" w:fill="CFF0FC"/>
          </w:tcPr>
          <w:p>
            <w:pPr>
              <w:spacing w:after="0"/>
              <w:rPr>
                <w:sz w:val="20"/>
                <w:szCs w:val="20"/>
                <w:color w:val="auto"/>
              </w:rPr>
            </w:pPr>
          </w:p>
        </w:tc>
      </w:tr>
      <w:tr>
        <w:trPr>
          <w:trHeight w:val="214"/>
        </w:trPr>
        <w:tc>
          <w:tcPr>
            <w:tcW w:w="4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Other comprehensive loss before</w:t>
            </w:r>
          </w:p>
        </w:tc>
        <w:tc>
          <w:tcPr>
            <w:tcW w:w="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4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reclassifications,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(3,830)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(315)</w:t>
            </w: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(4,145)</w:t>
            </w:r>
          </w:p>
        </w:tc>
      </w:tr>
      <w:tr>
        <w:trPr>
          <w:trHeight w:val="220"/>
        </w:trPr>
        <w:tc>
          <w:tcPr>
            <w:tcW w:w="46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Amounts reclassified from accumulated</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2"/>
        </w:trPr>
        <w:tc>
          <w:tcPr>
            <w:tcW w:w="4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other comprehensive earnings, net of tax</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4,643</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5,256</w:t>
            </w:r>
          </w:p>
        </w:tc>
        <w:tc>
          <w:tcPr>
            <w:tcW w:w="100" w:type="dxa"/>
            <w:vAlign w:val="bottom"/>
            <w:shd w:val="clear" w:color="auto" w:fill="CFF0FC"/>
          </w:tcPr>
          <w:p>
            <w:pPr>
              <w:spacing w:after="0"/>
              <w:rPr>
                <w:sz w:val="21"/>
                <w:szCs w:val="2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Other comprehensive earnings (loss), net of tax</w:t>
            </w: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813</w:t>
            </w: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100" w:type="dxa"/>
            <w:vAlign w:val="bottom"/>
            <w:tcBorders>
              <w:bottom w:val="single" w:sz="8" w:color="CFF0FC"/>
            </w:tcBorders>
          </w:tcPr>
          <w:p>
            <w:pPr>
              <w:spacing w:after="0"/>
              <w:rPr>
                <w:sz w:val="20"/>
                <w:szCs w:val="20"/>
                <w:color w:val="auto"/>
              </w:rPr>
            </w:pPr>
          </w:p>
        </w:tc>
      </w:tr>
      <w:tr>
        <w:trPr>
          <w:trHeight w:val="237"/>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(102,567)</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(1,365)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(104,511)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12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 (continued)</w:t>
      </w:r>
    </w:p>
    <w:p>
      <w:pPr>
        <w:spacing w:after="0" w:line="107" w:lineRule="exact"/>
        <w:rPr>
          <w:rFonts w:ascii="Times New Roman" w:cs="Times New Roman" w:eastAsia="Times New Roman" w:hAnsi="Times New Roman"/>
          <w:sz w:val="20"/>
          <w:szCs w:val="20"/>
          <w:b w:val="1"/>
          <w:bCs w:val="1"/>
          <w:color w:val="auto"/>
        </w:rPr>
      </w:pPr>
    </w:p>
    <w:p>
      <w:pPr>
        <w:ind w:left="380" w:right="2180"/>
        <w:spacing w:after="0" w:line="41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b w:val="1"/>
          <w:bCs w:val="1"/>
          <w:color w:val="auto"/>
        </w:rPr>
        <w:t xml:space="preserve">Consolidated Comprehensive Earnings/Loss and Accumulated Other Comprehensive Loss (continued) </w:t>
      </w:r>
      <w:r>
        <w:rPr>
          <w:rFonts w:ascii="Times New Roman" w:cs="Times New Roman" w:eastAsia="Times New Roman" w:hAnsi="Times New Roman"/>
          <w:sz w:val="19"/>
          <w:szCs w:val="19"/>
          <w:color w:val="auto"/>
        </w:rPr>
        <w:t>Changes in net noncurrent deferred tax assets recorded in accumulated other comprehensive loss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20"/>
                <w:szCs w:val="20"/>
                <w:i w:val="1"/>
                <w:iCs w:val="1"/>
                <w:color w:val="auto"/>
                <w:w w:val="99"/>
              </w:rPr>
              <w:t>(Dollars in Thousands)</w:t>
            </w: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14"/>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440"/>
              <w:spacing w:after="0" w:line="214" w:lineRule="exact"/>
              <w:rPr>
                <w:sz w:val="20"/>
                <w:szCs w:val="20"/>
                <w:color w:val="auto"/>
              </w:rPr>
            </w:pPr>
            <w:r>
              <w:rPr>
                <w:rFonts w:ascii="Times New Roman" w:cs="Times New Roman" w:eastAsia="Times New Roman" w:hAnsi="Times New Roman"/>
                <w:sz w:val="20"/>
                <w:szCs w:val="20"/>
                <w:color w:val="auto"/>
                <w:w w:val="97"/>
              </w:rPr>
              <w:t>Unamortized</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4"/>
              </w:rPr>
              <w:t>Value of</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7"/>
              </w:rPr>
              <w:t>Terminated</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Pension and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w w:val="98"/>
              </w:rPr>
              <w:t>Forward Starting</w:t>
            </w:r>
          </w:p>
        </w:tc>
        <w:tc>
          <w:tcPr>
            <w:tcW w:w="20" w:type="dxa"/>
            <w:vAlign w:val="bottom"/>
          </w:tcPr>
          <w:p>
            <w:pPr>
              <w:spacing w:after="0"/>
              <w:rPr>
                <w:sz w:val="19"/>
                <w:szCs w:val="19"/>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w w:val="97"/>
              </w:rPr>
              <w:t>Net Noncurrent</w:t>
            </w:r>
          </w:p>
        </w:tc>
      </w:tr>
      <w:tr>
        <w:trPr>
          <w:trHeight w:val="230"/>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9"/>
              </w:rPr>
              <w:t>Postretirement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color w:val="auto"/>
              </w:rPr>
              <w:t>Interest Rate</w:t>
            </w:r>
          </w:p>
        </w:tc>
        <w:tc>
          <w:tcPr>
            <w:tcW w:w="20" w:type="dxa"/>
            <w:vAlign w:val="bottom"/>
          </w:tcPr>
          <w:p>
            <w:pPr>
              <w:spacing w:after="0"/>
              <w:rPr>
                <w:sz w:val="19"/>
                <w:szCs w:val="19"/>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color w:val="auto"/>
                <w:w w:val="98"/>
              </w:rPr>
              <w:t>Deferred Tax</w:t>
            </w:r>
          </w:p>
        </w:tc>
      </w:tr>
      <w:tr>
        <w:trPr>
          <w:trHeight w:val="252"/>
        </w:trPr>
        <w:tc>
          <w:tcPr>
            <w:tcW w:w="6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8"/>
              </w:rPr>
              <w:t>Benefit Plans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8"/>
              </w:rPr>
              <w:t>Swap</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5"/>
              </w:rPr>
              <w:t>Assets</w:t>
            </w:r>
          </w:p>
        </w:tc>
        <w:tc>
          <w:tcPr>
            <w:tcW w:w="100" w:type="dxa"/>
            <w:vAlign w:val="bottom"/>
          </w:tcPr>
          <w:p>
            <w:pPr>
              <w:spacing w:after="0"/>
              <w:rPr>
                <w:sz w:val="21"/>
                <w:szCs w:val="21"/>
                <w:color w:val="auto"/>
              </w:rPr>
            </w:pPr>
          </w:p>
        </w:tc>
      </w:tr>
      <w:tr>
        <w:trPr>
          <w:trHeight w:val="480"/>
        </w:trPr>
        <w:tc>
          <w:tcPr>
            <w:tcW w:w="60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8"/>
          </w:tcPr>
          <w:p>
            <w:pPr>
              <w:jc w:val="center"/>
              <w:ind w:left="761"/>
              <w:spacing w:after="0"/>
              <w:rPr>
                <w:sz w:val="20"/>
                <w:szCs w:val="20"/>
                <w:color w:val="auto"/>
              </w:rPr>
            </w:pPr>
            <w:r>
              <w:rPr>
                <w:rFonts w:ascii="Times New Roman" w:cs="Times New Roman" w:eastAsia="Times New Roman" w:hAnsi="Times New Roman"/>
                <w:sz w:val="20"/>
                <w:szCs w:val="20"/>
                <w:color w:val="auto"/>
                <w:w w:val="99"/>
              </w:rPr>
              <w:t>Three-Months Ended September 30, 2017</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79,675</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2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80,139</w:t>
            </w:r>
          </w:p>
        </w:tc>
        <w:tc>
          <w:tcPr>
            <w:tcW w:w="100" w:type="dxa"/>
            <w:vAlign w:val="bottom"/>
            <w:shd w:val="clear" w:color="auto" w:fill="CFF0FC"/>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Tax effect of other comprehensive earnings</w:t>
            </w: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(147)</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(1,340)</w:t>
            </w:r>
          </w:p>
        </w:tc>
      </w:tr>
      <w:tr>
        <w:trPr>
          <w:trHeight w:val="237"/>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78,482</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78,799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60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8"/>
          </w:tcPr>
          <w:p>
            <w:pPr>
              <w:jc w:val="center"/>
              <w:ind w:left="761"/>
              <w:spacing w:after="0"/>
              <w:rPr>
                <w:sz w:val="20"/>
                <w:szCs w:val="20"/>
                <w:color w:val="auto"/>
              </w:rPr>
            </w:pPr>
            <w:r>
              <w:rPr>
                <w:rFonts w:ascii="Times New Roman" w:cs="Times New Roman" w:eastAsia="Times New Roman" w:hAnsi="Times New Roman"/>
                <w:sz w:val="20"/>
                <w:szCs w:val="20"/>
                <w:color w:val="auto"/>
                <w:w w:val="99"/>
              </w:rPr>
              <w:t>Three-Months Ended September 30, 2016</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66,931</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1,023</w:t>
            </w:r>
          </w:p>
        </w:tc>
        <w:tc>
          <w:tcPr>
            <w:tcW w:w="2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67,954</w:t>
            </w:r>
          </w:p>
        </w:tc>
        <w:tc>
          <w:tcPr>
            <w:tcW w:w="100" w:type="dxa"/>
            <w:vAlign w:val="bottom"/>
            <w:shd w:val="clear" w:color="auto" w:fill="CFF0FC"/>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Tax effect of other comprehensive earnings</w:t>
            </w: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(136)</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(1,122)</w:t>
            </w:r>
          </w:p>
        </w:tc>
      </w:tr>
      <w:tr>
        <w:trPr>
          <w:trHeight w:val="237"/>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65,945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66,832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60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Nine-Months Ended September 30,</w:t>
            </w:r>
          </w:p>
        </w:tc>
        <w:tc>
          <w:tcPr>
            <w:tcW w:w="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2017</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82,044</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2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82,793</w:t>
            </w:r>
          </w:p>
        </w:tc>
        <w:tc>
          <w:tcPr>
            <w:tcW w:w="100" w:type="dxa"/>
            <w:vAlign w:val="bottom"/>
            <w:shd w:val="clear" w:color="auto" w:fill="CFF0FC"/>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Tax effect of other comprehensive earnings</w:t>
            </w: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(3,562)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(432)</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(3,994)</w:t>
            </w:r>
          </w:p>
        </w:tc>
      </w:tr>
      <w:tr>
        <w:trPr>
          <w:trHeight w:val="237"/>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78,482</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78,799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60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Nine-Months Ended September 30,</w:t>
            </w:r>
          </w:p>
        </w:tc>
        <w:tc>
          <w:tcPr>
            <w:tcW w:w="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2016</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66,467</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2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67,757</w:t>
            </w:r>
          </w:p>
        </w:tc>
        <w:tc>
          <w:tcPr>
            <w:tcW w:w="100" w:type="dxa"/>
            <w:vAlign w:val="bottom"/>
            <w:shd w:val="clear" w:color="auto" w:fill="CFF0FC"/>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auto"/>
              </w:rPr>
              <w:t>Tax effect of other comprehensive earnings</w:t>
            </w:r>
          </w:p>
        </w:tc>
        <w:tc>
          <w:tcPr>
            <w:tcW w:w="1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(403)</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(925)</w:t>
            </w:r>
          </w:p>
        </w:tc>
      </w:tr>
      <w:tr>
        <w:trPr>
          <w:trHeight w:val="237"/>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65,945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66,832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13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 (continued)</w:t>
      </w:r>
    </w:p>
    <w:p>
      <w:pPr>
        <w:spacing w:after="0" w:line="107" w:lineRule="exact"/>
        <w:rPr>
          <w:rFonts w:ascii="Times New Roman" w:cs="Times New Roman" w:eastAsia="Times New Roman" w:hAnsi="Times New Roman"/>
          <w:sz w:val="20"/>
          <w:szCs w:val="20"/>
          <w:b w:val="1"/>
          <w:bCs w:val="1"/>
          <w:color w:val="auto"/>
        </w:rPr>
      </w:pPr>
    </w:p>
    <w:p>
      <w:pPr>
        <w:ind w:left="380" w:right="2380"/>
        <w:spacing w:after="0" w:line="38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Consolidated Comprehensive Earnings/Loss and Accumulated Other Comprehensive Loss (continued) </w:t>
      </w:r>
      <w:r>
        <w:rPr>
          <w:rFonts w:ascii="Times New Roman" w:cs="Times New Roman" w:eastAsia="Times New Roman" w:hAnsi="Times New Roman"/>
          <w:sz w:val="20"/>
          <w:szCs w:val="20"/>
          <w:color w:val="auto"/>
        </w:rPr>
        <w:t>Reclassifications out of accumulated other comprehensive loss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9"/>
              </w:rPr>
              <w:t>Affected line items in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tcPr>
          <w:p>
            <w:pPr>
              <w:jc w:val="right"/>
              <w:ind w:right="600"/>
              <w:spacing w:after="0"/>
              <w:rPr>
                <w:sz w:val="20"/>
                <w:szCs w:val="20"/>
                <w:color w:val="auto"/>
              </w:rPr>
            </w:pPr>
            <w:r>
              <w:rPr>
                <w:rFonts w:ascii="Times New Roman" w:cs="Times New Roman" w:eastAsia="Times New Roman" w:hAnsi="Times New Roman"/>
                <w:sz w:val="19"/>
                <w:szCs w:val="19"/>
                <w:color w:val="auto"/>
              </w:rPr>
              <w:t>Three-Months Ended</w:t>
            </w:r>
          </w:p>
        </w:tc>
        <w:tc>
          <w:tcPr>
            <w:tcW w:w="220" w:type="dxa"/>
            <w:vAlign w:val="bottom"/>
          </w:tcPr>
          <w:p>
            <w:pPr>
              <w:spacing w:after="0"/>
              <w:rPr>
                <w:sz w:val="19"/>
                <w:szCs w:val="19"/>
                <w:color w:val="auto"/>
              </w:rPr>
            </w:pPr>
          </w:p>
        </w:tc>
        <w:tc>
          <w:tcPr>
            <w:tcW w:w="2240" w:type="dxa"/>
            <w:vAlign w:val="bottom"/>
            <w:gridSpan w:val="6"/>
          </w:tcPr>
          <w:p>
            <w:pPr>
              <w:jc w:val="right"/>
              <w:ind w:right="520"/>
              <w:spacing w:after="0"/>
              <w:rPr>
                <w:sz w:val="20"/>
                <w:szCs w:val="20"/>
                <w:color w:val="auto"/>
              </w:rPr>
            </w:pPr>
            <w:r>
              <w:rPr>
                <w:rFonts w:ascii="Times New Roman" w:cs="Times New Roman" w:eastAsia="Times New Roman" w:hAnsi="Times New Roman"/>
                <w:sz w:val="19"/>
                <w:szCs w:val="19"/>
                <w:color w:val="auto"/>
              </w:rPr>
              <w:t>Nine-Months Ended</w:t>
            </w:r>
          </w:p>
        </w:tc>
        <w:tc>
          <w:tcPr>
            <w:tcW w:w="3060" w:type="dxa"/>
            <w:vAlign w:val="bottom"/>
          </w:tcPr>
          <w:p>
            <w:pPr>
              <w:jc w:val="center"/>
              <w:ind w:left="26"/>
              <w:spacing w:after="0"/>
              <w:rPr>
                <w:sz w:val="20"/>
                <w:szCs w:val="20"/>
                <w:color w:val="auto"/>
              </w:rPr>
            </w:pPr>
            <w:r>
              <w:rPr>
                <w:rFonts w:ascii="Times New Roman" w:cs="Times New Roman" w:eastAsia="Times New Roman" w:hAnsi="Times New Roman"/>
                <w:sz w:val="19"/>
                <w:szCs w:val="19"/>
                <w:color w:val="auto"/>
                <w:w w:val="97"/>
              </w:rPr>
              <w:t>consolidated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5"/>
          </w:tcPr>
          <w:p>
            <w:pPr>
              <w:jc w:val="right"/>
              <w:ind w:right="860"/>
              <w:spacing w:after="0"/>
              <w:rPr>
                <w:sz w:val="20"/>
                <w:szCs w:val="20"/>
                <w:color w:val="auto"/>
              </w:rPr>
            </w:pPr>
            <w:r>
              <w:rPr>
                <w:rFonts w:ascii="Times New Roman" w:cs="Times New Roman" w:eastAsia="Times New Roman" w:hAnsi="Times New Roman"/>
                <w:sz w:val="19"/>
                <w:szCs w:val="19"/>
                <w:color w:val="auto"/>
              </w:rPr>
              <w:t>September 30,</w:t>
            </w:r>
          </w:p>
        </w:tc>
        <w:tc>
          <w:tcPr>
            <w:tcW w:w="220" w:type="dxa"/>
            <w:vAlign w:val="bottom"/>
          </w:tcPr>
          <w:p>
            <w:pPr>
              <w:spacing w:after="0"/>
              <w:rPr>
                <w:sz w:val="21"/>
                <w:szCs w:val="21"/>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September 30,</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tcPr>
          <w:p>
            <w:pPr>
              <w:jc w:val="center"/>
              <w:ind w:left="26"/>
              <w:spacing w:after="0"/>
              <w:rPr>
                <w:sz w:val="20"/>
                <w:szCs w:val="20"/>
                <w:color w:val="auto"/>
              </w:rPr>
            </w:pPr>
            <w:r>
              <w:rPr>
                <w:rFonts w:ascii="Times New Roman" w:cs="Times New Roman" w:eastAsia="Times New Roman" w:hAnsi="Times New Roman"/>
                <w:sz w:val="19"/>
                <w:szCs w:val="19"/>
                <w:color w:val="auto"/>
                <w:w w:val="99"/>
              </w:rPr>
              <w:t>statements of earnings and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9"/>
                <w:szCs w:val="19"/>
                <w:color w:val="auto"/>
              </w:rPr>
              <w:t>2017</w:t>
            </w: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9"/>
                <w:szCs w:val="19"/>
                <w:color w:val="auto"/>
              </w:rPr>
              <w:t>2016</w:t>
            </w:r>
          </w:p>
        </w:tc>
        <w:tc>
          <w:tcPr>
            <w:tcW w:w="2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9"/>
                <w:szCs w:val="19"/>
                <w:color w:val="auto"/>
              </w:rPr>
              <w:t>2017</w:t>
            </w: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3"/>
          </w:tcPr>
          <w:p>
            <w:pPr>
              <w:jc w:val="right"/>
              <w:ind w:right="265"/>
              <w:spacing w:after="0"/>
              <w:rPr>
                <w:sz w:val="20"/>
                <w:szCs w:val="20"/>
                <w:color w:val="auto"/>
              </w:rPr>
            </w:pPr>
            <w:r>
              <w:rPr>
                <w:rFonts w:ascii="Times New Roman" w:cs="Times New Roman" w:eastAsia="Times New Roman" w:hAnsi="Times New Roman"/>
                <w:sz w:val="19"/>
                <w:szCs w:val="19"/>
                <w:color w:val="auto"/>
              </w:rPr>
              <w:t>2016</w:t>
            </w:r>
          </w:p>
        </w:tc>
        <w:tc>
          <w:tcPr>
            <w:tcW w:w="100" w:type="dxa"/>
            <w:vAlign w:val="bottom"/>
          </w:tcPr>
          <w:p>
            <w:pPr>
              <w:spacing w:after="0"/>
              <w:rPr>
                <w:sz w:val="19"/>
                <w:szCs w:val="19"/>
                <w:color w:val="auto"/>
              </w:rPr>
            </w:pPr>
          </w:p>
        </w:tc>
        <w:tc>
          <w:tcPr>
            <w:tcW w:w="306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9"/>
                <w:szCs w:val="19"/>
                <w:color w:val="auto"/>
                <w:w w:val="98"/>
              </w:rPr>
              <w:t>comprehensive earnings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5"/>
          </w:tcPr>
          <w:p>
            <w:pPr>
              <w:jc w:val="right"/>
              <w:ind w:right="4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9"/>
                <w:szCs w:val="19"/>
                <w:color w:val="auto"/>
              </w:rPr>
              <w:t>Pension and postretirement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9"/>
                <w:szCs w:val="19"/>
                <w:color w:val="auto"/>
              </w:rPr>
              <w:t>benefit plans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Settlement charge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w w:val="83"/>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gridSpan w:val="2"/>
          </w:tcPr>
          <w:p>
            <w:pPr>
              <w:jc w:val="right"/>
              <w:ind w:right="316"/>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9"/>
                <w:szCs w:val="19"/>
                <w:color w:val="auto"/>
              </w:rPr>
              <w:t>Amortization of:</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Prior service credit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(402)</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(404)</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(1,070)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(1,209)</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9"/>
                <w:szCs w:val="19"/>
                <w:color w:val="auto"/>
              </w:rPr>
              <w:t>Actuarial loss</w:t>
            </w: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3,513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2,893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10,370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8,681</w:t>
            </w:r>
          </w:p>
        </w:tc>
        <w:tc>
          <w:tcPr>
            <w:tcW w:w="10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7,531</w:t>
            </w:r>
          </w:p>
        </w:tc>
        <w:tc>
          <w:tcPr>
            <w:tcW w:w="100" w:type="dxa"/>
            <w:vAlign w:val="bottom"/>
          </w:tcPr>
          <w:p>
            <w:pPr>
              <w:spacing w:after="0"/>
              <w:rPr>
                <w:sz w:val="19"/>
                <w:szCs w:val="19"/>
                <w:color w:val="auto"/>
              </w:rPr>
            </w:pPr>
          </w:p>
        </w:tc>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9"/>
                <w:szCs w:val="19"/>
                <w:color w:val="auto"/>
              </w:rPr>
              <w:t>Tax benefit</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9"/>
                <w:szCs w:val="19"/>
                <w:color w:val="auto"/>
              </w:rPr>
              <w:t>(1,193)</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9"/>
                <w:szCs w:val="19"/>
                <w:color w:val="auto"/>
              </w:rPr>
              <w:t>(942)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9"/>
                <w:szCs w:val="19"/>
                <w:color w:val="auto"/>
              </w:rPr>
              <w:t>(3,562)</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9"/>
                <w:szCs w:val="19"/>
                <w:color w:val="auto"/>
              </w:rPr>
              <w:t>(2,888)</w:t>
            </w:r>
          </w:p>
        </w:tc>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9"/>
                <w:szCs w:val="19"/>
                <w:color w:val="auto"/>
              </w:rPr>
              <w:t>Taxes on income</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1,918</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1,547</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5,738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4,643</w:t>
            </w:r>
          </w:p>
        </w:tc>
        <w:tc>
          <w:tcPr>
            <w:tcW w:w="100" w:type="dxa"/>
            <w:vAlign w:val="bottom"/>
            <w:tcBorders>
              <w:bottom w:val="single" w:sz="8" w:color="CFF0FC"/>
            </w:tcBorders>
          </w:tcPr>
          <w:p>
            <w:pPr>
              <w:spacing w:after="0"/>
              <w:rPr>
                <w:sz w:val="22"/>
                <w:szCs w:val="22"/>
                <w:color w:val="auto"/>
              </w:rPr>
            </w:pPr>
          </w:p>
        </w:tc>
        <w:tc>
          <w:tcPr>
            <w:tcW w:w="30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20" w:type="dxa"/>
            <w:vAlign w:val="bottom"/>
          </w:tcPr>
          <w:p>
            <w:pPr>
              <w:spacing w:after="0" w:line="204" w:lineRule="exact"/>
              <w:rPr>
                <w:sz w:val="20"/>
                <w:szCs w:val="20"/>
                <w:color w:val="auto"/>
              </w:rPr>
            </w:pPr>
            <w:r>
              <w:rPr>
                <w:rFonts w:ascii="Times New Roman" w:cs="Times New Roman" w:eastAsia="Times New Roman" w:hAnsi="Times New Roman"/>
                <w:sz w:val="19"/>
                <w:szCs w:val="19"/>
                <w:color w:val="auto"/>
              </w:rPr>
              <w:t>Unamortized value of terminated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forward starting interest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rate swap</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9"/>
                <w:szCs w:val="19"/>
                <w:color w:val="auto"/>
              </w:rPr>
              <w:t>Additional interest expense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369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344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1,089</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1,016</w:t>
            </w:r>
          </w:p>
        </w:tc>
        <w:tc>
          <w:tcPr>
            <w:tcW w:w="100" w:type="dxa"/>
            <w:vAlign w:val="bottom"/>
            <w:shd w:val="clear" w:color="auto" w:fill="CFF0FC"/>
          </w:tcPr>
          <w:p>
            <w:pPr>
              <w:spacing w:after="0"/>
              <w:rPr>
                <w:sz w:val="19"/>
                <w:szCs w:val="19"/>
                <w:color w:val="auto"/>
              </w:rPr>
            </w:pPr>
          </w:p>
        </w:tc>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9"/>
                <w:szCs w:val="19"/>
                <w:color w:val="auto"/>
              </w:rPr>
              <w:t>Interest expense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Tax benefit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(147)</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(136)</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(432)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(403)</w:t>
            </w:r>
          </w:p>
        </w:tc>
        <w:tc>
          <w:tcPr>
            <w:tcW w:w="30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Taxes on income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208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657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613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Earnings per Common Share</w:t>
      </w:r>
    </w:p>
    <w:p>
      <w:pPr>
        <w:spacing w:after="0" w:line="112"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The numerator for basic and diluted earnings per common share is net earnings attributable to Martin Marietta Materials, Inc.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nine-months ended September 30, 2017 and 2016, the diluted per-share computations reflect a change in the number of common shares outstanding to include the number of additional shares that would have been outstanding if the potentially dilutive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14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right="7400" w:hanging="372"/>
        <w:spacing w:after="0" w:line="354" w:lineRule="auto"/>
        <w:tabs>
          <w:tab w:leader="none" w:pos="378"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 (continued) Earnings per Common Share</w:t>
      </w: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 reconciles the numerator and denominator for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5"/>
          </w:tcPr>
          <w:p>
            <w:pPr>
              <w:jc w:val="right"/>
              <w:ind w:right="461"/>
              <w:spacing w:after="0"/>
              <w:rPr>
                <w:sz w:val="20"/>
                <w:szCs w:val="20"/>
                <w:color w:val="auto"/>
              </w:rPr>
            </w:pPr>
            <w:r>
              <w:rPr>
                <w:rFonts w:ascii="Times New Roman" w:cs="Times New Roman" w:eastAsia="Times New Roman" w:hAnsi="Times New Roman"/>
                <w:sz w:val="20"/>
                <w:szCs w:val="20"/>
                <w:color w:val="auto"/>
              </w:rPr>
              <w:t>Three-Months Ended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7"/>
          </w:tcPr>
          <w:p>
            <w:pPr>
              <w:jc w:val="right"/>
              <w:ind w:right="700"/>
              <w:spacing w:after="0"/>
              <w:rPr>
                <w:sz w:val="20"/>
                <w:szCs w:val="20"/>
                <w:color w:val="auto"/>
              </w:rPr>
            </w:pPr>
            <w:r>
              <w:rPr>
                <w:rFonts w:ascii="Times New Roman" w:cs="Times New Roman" w:eastAsia="Times New Roman" w:hAnsi="Times New Roman"/>
                <w:sz w:val="20"/>
                <w:szCs w:val="20"/>
                <w:color w:val="auto"/>
              </w:rPr>
              <w:t>Nine-Months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5"/>
          </w:tcPr>
          <w:p>
            <w:pPr>
              <w:jc w:val="right"/>
              <w:ind w:right="721"/>
              <w:spacing w:after="0"/>
              <w:rPr>
                <w:sz w:val="20"/>
                <w:szCs w:val="20"/>
                <w:color w:val="auto"/>
              </w:rPr>
            </w:pPr>
            <w:r>
              <w:rPr>
                <w:rFonts w:ascii="Times New Roman" w:cs="Times New Roman" w:eastAsia="Times New Roman" w:hAnsi="Times New Roman"/>
                <w:sz w:val="20"/>
                <w:szCs w:val="20"/>
                <w:color w:val="auto"/>
              </w:rPr>
              <w:t>September 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7"/>
          </w:tcPr>
          <w:p>
            <w:pPr>
              <w:jc w:val="right"/>
              <w:ind w:right="940"/>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color w:val="auto"/>
                <w:w w:val="99"/>
              </w:rPr>
              <w:t>2017</w:t>
            </w:r>
          </w:p>
        </w:tc>
        <w:tc>
          <w:tcPr>
            <w:tcW w:w="2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2016</w:t>
            </w:r>
          </w:p>
        </w:tc>
        <w:tc>
          <w:tcPr>
            <w:tcW w:w="18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9"/>
              </w:rPr>
              <w:t>2017</w:t>
            </w:r>
          </w:p>
        </w:tc>
        <w:tc>
          <w:tcPr>
            <w:tcW w:w="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9"/>
          </w:tcPr>
          <w:p>
            <w:pPr>
              <w:jc w:val="center"/>
              <w:ind w:right="32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00" w:type="dxa"/>
            <w:vAlign w:val="bottom"/>
            <w:gridSpan w:val="2"/>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Net earnings attributable to Martin Marietta</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Materials, Inc.</w:t>
            </w:r>
          </w:p>
        </w:tc>
        <w:tc>
          <w:tcPr>
            <w:tcW w:w="8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151,546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159,479</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336,159</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326,526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0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Less: Distributed and undistributed earnings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4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attributable to unvested awards</w:t>
            </w:r>
          </w:p>
        </w:tc>
        <w:tc>
          <w:tcPr>
            <w:tcW w:w="5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8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rPr>
              <w:t>Basic and diluted net earnings available to common</w:t>
            </w: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shareholders attributable to Martin Marietta</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Materials, Inc.</w:t>
            </w:r>
          </w:p>
        </w:tc>
        <w:tc>
          <w:tcPr>
            <w:tcW w:w="8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151,147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158,842</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335,159</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325,138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FF0FC"/>
            </w:tcBorders>
            <w:gridSpan w:val="2"/>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Basic weighted-average common shares outstanding</w:t>
            </w: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62,896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63,452</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62,940</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63,713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Effect of dilutive employee and director awards</w:t>
            </w:r>
          </w:p>
        </w:tc>
        <w:tc>
          <w:tcPr>
            <w:tcW w:w="5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18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Diluted weighted-average common shares outstanding</w:t>
            </w:r>
          </w:p>
        </w:tc>
        <w:tc>
          <w:tcPr>
            <w:tcW w:w="5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63,158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63,723</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63,218</w:t>
            </w:r>
          </w:p>
        </w:tc>
        <w:tc>
          <w:tcPr>
            <w:tcW w:w="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63,967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w w:val="93"/>
              </w:rPr>
              <w:t>2.</w:t>
            </w:r>
          </w:p>
        </w:tc>
        <w:tc>
          <w:tcPr>
            <w:tcW w:w="47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Goodwill</w:t>
            </w: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160" w:type="dxa"/>
            <w:vAlign w:val="bottom"/>
            <w:gridSpan w:val="2"/>
            <w:vMerge w:val="continue"/>
          </w:tcPr>
          <w:p>
            <w:pPr>
              <w:spacing w:after="0"/>
              <w:rPr>
                <w:sz w:val="24"/>
                <w:szCs w:val="24"/>
                <w:color w:val="auto"/>
              </w:rPr>
            </w:pPr>
          </w:p>
        </w:tc>
        <w:tc>
          <w:tcPr>
            <w:tcW w:w="47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center"/>
              <w:ind w:right="320"/>
              <w:spacing w:after="0"/>
              <w:rPr>
                <w:sz w:val="20"/>
                <w:szCs w:val="20"/>
                <w:color w:val="auto"/>
              </w:rPr>
            </w:pPr>
            <w:r>
              <w:rPr>
                <w:rFonts w:ascii="Times New Roman" w:cs="Times New Roman" w:eastAsia="Times New Roman" w:hAnsi="Times New Roman"/>
                <w:sz w:val="20"/>
                <w:szCs w:val="20"/>
                <w:i w:val="1"/>
                <w:iCs w:val="1"/>
                <w:color w:val="auto"/>
                <w:w w:val="98"/>
              </w:rPr>
              <w:t>(In Thousands)</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Mid-America</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81"/>
              <w:spacing w:after="0" w:line="223" w:lineRule="exact"/>
              <w:rPr>
                <w:sz w:val="20"/>
                <w:szCs w:val="20"/>
                <w:color w:val="auto"/>
              </w:rPr>
            </w:pPr>
            <w:r>
              <w:rPr>
                <w:rFonts w:ascii="Times New Roman" w:cs="Times New Roman" w:eastAsia="Times New Roman" w:hAnsi="Times New Roman"/>
                <w:sz w:val="20"/>
                <w:szCs w:val="20"/>
                <w:b w:val="1"/>
                <w:bCs w:val="1"/>
                <w:color w:val="auto"/>
                <w:w w:val="98"/>
              </w:rPr>
              <w:t>Southeast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center"/>
              <w:ind w:right="380"/>
              <w:spacing w:after="0" w:line="223" w:lineRule="exact"/>
              <w:rPr>
                <w:sz w:val="20"/>
                <w:szCs w:val="20"/>
                <w:color w:val="auto"/>
              </w:rPr>
            </w:pPr>
            <w:r>
              <w:rPr>
                <w:rFonts w:ascii="Times New Roman" w:cs="Times New Roman" w:eastAsia="Times New Roman" w:hAnsi="Times New Roman"/>
                <w:sz w:val="20"/>
                <w:szCs w:val="20"/>
                <w:b w:val="1"/>
                <w:bCs w:val="1"/>
                <w:color w:val="auto"/>
                <w:w w:val="96"/>
              </w:rPr>
              <w:t>West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8"/>
              </w:rPr>
              <w:t>Group</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Group</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8"/>
              </w:rPr>
              <w:t>Group</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January 1, 2017</w:t>
            </w:r>
          </w:p>
        </w:tc>
        <w:tc>
          <w:tcPr>
            <w:tcW w:w="5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281,403</w:t>
            </w:r>
          </w:p>
        </w:tc>
        <w:tc>
          <w:tcPr>
            <w:tcW w:w="24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50,346</w:t>
            </w:r>
          </w:p>
        </w:tc>
        <w:tc>
          <w:tcPr>
            <w:tcW w:w="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1,827,588</w:t>
            </w:r>
          </w:p>
        </w:tc>
        <w:tc>
          <w:tcPr>
            <w:tcW w:w="18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2,159,337</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Adjustments to purchase price allocations</w:t>
            </w:r>
          </w:p>
        </w:tc>
        <w:tc>
          <w:tcPr>
            <w:tcW w:w="5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18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September 30, 2017</w:t>
            </w:r>
          </w:p>
        </w:tc>
        <w:tc>
          <w:tcPr>
            <w:tcW w:w="5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281,403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50,346</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1,828,311</w:t>
            </w:r>
          </w:p>
        </w:tc>
        <w:tc>
          <w:tcPr>
            <w:tcW w:w="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2,160,060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7"/>
          </w:tcPr>
          <w:p>
            <w:pPr>
              <w:ind w:left="220"/>
              <w:spacing w:after="0"/>
              <w:rPr>
                <w:sz w:val="20"/>
                <w:szCs w:val="20"/>
                <w:color w:val="auto"/>
              </w:rPr>
            </w:pPr>
            <w:r>
              <w:rPr>
                <w:rFonts w:ascii="Times New Roman" w:cs="Times New Roman" w:eastAsia="Times New Roman" w:hAnsi="Times New Roman"/>
                <w:sz w:val="20"/>
                <w:szCs w:val="20"/>
                <w:color w:val="auto"/>
                <w:w w:val="98"/>
              </w:rPr>
              <w:t>The prior-year information has been reclassified to conform to the presentation of the Company’s current reportable segments.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3"/>
              </w:rPr>
              <w:t>3.</w:t>
            </w:r>
          </w:p>
        </w:tc>
        <w:tc>
          <w:tcPr>
            <w:tcW w:w="476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Inventories, Net</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4"/>
          </w:tcPr>
          <w:p>
            <w:pPr>
              <w:jc w:val="right"/>
              <w:ind w:right="181"/>
              <w:spacing w:after="0"/>
              <w:rPr>
                <w:sz w:val="20"/>
                <w:szCs w:val="20"/>
                <w:color w:val="auto"/>
              </w:rPr>
            </w:pPr>
            <w:r>
              <w:rPr>
                <w:rFonts w:ascii="Times New Roman" w:cs="Times New Roman" w:eastAsia="Times New Roman" w:hAnsi="Times New Roman"/>
                <w:sz w:val="20"/>
                <w:szCs w:val="20"/>
                <w:color w:val="auto"/>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tcPr>
          <w:p>
            <w:pPr>
              <w:jc w:val="center"/>
              <w:ind w:right="380"/>
              <w:spacing w:after="0"/>
              <w:rPr>
                <w:sz w:val="20"/>
                <w:szCs w:val="20"/>
                <w:color w:val="auto"/>
              </w:rPr>
            </w:pPr>
            <w:r>
              <w:rPr>
                <w:rFonts w:ascii="Times New Roman" w:cs="Times New Roman" w:eastAsia="Times New Roman" w:hAnsi="Times New Roman"/>
                <w:sz w:val="20"/>
                <w:szCs w:val="20"/>
                <w:color w:val="auto"/>
                <w:w w:val="99"/>
              </w:rPr>
              <w:t>December 31,</w:t>
            </w:r>
          </w:p>
        </w:tc>
        <w:tc>
          <w:tcPr>
            <w:tcW w:w="60" w:type="dxa"/>
            <w:vAlign w:val="bottom"/>
          </w:tcPr>
          <w:p>
            <w:pPr>
              <w:spacing w:after="0"/>
              <w:rPr>
                <w:sz w:val="24"/>
                <w:szCs w:val="24"/>
                <w:color w:val="auto"/>
              </w:rPr>
            </w:pP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2017</w:t>
            </w: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20"/>
                <w:szCs w:val="20"/>
                <w:color w:val="auto"/>
                <w:w w:val="99"/>
              </w:rPr>
              <w:t>2016</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60" w:type="dxa"/>
            <w:vAlign w:val="bottom"/>
            <w:gridSpan w:val="8"/>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(Dollars in Thousands)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Finished products</w:t>
            </w: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526,404</w:t>
            </w:r>
          </w:p>
        </w:tc>
        <w:tc>
          <w:tcPr>
            <w:tcW w:w="18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479,291</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462,698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Products in process and raw materials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62,449</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61,171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Supplies and expendable parts</w:t>
            </w: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126,918</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116,024</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114,872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715,771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656,486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Less: Allowances</w:t>
            </w: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(139,342)</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(134,862)</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(130,508)</w:t>
            </w:r>
          </w:p>
        </w:tc>
        <w:tc>
          <w:tcPr>
            <w:tcW w:w="0" w:type="dxa"/>
            <w:vAlign w:val="bottom"/>
          </w:tcPr>
          <w:p>
            <w:pPr>
              <w:spacing w:after="0"/>
              <w:rPr>
                <w:sz w:val="1"/>
                <w:szCs w:val="1"/>
                <w:color w:val="auto"/>
              </w:rPr>
            </w:pPr>
          </w:p>
        </w:tc>
      </w:tr>
      <w:tr>
        <w:trPr>
          <w:trHeight w:val="237"/>
        </w:trPr>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576,429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521,624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15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Long-Term Debt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6"/>
              </w:rPr>
              <w:t>September 30,</w:t>
            </w:r>
          </w:p>
        </w:tc>
        <w:tc>
          <w:tcPr>
            <w:tcW w:w="100" w:type="dxa"/>
            <w:vAlign w:val="bottom"/>
          </w:tcPr>
          <w:p>
            <w:pPr>
              <w:spacing w:after="0"/>
              <w:rPr>
                <w:sz w:val="21"/>
                <w:szCs w:val="21"/>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December 31,</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September 30,</w:t>
            </w:r>
          </w:p>
        </w:tc>
      </w:tr>
      <w:tr>
        <w:trPr>
          <w:trHeight w:val="252"/>
        </w:trPr>
        <w:tc>
          <w:tcPr>
            <w:tcW w:w="6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2017</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1"/>
                <w:szCs w:val="21"/>
                <w:color w:val="auto"/>
              </w:rPr>
            </w:pPr>
          </w:p>
        </w:tc>
      </w:tr>
      <w:tr>
        <w:trPr>
          <w:trHeight w:val="237"/>
        </w:trPr>
        <w:tc>
          <w:tcPr>
            <w:tcW w:w="6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6.60% Senior Notes, due 2018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299,774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299,483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299,388</w:t>
            </w:r>
          </w:p>
        </w:tc>
        <w:tc>
          <w:tcPr>
            <w:tcW w:w="120" w:type="dxa"/>
            <w:vAlign w:val="bottom"/>
            <w:shd w:val="clear" w:color="auto" w:fill="CFF0FC"/>
          </w:tcPr>
          <w:p>
            <w:pPr>
              <w:spacing w:after="0"/>
              <w:rPr>
                <w:sz w:val="21"/>
                <w:szCs w:val="2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7% Debentures, due 2025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124,157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124,090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124,068</w:t>
            </w:r>
          </w:p>
        </w:tc>
        <w:tc>
          <w:tcPr>
            <w:tcW w:w="120" w:type="dxa"/>
            <w:vAlign w:val="bottom"/>
          </w:tcPr>
          <w:p>
            <w:pPr>
              <w:spacing w:after="0"/>
              <w:rPr>
                <w:sz w:val="21"/>
                <w:szCs w:val="2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6.25% Senior Notes, due 2037</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228,018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227,975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227,961</w:t>
            </w:r>
          </w:p>
        </w:tc>
        <w:tc>
          <w:tcPr>
            <w:tcW w:w="120" w:type="dxa"/>
            <w:vAlign w:val="bottom"/>
            <w:shd w:val="clear" w:color="auto" w:fill="CFF0FC"/>
          </w:tcPr>
          <w:p>
            <w:pPr>
              <w:spacing w:after="0"/>
              <w:rPr>
                <w:sz w:val="21"/>
                <w:szCs w:val="2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4.25% Senior Notes, due 2024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395,673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395,252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395,115</w:t>
            </w:r>
          </w:p>
        </w:tc>
        <w:tc>
          <w:tcPr>
            <w:tcW w:w="120" w:type="dxa"/>
            <w:vAlign w:val="bottom"/>
          </w:tcPr>
          <w:p>
            <w:pPr>
              <w:spacing w:after="0"/>
              <w:rPr>
                <w:sz w:val="21"/>
                <w:szCs w:val="2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3.450% Senior Notes, due 2027</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296,551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68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Floating Rate Notes, due 2020, interest rate of 1.96% at</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2"/>
        </w:trPr>
        <w:tc>
          <w:tcPr>
            <w:tcW w:w="6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September 30, 2017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298,046</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68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Floating Rate Notes, due 2017, interest rate of 2.10% and 1.94% at</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52"/>
        </w:trPr>
        <w:tc>
          <w:tcPr>
            <w:tcW w:w="6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December 31, 2016 and September 30, 2016, respectively</w:t>
            </w:r>
          </w:p>
        </w:tc>
        <w:tc>
          <w:tcPr>
            <w:tcW w:w="1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299,033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298,750</w:t>
            </w:r>
          </w:p>
        </w:tc>
        <w:tc>
          <w:tcPr>
            <w:tcW w:w="120" w:type="dxa"/>
            <w:vAlign w:val="bottom"/>
            <w:shd w:val="clear" w:color="auto" w:fill="CFF0FC"/>
          </w:tcPr>
          <w:p>
            <w:pPr>
              <w:spacing w:after="0"/>
              <w:rPr>
                <w:sz w:val="21"/>
                <w:szCs w:val="21"/>
                <w:color w:val="auto"/>
              </w:rPr>
            </w:pPr>
          </w:p>
        </w:tc>
      </w:tr>
      <w:tr>
        <w:trPr>
          <w:trHeight w:val="220"/>
        </w:trPr>
        <w:tc>
          <w:tcPr>
            <w:tcW w:w="68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Term Loan Facility, due 2018, interest rate of 1.90% at</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2"/>
        </w:trPr>
        <w:tc>
          <w:tcPr>
            <w:tcW w:w="6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September 30, 2016</w:t>
            </w:r>
          </w:p>
        </w:tc>
        <w:tc>
          <w:tcPr>
            <w:tcW w:w="12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209,096</w:t>
            </w:r>
          </w:p>
        </w:tc>
        <w:tc>
          <w:tcPr>
            <w:tcW w:w="120" w:type="dxa"/>
            <w:vAlign w:val="bottom"/>
          </w:tcPr>
          <w:p>
            <w:pPr>
              <w:spacing w:after="0"/>
              <w:rPr>
                <w:sz w:val="21"/>
                <w:szCs w:val="21"/>
                <w:color w:val="auto"/>
              </w:rPr>
            </w:pPr>
          </w:p>
        </w:tc>
      </w:tr>
      <w:tr>
        <w:trPr>
          <w:trHeight w:val="220"/>
        </w:trPr>
        <w:tc>
          <w:tcPr>
            <w:tcW w:w="68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Revolving Facility, due 2021, interest rate of 1.86%</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52"/>
        </w:trPr>
        <w:tc>
          <w:tcPr>
            <w:tcW w:w="6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at December 31, 2016</w:t>
            </w:r>
          </w:p>
        </w:tc>
        <w:tc>
          <w:tcPr>
            <w:tcW w:w="1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160,000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68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Trade Receivable Facility, interest rate of 1.96%, 1.34% and 1.22% at</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September 30, 2017, December 31, 2016 and September 30, 2016,</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2"/>
        </w:trPr>
        <w:tc>
          <w:tcPr>
            <w:tcW w:w="6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respectively</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180,000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210,000</w:t>
            </w:r>
          </w:p>
        </w:tc>
        <w:tc>
          <w:tcPr>
            <w:tcW w:w="120" w:type="dxa"/>
            <w:vAlign w:val="bottom"/>
          </w:tcPr>
          <w:p>
            <w:pPr>
              <w:spacing w:after="0"/>
              <w:rPr>
                <w:sz w:val="21"/>
                <w:szCs w:val="2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Other notes</w:t>
            </w: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26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120" w:type="dxa"/>
            <w:vAlign w:val="bottom"/>
            <w:shd w:val="clear" w:color="auto" w:fill="CFF0FC"/>
          </w:tcPr>
          <w:p>
            <w:pPr>
              <w:spacing w:after="0"/>
              <w:rPr>
                <w:sz w:val="21"/>
                <w:szCs w:val="21"/>
                <w:color w:val="auto"/>
              </w:rPr>
            </w:pPr>
          </w:p>
        </w:tc>
      </w:tr>
      <w:tr>
        <w:trPr>
          <w:trHeight w:val="237"/>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Total debt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1,722,540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1,686,189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1,764,835</w:t>
            </w:r>
          </w:p>
        </w:tc>
        <w:tc>
          <w:tcPr>
            <w:tcW w:w="120" w:type="dxa"/>
            <w:vAlign w:val="bottom"/>
          </w:tcPr>
          <w:p>
            <w:pPr>
              <w:spacing w:after="0"/>
              <w:rPr>
                <w:sz w:val="20"/>
                <w:szCs w:val="20"/>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Less: Current maturities of long-term debt and short-term facilities</w:t>
            </w:r>
          </w:p>
        </w:tc>
        <w:tc>
          <w:tcPr>
            <w:tcW w:w="1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(80,038)</w:t>
            </w:r>
          </w:p>
        </w:tc>
        <w:tc>
          <w:tcPr>
            <w:tcW w:w="1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20"/>
                <w:szCs w:val="20"/>
                <w:color w:val="auto"/>
              </w:rPr>
              <w:t>(180,036)</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(228,025)</w:t>
            </w:r>
          </w:p>
        </w:tc>
      </w:tr>
      <w:tr>
        <w:trPr>
          <w:trHeight w:val="237"/>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1,642,502</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1,506,153</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1,536,810</w:t>
            </w:r>
          </w:p>
        </w:tc>
        <w:tc>
          <w:tcPr>
            <w:tcW w:w="120" w:type="dxa"/>
            <w:vAlign w:val="bottom"/>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On May 22, 2017, the Company issued $300,000,000 aggregate principal amount of Floating Rate Senior Notes due in 2020 (the Floating Rate Notes) and $300,000,000 principal amount of 3.450% Senior Notes due in 2027 (the 3.450% Senior Notes, and together with the Floating Rate Notes, the Senior Notes). The Senior Notes are senior unsecured obligations of the Company. The 3.450% Senior Notes may be redeemed in whole or in part prior to March 1, 2027 at a make-whole redemption price, or on or after March 1, 2027 at a redemption price equal to 100% of the principal amount of the notes to be redeemed, in either case plus unpaid interest, if any, accrued thereon to, but excluding, the date of redemption. The Floating Rate Notes may not be redeemed prior to their stated maturity date of May 22, 2020. The Floating Rate Notes bear interest at a rate, reset quarterly, equal to the three-month LIBOR for U.S. dollars plus 0.65% (or 65 basis points). If a change of control repurchase event, as defined, occurs, the Company will be required to make an irrevocable offer to repurchase all or, at the election of each holder, any part of the Senior Notes at a repurchase price equal to 101% of their principal amount, plus unpaid interest, if any, accrued thereon to, but excluding, the date of repurchase, unless, in the case of the 3.450% Senior Notes, the Company has exercised its right to redeem such notes in full.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16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Long-Term Debt (continued)</w:t>
      </w:r>
    </w:p>
    <w:p>
      <w:pPr>
        <w:spacing w:after="0" w:line="111" w:lineRule="exact"/>
        <w:rPr>
          <w:rFonts w:ascii="Times New Roman" w:cs="Times New Roman" w:eastAsia="Times New Roman" w:hAnsi="Times New Roman"/>
          <w:sz w:val="20"/>
          <w:szCs w:val="20"/>
          <w:b w:val="1"/>
          <w:bCs w:val="1"/>
          <w:color w:val="auto"/>
        </w:rPr>
      </w:pPr>
    </w:p>
    <w:p>
      <w:pPr>
        <w:jc w:val="both"/>
        <w:ind w:left="380"/>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Company, through a wholly-owned special-purpose subsidiary, has a $300,000,000 trade receivable securitization facility (the Trade Receivable Facility). On September 27, 2017, the Company extended the maturity of the Trade Receivable Facility to September 26, 2018. The Trade Receivable Facility, with SunTrust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of $402,754,000, $333,302,000 and $420,044,000 at September 30, 2017, December 31, 2016 and September 30, 2016, respectively.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one-month LIBOR plus 0.725%, subject to change in the event that this rate no longer reflects the lender’s cost of lending. The Trade Receivable Facility contains a cross-default provision to the Company’s other debt agreements.</w:t>
      </w:r>
    </w:p>
    <w:p>
      <w:pPr>
        <w:spacing w:after="0" w:line="64" w:lineRule="exact"/>
        <w:rPr>
          <w:rFonts w:ascii="Times New Roman" w:cs="Times New Roman" w:eastAsia="Times New Roman" w:hAnsi="Times New Roman"/>
          <w:sz w:val="20"/>
          <w:szCs w:val="20"/>
          <w:b w:val="1"/>
          <w:bCs w:val="1"/>
          <w:color w:val="auto"/>
        </w:rPr>
      </w:pPr>
    </w:p>
    <w:p>
      <w:pPr>
        <w:jc w:val="both"/>
        <w:ind w:left="38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has a $700,000,000 five-year senior unsecured revolving facility (the Revolving Facility) with JPMorgan Chase Bank, N.A., as Administrative Agent, Branch Banking and Trust Company (BB&amp;T), Deutsche Bank Securities, Inc., SunTrust Bank and Wells Fargo Bank, N.A., as Co-Syndication Agents, and the lenders party thereto. The Revolving Facility requires the Company’s ratio of consolidated debt-to-consolidated earnings before interest, taxes, depreciation, depletion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no amounts are outstanding under both the Revolving Facility and the Trade Receivable Facility, consolidated debt, including debt for which the Company is a co-borrower, may be reduced by the Company’s unrestricted cash and cash equivalents in excess of $50,000,000, such reduction not to exceed $200,000,000, for purposes of the covenant calculation. The Company was in compliance with this Ratio at September 30, 2017.</w:t>
      </w:r>
    </w:p>
    <w:p>
      <w:pPr>
        <w:spacing w:after="0" w:line="84" w:lineRule="exact"/>
        <w:rPr>
          <w:rFonts w:ascii="Times New Roman" w:cs="Times New Roman" w:eastAsia="Times New Roman" w:hAnsi="Times New Roman"/>
          <w:sz w:val="20"/>
          <w:szCs w:val="20"/>
          <w:b w:val="1"/>
          <w:bCs w:val="1"/>
          <w:color w:val="auto"/>
        </w:rPr>
      </w:pPr>
    </w:p>
    <w:p>
      <w:pPr>
        <w:jc w:val="both"/>
        <w:ind w:left="38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Available borrowings under the Revolving Facility are reduced by any outstanding letters of credit issued by the Company under the Revolving Facility. The Company had $1,962,900 of outstanding letters of credit issued under the Revolving Facility at September 30, 2017 and $2,507,000 at December 31, 2016 and September 30, 2016.</w:t>
      </w:r>
    </w:p>
    <w:p>
      <w:pPr>
        <w:spacing w:after="0" w:line="66" w:lineRule="exact"/>
        <w:rPr>
          <w:rFonts w:ascii="Times New Roman" w:cs="Times New Roman" w:eastAsia="Times New Roman" w:hAnsi="Times New Roman"/>
          <w:sz w:val="20"/>
          <w:szCs w:val="20"/>
          <w:b w:val="1"/>
          <w:bCs w:val="1"/>
          <w:color w:val="auto"/>
        </w:rPr>
      </w:pPr>
    </w:p>
    <w:p>
      <w:pPr>
        <w:jc w:val="both"/>
        <w:ind w:left="380" w:right="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Current maturities of long-term debt and short-term facilities consist of borrowings under the Trade Receivable Facility as well as the current portions of the other notes. The 6.60% Senior Notes, due 2018, have been classified as a noncurrent liability as the Company has the intent and ability to refinance on a long-term basis before or at its maturity on April 15, 2018.</w:t>
      </w:r>
    </w:p>
    <w:p>
      <w:pPr>
        <w:spacing w:after="0" w:line="66" w:lineRule="exact"/>
        <w:rPr>
          <w:rFonts w:ascii="Times New Roman" w:cs="Times New Roman" w:eastAsia="Times New Roman" w:hAnsi="Times New Roman"/>
          <w:sz w:val="20"/>
          <w:szCs w:val="20"/>
          <w:b w:val="1"/>
          <w:bCs w:val="1"/>
          <w:color w:val="auto"/>
        </w:rPr>
      </w:pPr>
    </w:p>
    <w:p>
      <w:pPr>
        <w:jc w:val="both"/>
        <w:ind w:left="38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Accumulated other comprehensive loss includes the unamortized value of terminated forward starting interest rate swap agreements. For the three- and nine-months ended September 30, 2017, the Company recognized $369,000 and $1,089,000, respectively, as additional interest expense. For the three- and nine-months ended September 30, 2016, the Company recognized $344,000 and $1,016,000, respectively, as additional interest expense. The ongoing amortization of the terminated value of the forward starting interest rate swap agreements will increase interest expense by approximately $350,000 in the fourth quarter of 2017 and $460,000 during the first four months of 2018 until the related notes mature.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17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Instruments</w:t>
      </w:r>
    </w:p>
    <w:p>
      <w:pPr>
        <w:spacing w:after="0" w:line="111" w:lineRule="exact"/>
        <w:rPr>
          <w:rFonts w:ascii="Times New Roman" w:cs="Times New Roman" w:eastAsia="Times New Roman" w:hAnsi="Times New Roman"/>
          <w:sz w:val="20"/>
          <w:szCs w:val="20"/>
          <w:b w:val="1"/>
          <w:bCs w:val="1"/>
          <w:color w:val="auto"/>
        </w:rPr>
      </w:pPr>
    </w:p>
    <w:p>
      <w:pPr>
        <w:ind w:left="38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financial instruments include cash equivalents, accounts receivable, notes receivable, bank overdraft, accounts payable, publicly-registered long-term notes, debentures and other long-term debt.</w:t>
      </w:r>
    </w:p>
    <w:p>
      <w:pPr>
        <w:spacing w:after="0" w:line="51" w:lineRule="exact"/>
        <w:rPr>
          <w:rFonts w:ascii="Times New Roman" w:cs="Times New Roman" w:eastAsia="Times New Roman" w:hAnsi="Times New Roman"/>
          <w:sz w:val="20"/>
          <w:szCs w:val="20"/>
          <w:b w:val="1"/>
          <w:bCs w:val="1"/>
          <w:color w:val="auto"/>
        </w:rPr>
      </w:pPr>
    </w:p>
    <w:p>
      <w:pPr>
        <w:jc w:val="both"/>
        <w:ind w:left="38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66" w:lineRule="exact"/>
        <w:rPr>
          <w:rFonts w:ascii="Times New Roman" w:cs="Times New Roman" w:eastAsia="Times New Roman" w:hAnsi="Times New Roman"/>
          <w:sz w:val="20"/>
          <w:szCs w:val="20"/>
          <w:b w:val="1"/>
          <w:bCs w:val="1"/>
          <w:color w:val="auto"/>
        </w:rPr>
      </w:pPr>
    </w:p>
    <w:p>
      <w:pPr>
        <w:jc w:val="both"/>
        <w:ind w:left="38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71" w:lineRule="exact"/>
        <w:rPr>
          <w:rFonts w:ascii="Times New Roman" w:cs="Times New Roman" w:eastAsia="Times New Roman" w:hAnsi="Times New Roman"/>
          <w:sz w:val="20"/>
          <w:szCs w:val="20"/>
          <w:b w:val="1"/>
          <w:bCs w:val="1"/>
          <w:color w:val="auto"/>
        </w:rPr>
      </w:pPr>
    </w:p>
    <w:p>
      <w:pPr>
        <w:ind w:left="38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Notes receivable are not publicly traded. Management estimates that the fair value of notes receivable approximates the carrying amount due to the short-term nature of the receivables.</w:t>
      </w:r>
    </w:p>
    <w:p>
      <w:pPr>
        <w:spacing w:after="0" w:line="51" w:lineRule="exact"/>
        <w:rPr>
          <w:rFonts w:ascii="Times New Roman" w:cs="Times New Roman" w:eastAsia="Times New Roman" w:hAnsi="Times New Roman"/>
          <w:sz w:val="20"/>
          <w:szCs w:val="20"/>
          <w:b w:val="1"/>
          <w:bCs w:val="1"/>
          <w:color w:val="auto"/>
        </w:rPr>
      </w:pPr>
    </w:p>
    <w:p>
      <w:pPr>
        <w:ind w:left="38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bank overdraft represents amounts to be funded to financial institutions for checks that have cleared the bank. The estimated fair value of the bank overdraft approximates its carrying value due to the short-term nature of the overdraft.</w:t>
      </w:r>
    </w:p>
    <w:p>
      <w:pPr>
        <w:spacing w:after="0" w:line="51" w:lineRule="exact"/>
        <w:rPr>
          <w:rFonts w:ascii="Times New Roman" w:cs="Times New Roman" w:eastAsia="Times New Roman" w:hAnsi="Times New Roman"/>
          <w:sz w:val="20"/>
          <w:szCs w:val="20"/>
          <w:b w:val="1"/>
          <w:bCs w:val="1"/>
          <w:color w:val="auto"/>
        </w:rPr>
      </w:pPr>
    </w:p>
    <w:p>
      <w:pPr>
        <w:ind w:left="38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Accounts payable represent amounts owed to suppliers and vendors. The estimated fair value of accounts payable approximates its carrying amount due to the short-term nature of the payables.</w:t>
      </w:r>
    </w:p>
    <w:p>
      <w:pPr>
        <w:spacing w:after="0" w:line="51" w:lineRule="exact"/>
        <w:rPr>
          <w:rFonts w:ascii="Times New Roman" w:cs="Times New Roman" w:eastAsia="Times New Roman" w:hAnsi="Times New Roman"/>
          <w:sz w:val="20"/>
          <w:szCs w:val="20"/>
          <w:b w:val="1"/>
          <w:bCs w:val="1"/>
          <w:color w:val="auto"/>
        </w:rPr>
      </w:pPr>
    </w:p>
    <w:p>
      <w:pPr>
        <w:jc w:val="both"/>
        <w:ind w:left="38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carrying values and fair values of the Company’s long-term debt were $1,722,540,000 and $1,830,750,000, respectively, at September 30, 2017; $1,686,189,000 and $1,752,338,000, respectively, at December 31, 2016; and $1,764,835,000 and $1,876,802,000, respectively, at September 30, 2016. The estimated fair value of the publicly-registered long-term notes was estimated based on Level 1 of the fair value hierarchy using quoted market prices. The estimated fair value of other borrowings, which primarily represents variable-rate debt, was based on Level 2 of the fair value hierarchy using quoted market prices for similar debt instruments, and approximates their carrying amounts as the interest rates reset periodically.</w:t>
      </w:r>
    </w:p>
    <w:p>
      <w:pPr>
        <w:spacing w:after="0" w:line="181"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111" w:lineRule="exact"/>
        <w:rPr>
          <w:rFonts w:ascii="Times New Roman" w:cs="Times New Roman" w:eastAsia="Times New Roman" w:hAnsi="Times New Roman"/>
          <w:sz w:val="20"/>
          <w:szCs w:val="20"/>
          <w:b w:val="1"/>
          <w:bCs w:val="1"/>
          <w:color w:val="auto"/>
        </w:rPr>
      </w:pPr>
    </w:p>
    <w:p>
      <w:pPr>
        <w:jc w:val="both"/>
        <w:ind w:left="38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effective income tax rate for the nine-months ended September 30, 2017 was 26.2%. The effective income tax rate reflects the effect of federal and state income taxes and the impact of differences in book and tax accounting arising from the net permanent benefits associated with the statutory depletion deduction for mineral reserves and the domestic production deduction. For the nine-months ended September 30, 2017, as a result of the adoption of ASU 2016-09 (see Note 1), the effective income tax rate reflects the excess tax benefit related to the vesting and exercise of stock-based compensation awards, which are treated as discrete events, and had a favorable impact of 130 basis points on the tax rate. As previously stated in Note 1, this requirement of ASU 2016-09 is prospective and therefore, the prior-year effective income tax rate of 30.6% is not comparable.</w:t>
      </w:r>
    </w:p>
    <w:p>
      <w:pPr>
        <w:spacing w:after="0" w:line="78" w:lineRule="exact"/>
        <w:rPr>
          <w:rFonts w:ascii="Times New Roman" w:cs="Times New Roman" w:eastAsia="Times New Roman" w:hAnsi="Times New Roman"/>
          <w:sz w:val="20"/>
          <w:szCs w:val="20"/>
          <w:b w:val="1"/>
          <w:bCs w:val="1"/>
          <w:color w:val="auto"/>
        </w:rPr>
      </w:pPr>
    </w:p>
    <w:p>
      <w:pPr>
        <w:ind w:left="38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18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38"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 and Postretirement Benefits</w:t>
      </w:r>
    </w:p>
    <w:p>
      <w:pPr>
        <w:spacing w:after="0" w:line="111"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estimated components of the recorded net periodic benefit cost (credit) for pension and postretirement benefits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20"/>
                <w:szCs w:val="20"/>
                <w:color w:val="auto"/>
                <w:w w:val="98"/>
              </w:rPr>
              <w:t>Three-Months Ended September 30,</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Pension</w:t>
            </w:r>
          </w:p>
        </w:tc>
        <w:tc>
          <w:tcPr>
            <w:tcW w:w="1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41"/>
              <w:spacing w:after="0"/>
              <w:rPr>
                <w:sz w:val="20"/>
                <w:szCs w:val="20"/>
                <w:color w:val="auto"/>
              </w:rPr>
            </w:pPr>
            <w:r>
              <w:rPr>
                <w:rFonts w:ascii="Times New Roman" w:cs="Times New Roman" w:eastAsia="Times New Roman" w:hAnsi="Times New Roman"/>
                <w:sz w:val="20"/>
                <w:szCs w:val="20"/>
                <w:color w:val="auto"/>
              </w:rPr>
              <w:t>Postretirement Benefits</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2016</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gridSpan w:val="6"/>
          </w:tcPr>
          <w:p>
            <w:pPr>
              <w:jc w:val="center"/>
              <w:ind w:right="42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36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7,457</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5,542</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00" w:type="dxa"/>
            <w:vAlign w:val="bottom"/>
            <w:shd w:val="clear" w:color="auto" w:fill="CFF0FC"/>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8,970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Expected return on assets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(10,691)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(9,425)</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Prior service cost (credit)</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(436)</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(491)</w:t>
            </w:r>
          </w:p>
        </w:tc>
      </w:tr>
      <w:tr>
        <w:trPr>
          <w:trHeight w:val="243"/>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Actuarial loss (gain)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(125)</w:t>
            </w:r>
          </w:p>
        </w:tc>
      </w:tr>
      <w:tr>
        <w:trPr>
          <w:trHeight w:val="237"/>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periodic benefit cost (credit)</w:t>
            </w:r>
          </w:p>
        </w:tc>
        <w:tc>
          <w:tcPr>
            <w:tcW w:w="36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10,133</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8,192</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20"/>
                <w:szCs w:val="20"/>
                <w:color w:val="auto"/>
                <w:w w:val="98"/>
              </w:rPr>
              <w:t>Nine-Months Ended September 30,</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Pension</w:t>
            </w:r>
          </w:p>
        </w:tc>
        <w:tc>
          <w:tcPr>
            <w:tcW w:w="1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41"/>
              <w:spacing w:after="0"/>
              <w:rPr>
                <w:sz w:val="20"/>
                <w:szCs w:val="20"/>
                <w:color w:val="auto"/>
              </w:rPr>
            </w:pPr>
            <w:r>
              <w:rPr>
                <w:rFonts w:ascii="Times New Roman" w:cs="Times New Roman" w:eastAsia="Times New Roman" w:hAnsi="Times New Roman"/>
                <w:sz w:val="20"/>
                <w:szCs w:val="20"/>
                <w:color w:val="auto"/>
              </w:rPr>
              <w:t>Postretirement Benefits</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2016</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gridSpan w:val="6"/>
          </w:tcPr>
          <w:p>
            <w:pPr>
              <w:jc w:val="center"/>
              <w:ind w:right="42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36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20,060</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16,624</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00" w:type="dxa"/>
            <w:vAlign w:val="bottom"/>
            <w:shd w:val="clear" w:color="auto" w:fill="CFF0FC"/>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27,074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Expected return on assets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(29,818)</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(28,272)</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Prior service cost (credit)</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rPr>
              <w:t>(1,307)</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(1,471)</w:t>
            </w:r>
          </w:p>
        </w:tc>
      </w:tr>
      <w:tr>
        <w:trPr>
          <w:trHeight w:val="243"/>
        </w:trPr>
        <w:tc>
          <w:tcPr>
            <w:tcW w:w="3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Actuarial loss (gain)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(374)</w:t>
            </w:r>
          </w:p>
        </w:tc>
      </w:tr>
      <w:tr>
        <w:trPr>
          <w:trHeight w:val="24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Settlement charge</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Special termination benefit</w:t>
            </w:r>
          </w:p>
        </w:tc>
        <w:tc>
          <w:tcPr>
            <w:tcW w:w="3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w:t>
            </w:r>
          </w:p>
        </w:tc>
      </w:tr>
      <w:tr>
        <w:trPr>
          <w:trHeight w:val="237"/>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periodic benefit cost (credit)</w:t>
            </w:r>
          </w:p>
        </w:tc>
        <w:tc>
          <w:tcPr>
            <w:tcW w:w="36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28,196</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25,400</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(1,140)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The components of net periodic benefit cost (credit), other than the service cost component, are included in other nonoperating income, net, in the consolidated statements of earnings and comprehensive earnings.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19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right="8000" w:hanging="372"/>
        <w:spacing w:after="0" w:line="373" w:lineRule="auto"/>
        <w:tabs>
          <w:tab w:leader="none" w:pos="378" w:val="left"/>
        </w:tabs>
        <w:numPr>
          <w:ilvl w:val="0"/>
          <w:numId w:val="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u w:val="single" w:color="auto"/>
          <w:color w:val="auto"/>
        </w:rPr>
        <w:t>Legal and Administrative Proceedings</w:t>
      </w:r>
    </w:p>
    <w:p>
      <w:pPr>
        <w:jc w:val="both"/>
        <w:ind w:left="380"/>
        <w:spacing w:after="0" w:line="24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The Company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Company and its subsidiaries, will have a material adverse effect on the overall results of the Company’s operations, its cash flows or its financial position.</w:t>
      </w:r>
    </w:p>
    <w:p>
      <w:pPr>
        <w:spacing w:after="0" w:line="180" w:lineRule="exact"/>
        <w:rPr>
          <w:rFonts w:ascii="Times New Roman" w:cs="Times New Roman" w:eastAsia="Times New Roman" w:hAnsi="Times New Roman"/>
          <w:sz w:val="19"/>
          <w:szCs w:val="19"/>
          <w:b w:val="1"/>
          <w:bCs w:val="1"/>
          <w:color w:val="auto"/>
        </w:rPr>
      </w:pPr>
    </w:p>
    <w:p>
      <w:pPr>
        <w:ind w:left="38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u w:val="single" w:color="auto"/>
          <w:color w:val="auto"/>
        </w:rPr>
        <w:t>Borrowing Arrangements with Affiliate</w:t>
      </w:r>
    </w:p>
    <w:p>
      <w:pPr>
        <w:spacing w:after="0" w:line="107" w:lineRule="exact"/>
        <w:rPr>
          <w:rFonts w:ascii="Times New Roman" w:cs="Times New Roman" w:eastAsia="Times New Roman" w:hAnsi="Times New Roman"/>
          <w:sz w:val="19"/>
          <w:szCs w:val="19"/>
          <w:b w:val="1"/>
          <w:bCs w:val="1"/>
          <w:color w:val="auto"/>
        </w:rPr>
      </w:pPr>
    </w:p>
    <w:p>
      <w:pPr>
        <w:jc w:val="both"/>
        <w:ind w:left="380"/>
        <w:spacing w:after="0" w:line="24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The Company is a co-borrower with an unconsolidated affiliate for a $25,000,000 revolving line of credit agreement with BB&amp;T Bank.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71" w:lineRule="exact"/>
        <w:rPr>
          <w:rFonts w:ascii="Times New Roman" w:cs="Times New Roman" w:eastAsia="Times New Roman" w:hAnsi="Times New Roman"/>
          <w:sz w:val="19"/>
          <w:szCs w:val="19"/>
          <w:b w:val="1"/>
          <w:bCs w:val="1"/>
          <w:color w:val="auto"/>
        </w:rPr>
      </w:pPr>
    </w:p>
    <w:p>
      <w:pPr>
        <w:ind w:left="380"/>
        <w:spacing w:after="0" w:line="26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In addition, the Company has a $6,000,000 interest-only loan, due December 31, 2019, outstanding from this unconsolidated affiliate as of September 30, 2017, December 31, 2016 and September 30, 2016. The interest rate is one-month LIBOR plus 1.75%.</w:t>
      </w:r>
    </w:p>
    <w:p>
      <w:pPr>
        <w:spacing w:after="0" w:line="263" w:lineRule="exact"/>
        <w:rPr>
          <w:rFonts w:ascii="Times New Roman" w:cs="Times New Roman" w:eastAsia="Times New Roman" w:hAnsi="Times New Roman"/>
          <w:sz w:val="19"/>
          <w:szCs w:val="19"/>
          <w:b w:val="1"/>
          <w:bCs w:val="1"/>
          <w:color w:val="auto"/>
        </w:rPr>
      </w:pPr>
    </w:p>
    <w:p>
      <w:pPr>
        <w:ind w:left="380" w:hanging="372"/>
        <w:spacing w:after="0"/>
        <w:tabs>
          <w:tab w:leader="none" w:pos="38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Segments</w:t>
      </w:r>
    </w:p>
    <w:p>
      <w:pPr>
        <w:spacing w:after="0" w:line="111" w:lineRule="exact"/>
        <w:rPr>
          <w:rFonts w:ascii="Times New Roman" w:cs="Times New Roman" w:eastAsia="Times New Roman" w:hAnsi="Times New Roman"/>
          <w:sz w:val="20"/>
          <w:szCs w:val="20"/>
          <w:b w:val="1"/>
          <w:bCs w:val="1"/>
          <w:color w:val="auto"/>
        </w:rPr>
      </w:pPr>
    </w:p>
    <w:p>
      <w:pPr>
        <w:jc w:val="both"/>
        <w:ind w:left="38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Building Materials business contains three reportable business segments: Mid-America Group, Southeast Group and West Group. The Company also has a Magnesia Specialties segment. The Company’s evaluation of performance and allocation of resources are based primarily on earnings from operations. Consolidated earnings from operations include net sales less cost of sales, selling, general and administrative expenses, acquisition-related expenses, net, other operating income and expenses, net, and exclude interest expense, other nonoperating income and expenses, net, and taxes on income. Corporate loss from operations primarily includes depreciation on capitalized interest, expenses for corporate administrative functions, acquisition-related expenses, net, and other nonrecurring and/or non-operational income and expenses excluded from the Company’s evaluation of business segment performance and resource allocation. All debt and related interest expense is held at Corporate.</w:t>
      </w:r>
    </w:p>
    <w:p>
      <w:pPr>
        <w:spacing w:after="0" w:line="81" w:lineRule="exact"/>
        <w:rPr>
          <w:rFonts w:ascii="Times New Roman" w:cs="Times New Roman" w:eastAsia="Times New Roman" w:hAnsi="Times New Roman"/>
          <w:sz w:val="20"/>
          <w:szCs w:val="20"/>
          <w:b w:val="1"/>
          <w:bCs w:val="1"/>
          <w:color w:val="auto"/>
        </w:rPr>
      </w:pPr>
    </w:p>
    <w:p>
      <w:pPr>
        <w:jc w:val="both"/>
        <w:ind w:left="38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 displays selected financial data for continuing operations for the Company’s reportable business segments. Total revenues and net sales in the table below, as well as the consolidated statements of earnings and comprehensive earnings, exclude intersegment sales which represent net sales from one segment to another segment which are eliminated.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20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Segments (continued)</w:t>
      </w:r>
    </w:p>
    <w:p>
      <w:pPr>
        <w:spacing w:after="0" w:line="111" w:lineRule="exact"/>
        <w:rPr>
          <w:rFonts w:ascii="Times New Roman" w:cs="Times New Roman" w:eastAsia="Times New Roman" w:hAnsi="Times New Roman"/>
          <w:sz w:val="20"/>
          <w:szCs w:val="20"/>
          <w:b w:val="1"/>
          <w:bCs w:val="1"/>
          <w:color w:val="auto"/>
        </w:rPr>
      </w:pPr>
    </w:p>
    <w:p>
      <w:pPr>
        <w:jc w:val="both"/>
        <w:ind w:left="38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Effective with a management change previously discussed in Note 1, the cement product line is reported in the West Group. Prior-year segment information has been reclassified to conform to the presentation of the Company’s current reportable segments and for the adoption of ASU 2017-07.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right"/>
              <w:ind w:right="600"/>
              <w:spacing w:after="0"/>
              <w:rPr>
                <w:sz w:val="20"/>
                <w:szCs w:val="20"/>
                <w:color w:val="auto"/>
              </w:rPr>
            </w:pPr>
            <w:r>
              <w:rPr>
                <w:rFonts w:ascii="Times New Roman" w:cs="Times New Roman" w:eastAsia="Times New Roman" w:hAnsi="Times New Roman"/>
                <w:sz w:val="20"/>
                <w:szCs w:val="20"/>
                <w:color w:val="auto"/>
              </w:rPr>
              <w:t>Three-Months Ended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right"/>
              <w:ind w:right="600"/>
              <w:spacing w:after="0"/>
              <w:rPr>
                <w:sz w:val="20"/>
                <w:szCs w:val="20"/>
                <w:color w:val="auto"/>
              </w:rPr>
            </w:pPr>
            <w:r>
              <w:rPr>
                <w:rFonts w:ascii="Times New Roman" w:cs="Times New Roman" w:eastAsia="Times New Roman" w:hAnsi="Times New Roman"/>
                <w:sz w:val="20"/>
                <w:szCs w:val="20"/>
                <w:color w:val="auto"/>
              </w:rPr>
              <w:t>Nine-Months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right"/>
              <w:ind w:right="860"/>
              <w:spacing w:after="0"/>
              <w:rPr>
                <w:sz w:val="20"/>
                <w:szCs w:val="20"/>
                <w:color w:val="auto"/>
              </w:rPr>
            </w:pPr>
            <w:r>
              <w:rPr>
                <w:rFonts w:ascii="Times New Roman" w:cs="Times New Roman" w:eastAsia="Times New Roman" w:hAnsi="Times New Roman"/>
                <w:sz w:val="20"/>
                <w:szCs w:val="20"/>
                <w:color w:val="auto"/>
              </w:rPr>
              <w:t>September 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right"/>
              <w:ind w:right="840"/>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2017</w:t>
            </w: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2016</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2017</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6"/>
          </w:tcPr>
          <w:p>
            <w:pPr>
              <w:jc w:val="right"/>
              <w:ind w:right="60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gridSpan w:val="4"/>
            <w:shd w:val="clear" w:color="auto" w:fill="CFF0FC"/>
          </w:tcPr>
          <w:p>
            <w:pPr>
              <w:spacing w:after="0" w:line="203" w:lineRule="exact"/>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3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308,472</w:t>
            </w:r>
          </w:p>
        </w:tc>
        <w:tc>
          <w:tcPr>
            <w:tcW w:w="160" w:type="dxa"/>
            <w:vAlign w:val="bottom"/>
          </w:tcPr>
          <w:p>
            <w:pPr>
              <w:spacing w:after="0"/>
              <w:rPr>
                <w:sz w:val="21"/>
                <w:szCs w:val="21"/>
                <w:color w:val="auto"/>
              </w:rPr>
            </w:pP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297,275</w:t>
            </w:r>
          </w:p>
        </w:tc>
        <w:tc>
          <w:tcPr>
            <w:tcW w:w="160" w:type="dxa"/>
            <w:vAlign w:val="bottom"/>
          </w:tcPr>
          <w:p>
            <w:pPr>
              <w:spacing w:after="0"/>
              <w:rPr>
                <w:sz w:val="21"/>
                <w:szCs w:val="21"/>
                <w:color w:val="auto"/>
              </w:rPr>
            </w:pPr>
          </w:p>
        </w:tc>
        <w:tc>
          <w:tcPr>
            <w:tcW w:w="3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788,390</w:t>
            </w:r>
          </w:p>
        </w:tc>
        <w:tc>
          <w:tcPr>
            <w:tcW w:w="24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762,297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94,843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83,814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277,474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243,086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20"/>
                <w:szCs w:val="20"/>
                <w:color w:val="auto"/>
              </w:rPr>
              <w:t>West Group</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620,512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657,663</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1,726,742</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1,671,596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1,023,827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1,038,752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2,792,606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2,676,979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63,905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65,149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202,510</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192,955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1,087,732</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1,103,901</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2,995,116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2,869,934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gridSpan w:val="4"/>
            <w:shd w:val="clear" w:color="auto" w:fill="CFF0FC"/>
          </w:tcPr>
          <w:p>
            <w:pPr>
              <w:spacing w:after="0" w:line="203" w:lineRule="exact"/>
              <w:rPr>
                <w:sz w:val="20"/>
                <w:szCs w:val="20"/>
                <w:color w:val="auto"/>
              </w:rPr>
            </w:pPr>
            <w:r>
              <w:rPr>
                <w:rFonts w:ascii="Times New Roman" w:cs="Times New Roman" w:eastAsia="Times New Roman" w:hAnsi="Times New Roman"/>
                <w:sz w:val="20"/>
                <w:szCs w:val="20"/>
                <w:color w:val="auto"/>
              </w:rPr>
              <w:t>Net sales: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3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287,078</w:t>
            </w:r>
          </w:p>
        </w:tc>
        <w:tc>
          <w:tcPr>
            <w:tcW w:w="160" w:type="dxa"/>
            <w:vAlign w:val="bottom"/>
          </w:tcPr>
          <w:p>
            <w:pPr>
              <w:spacing w:after="0"/>
              <w:rPr>
                <w:sz w:val="21"/>
                <w:szCs w:val="21"/>
                <w:color w:val="auto"/>
              </w:rPr>
            </w:pP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275,791</w:t>
            </w:r>
          </w:p>
        </w:tc>
        <w:tc>
          <w:tcPr>
            <w:tcW w:w="160" w:type="dxa"/>
            <w:vAlign w:val="bottom"/>
          </w:tcPr>
          <w:p>
            <w:pPr>
              <w:spacing w:after="0"/>
              <w:rPr>
                <w:sz w:val="21"/>
                <w:szCs w:val="21"/>
                <w:color w:val="auto"/>
              </w:rPr>
            </w:pPr>
          </w:p>
        </w:tc>
        <w:tc>
          <w:tcPr>
            <w:tcW w:w="3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734,258</w:t>
            </w:r>
          </w:p>
        </w:tc>
        <w:tc>
          <w:tcPr>
            <w:tcW w:w="24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708,151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91,407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80,044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266,556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230,005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20"/>
                <w:szCs w:val="20"/>
                <w:color w:val="auto"/>
              </w:rPr>
              <w:t>West Group</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585,126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622,265</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1,622,954</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1,570,969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963,611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978,100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2,623,768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2,509,125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58,526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60,244</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186,342</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178,615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1,022,137</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1,038,344</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2,810,110</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2,687,740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00" w:type="dxa"/>
            <w:vAlign w:val="bottom"/>
            <w:gridSpan w:val="4"/>
            <w:shd w:val="clear" w:color="auto" w:fill="CFF0FC"/>
          </w:tcPr>
          <w:p>
            <w:pPr>
              <w:spacing w:after="0" w:line="203" w:lineRule="exact"/>
              <w:rPr>
                <w:sz w:val="20"/>
                <w:szCs w:val="20"/>
                <w:color w:val="auto"/>
              </w:rPr>
            </w:pPr>
            <w:r>
              <w:rPr>
                <w:rFonts w:ascii="Times New Roman" w:cs="Times New Roman" w:eastAsia="Times New Roman" w:hAnsi="Times New Roman"/>
                <w:sz w:val="20"/>
                <w:szCs w:val="20"/>
                <w:color w:val="auto"/>
              </w:rPr>
              <w:t>Earnings (Loss) from operations: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Mid-America Group</w:t>
            </w:r>
          </w:p>
        </w:tc>
        <w:tc>
          <w:tcPr>
            <w:tcW w:w="3340" w:type="dxa"/>
            <w:vAlign w:val="bottom"/>
            <w:tcBorders>
              <w:top w:val="single" w:sz="8" w:color="CFF0FC"/>
            </w:tcBorders>
          </w:tcPr>
          <w:p>
            <w:pPr>
              <w:spacing w:after="0"/>
              <w:rPr>
                <w:sz w:val="21"/>
                <w:szCs w:val="21"/>
                <w:color w:val="auto"/>
              </w:rPr>
            </w:pPr>
          </w:p>
        </w:tc>
        <w:tc>
          <w:tcPr>
            <w:tcW w:w="240" w:type="dxa"/>
            <w:vAlign w:val="bottom"/>
            <w:tcBorders>
              <w:top w:val="single" w:sz="8" w:color="CFF0FC"/>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106,235</w:t>
            </w:r>
          </w:p>
        </w:tc>
        <w:tc>
          <w:tcPr>
            <w:tcW w:w="160" w:type="dxa"/>
            <w:vAlign w:val="bottom"/>
            <w:tcBorders>
              <w:top w:val="single" w:sz="8" w:color="CFF0FC"/>
            </w:tcBorders>
          </w:tcPr>
          <w:p>
            <w:pPr>
              <w:spacing w:after="0"/>
              <w:rPr>
                <w:sz w:val="21"/>
                <w:szCs w:val="21"/>
                <w:color w:val="auto"/>
              </w:rPr>
            </w:pPr>
          </w:p>
        </w:tc>
        <w:tc>
          <w:tcPr>
            <w:tcW w:w="320" w:type="dxa"/>
            <w:vAlign w:val="bottom"/>
            <w:tcBorders>
              <w:top w:val="single" w:sz="8" w:color="CFF0FC"/>
            </w:tcBorders>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92,170</w:t>
            </w:r>
          </w:p>
        </w:tc>
        <w:tc>
          <w:tcPr>
            <w:tcW w:w="160" w:type="dxa"/>
            <w:vAlign w:val="bottom"/>
            <w:tcBorders>
              <w:top w:val="single" w:sz="8" w:color="CFF0FC"/>
            </w:tcBorders>
          </w:tcPr>
          <w:p>
            <w:pPr>
              <w:spacing w:after="0"/>
              <w:rPr>
                <w:sz w:val="21"/>
                <w:szCs w:val="21"/>
                <w:color w:val="auto"/>
              </w:rPr>
            </w:pPr>
          </w:p>
        </w:tc>
        <w:tc>
          <w:tcPr>
            <w:tcW w:w="320" w:type="dxa"/>
            <w:vAlign w:val="bottom"/>
            <w:tcBorders>
              <w:top w:val="single" w:sz="8" w:color="CFF0FC"/>
            </w:tcBorders>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204,939</w:t>
            </w: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CFF0FC"/>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187,656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Southeast Group</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17,882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11,938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42,331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30,579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20"/>
                <w:szCs w:val="20"/>
                <w:color w:val="auto"/>
              </w:rPr>
              <w:t>West Group</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96,522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134,559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270,246</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299,722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220,639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238,667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517,516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517,957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17,590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20,432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58,589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(11,265)</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(16,430)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(59,138)</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(58,735)</w:t>
            </w:r>
          </w:p>
        </w:tc>
        <w:tc>
          <w:tcPr>
            <w:tcW w:w="0" w:type="dxa"/>
            <w:vAlign w:val="bottom"/>
          </w:tcPr>
          <w:p>
            <w:pPr>
              <w:spacing w:after="0"/>
              <w:rPr>
                <w:sz w:val="1"/>
                <w:szCs w:val="1"/>
                <w:color w:val="auto"/>
              </w:rPr>
            </w:pPr>
          </w:p>
        </w:tc>
      </w:tr>
      <w:tr>
        <w:trPr>
          <w:trHeight w:val="237"/>
        </w:trPr>
        <w:tc>
          <w:tcPr>
            <w:tcW w:w="5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226,964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242,669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516,967</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519,541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21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Segments (continued)</w:t>
      </w:r>
    </w:p>
    <w:p>
      <w:pPr>
        <w:spacing w:after="0" w:line="111" w:lineRule="exact"/>
        <w:rPr>
          <w:rFonts w:ascii="Times New Roman" w:cs="Times New Roman" w:eastAsia="Times New Roman" w:hAnsi="Times New Roman"/>
          <w:sz w:val="20"/>
          <w:szCs w:val="20"/>
          <w:b w:val="1"/>
          <w:bCs w:val="1"/>
          <w:color w:val="auto"/>
        </w:rPr>
      </w:pPr>
    </w:p>
    <w:p>
      <w:pPr>
        <w:jc w:val="both"/>
        <w:ind w:left="38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net sales and gross profit by business: Building Materials (further divided by product line) and Magnesia Specialties.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right"/>
              <w:ind w:right="600"/>
              <w:spacing w:after="0"/>
              <w:rPr>
                <w:sz w:val="20"/>
                <w:szCs w:val="20"/>
                <w:color w:val="auto"/>
              </w:rPr>
            </w:pPr>
            <w:r>
              <w:rPr>
                <w:rFonts w:ascii="Times New Roman" w:cs="Times New Roman" w:eastAsia="Times New Roman" w:hAnsi="Times New Roman"/>
                <w:sz w:val="20"/>
                <w:szCs w:val="20"/>
                <w:color w:val="auto"/>
              </w:rPr>
              <w:t>Three-Months Ended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right"/>
              <w:ind w:right="600"/>
              <w:spacing w:after="0"/>
              <w:rPr>
                <w:sz w:val="20"/>
                <w:szCs w:val="20"/>
                <w:color w:val="auto"/>
              </w:rPr>
            </w:pPr>
            <w:r>
              <w:rPr>
                <w:rFonts w:ascii="Times New Roman" w:cs="Times New Roman" w:eastAsia="Times New Roman" w:hAnsi="Times New Roman"/>
                <w:sz w:val="20"/>
                <w:szCs w:val="20"/>
                <w:color w:val="auto"/>
              </w:rPr>
              <w:t>Nine-Months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right"/>
              <w:ind w:right="860"/>
              <w:spacing w:after="0"/>
              <w:rPr>
                <w:sz w:val="20"/>
                <w:szCs w:val="20"/>
                <w:color w:val="auto"/>
              </w:rPr>
            </w:pPr>
            <w:r>
              <w:rPr>
                <w:rFonts w:ascii="Times New Roman" w:cs="Times New Roman" w:eastAsia="Times New Roman" w:hAnsi="Times New Roman"/>
                <w:sz w:val="20"/>
                <w:szCs w:val="20"/>
                <w:color w:val="auto"/>
              </w:rPr>
              <w:t>September 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right"/>
              <w:ind w:right="840"/>
              <w:spacing w:after="0"/>
              <w:rPr>
                <w:sz w:val="20"/>
                <w:szCs w:val="20"/>
                <w:color w:val="auto"/>
              </w:rPr>
            </w:pPr>
            <w:r>
              <w:rPr>
                <w:rFonts w:ascii="Times New Roman" w:cs="Times New Roman" w:eastAsia="Times New Roman" w:hAnsi="Times New Roman"/>
                <w:sz w:val="20"/>
                <w:szCs w:val="20"/>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2017</w:t>
            </w: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2016</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2017</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6"/>
          </w:tcPr>
          <w:p>
            <w:pPr>
              <w:jc w:val="right"/>
              <w:ind w:right="60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Borders>
              <w:bottom w:val="single" w:sz="8" w:color="auto"/>
            </w:tcBorders>
            <w:gridSpan w:val="2"/>
            <w:shd w:val="clear" w:color="auto" w:fill="CFF0FC"/>
          </w:tcPr>
          <w:p>
            <w:pPr>
              <w:spacing w:after="0" w:line="203" w:lineRule="exact"/>
              <w:rPr>
                <w:sz w:val="20"/>
                <w:szCs w:val="20"/>
                <w:color w:val="auto"/>
              </w:rPr>
            </w:pPr>
            <w:r>
              <w:rPr>
                <w:rFonts w:ascii="Times New Roman" w:cs="Times New Roman" w:eastAsia="Times New Roman" w:hAnsi="Times New Roman"/>
                <w:sz w:val="20"/>
                <w:szCs w:val="20"/>
                <w:color w:val="auto"/>
                <w:w w:val="95"/>
              </w:rPr>
              <w:t>Total revenues:</w:t>
            </w:r>
          </w:p>
        </w:tc>
        <w:tc>
          <w:tcPr>
            <w:tcW w:w="470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Aggregates</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647,121</w:t>
            </w:r>
          </w:p>
        </w:tc>
        <w:tc>
          <w:tcPr>
            <w:tcW w:w="160" w:type="dxa"/>
            <w:vAlign w:val="bottom"/>
          </w:tcPr>
          <w:p>
            <w:pPr>
              <w:spacing w:after="0"/>
              <w:rPr>
                <w:sz w:val="21"/>
                <w:szCs w:val="21"/>
                <w:color w:val="auto"/>
              </w:rPr>
            </w:pP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637,995</w:t>
            </w:r>
          </w:p>
        </w:tc>
        <w:tc>
          <w:tcPr>
            <w:tcW w:w="160" w:type="dxa"/>
            <w:vAlign w:val="bottom"/>
          </w:tcPr>
          <w:p>
            <w:pPr>
              <w:spacing w:after="0"/>
              <w:rPr>
                <w:sz w:val="21"/>
                <w:szCs w:val="21"/>
                <w:color w:val="auto"/>
              </w:rPr>
            </w:pPr>
          </w:p>
        </w:tc>
        <w:tc>
          <w:tcPr>
            <w:tcW w:w="3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1,776,292</w:t>
            </w:r>
          </w:p>
        </w:tc>
        <w:tc>
          <w:tcPr>
            <w:tcW w:w="24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1,715,457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Cement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91,884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97,287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290,513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287,944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Ready Mixed Concrete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240,456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264,050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705,128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666,506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Asphalt and Paving</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150,375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151,141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291,844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253,937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Less: Interproduct Revenues</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(106,009)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(111,721)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(271,171)</w:t>
            </w: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(246,865)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1,023,827</w:t>
            </w: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1,038,752</w:t>
            </w: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2,792,606</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2,676,979</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63,905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65,149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202,510</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192,955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1,087,732</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1,103,901</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2,995,116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2,869,934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gridSpan w:val="4"/>
            <w:shd w:val="clear" w:color="auto" w:fill="CFF0FC"/>
          </w:tcPr>
          <w:p>
            <w:pPr>
              <w:spacing w:after="0" w:line="203" w:lineRule="exact"/>
              <w:rPr>
                <w:sz w:val="20"/>
                <w:szCs w:val="20"/>
                <w:color w:val="auto"/>
              </w:rPr>
            </w:pPr>
            <w:r>
              <w:rPr>
                <w:rFonts w:ascii="Times New Roman" w:cs="Times New Roman" w:eastAsia="Times New Roman" w:hAnsi="Times New Roman"/>
                <w:sz w:val="20"/>
                <w:szCs w:val="20"/>
                <w:color w:val="auto"/>
              </w:rPr>
              <w:t>Net sales: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Aggregates</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591,195</w:t>
            </w:r>
          </w:p>
        </w:tc>
        <w:tc>
          <w:tcPr>
            <w:tcW w:w="160" w:type="dxa"/>
            <w:vAlign w:val="bottom"/>
          </w:tcPr>
          <w:p>
            <w:pPr>
              <w:spacing w:after="0"/>
              <w:rPr>
                <w:sz w:val="21"/>
                <w:szCs w:val="21"/>
                <w:color w:val="auto"/>
              </w:rPr>
            </w:pP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581,536</w:t>
            </w:r>
          </w:p>
        </w:tc>
        <w:tc>
          <w:tcPr>
            <w:tcW w:w="160" w:type="dxa"/>
            <w:vAlign w:val="bottom"/>
          </w:tcPr>
          <w:p>
            <w:pPr>
              <w:spacing w:after="0"/>
              <w:rPr>
                <w:sz w:val="21"/>
                <w:szCs w:val="21"/>
                <w:color w:val="auto"/>
              </w:rPr>
            </w:pPr>
          </w:p>
        </w:tc>
        <w:tc>
          <w:tcPr>
            <w:tcW w:w="3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1,620,962</w:t>
            </w:r>
          </w:p>
        </w:tc>
        <w:tc>
          <w:tcPr>
            <w:tcW w:w="24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1,559,688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Cement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88,615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94,744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281,315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279,045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Ready Mixed Concrete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240,216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263,747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704,491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665,546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Asphalt and Paving</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149,594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149,794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288,171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251,712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Less: Interproduct Sales</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(106,009)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(111,721)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(271,171)</w:t>
            </w: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(246,866)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963,611</w:t>
            </w: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978,100</w:t>
            </w: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2,623,768</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2,509,125</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58,526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60,244</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186,342</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178,615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1,022,137</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1,038,344</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2,810,110</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2,687,740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00" w:type="dxa"/>
            <w:vAlign w:val="bottom"/>
            <w:gridSpan w:val="4"/>
            <w:shd w:val="clear" w:color="auto" w:fill="CFF0FC"/>
          </w:tcPr>
          <w:p>
            <w:pPr>
              <w:spacing w:after="0" w:line="203" w:lineRule="exact"/>
              <w:rPr>
                <w:sz w:val="20"/>
                <w:szCs w:val="20"/>
                <w:color w:val="auto"/>
              </w:rPr>
            </w:pPr>
            <w:r>
              <w:rPr>
                <w:rFonts w:ascii="Times New Roman" w:cs="Times New Roman" w:eastAsia="Times New Roman" w:hAnsi="Times New Roman"/>
                <w:sz w:val="20"/>
                <w:szCs w:val="20"/>
                <w:color w:val="auto"/>
              </w:rPr>
              <w:t>Gross profit (loss):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Aggregates</w:t>
            </w:r>
          </w:p>
        </w:tc>
        <w:tc>
          <w:tcPr>
            <w:tcW w:w="4480" w:type="dxa"/>
            <w:vAlign w:val="bottom"/>
            <w:tcBorders>
              <w:top w:val="single" w:sz="8" w:color="CFF0FC"/>
            </w:tcBorders>
          </w:tcPr>
          <w:p>
            <w:pPr>
              <w:spacing w:after="0"/>
              <w:rPr>
                <w:sz w:val="21"/>
                <w:szCs w:val="21"/>
                <w:color w:val="auto"/>
              </w:rPr>
            </w:pPr>
          </w:p>
        </w:tc>
        <w:tc>
          <w:tcPr>
            <w:tcW w:w="240" w:type="dxa"/>
            <w:vAlign w:val="bottom"/>
            <w:tcBorders>
              <w:top w:val="single" w:sz="8" w:color="CFF0FC"/>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187,947</w:t>
            </w:r>
          </w:p>
        </w:tc>
        <w:tc>
          <w:tcPr>
            <w:tcW w:w="160" w:type="dxa"/>
            <w:vAlign w:val="bottom"/>
            <w:tcBorders>
              <w:top w:val="single" w:sz="8" w:color="CFF0FC"/>
            </w:tcBorders>
          </w:tcPr>
          <w:p>
            <w:pPr>
              <w:spacing w:after="0"/>
              <w:rPr>
                <w:sz w:val="21"/>
                <w:szCs w:val="21"/>
                <w:color w:val="auto"/>
              </w:rPr>
            </w:pPr>
          </w:p>
        </w:tc>
        <w:tc>
          <w:tcPr>
            <w:tcW w:w="320" w:type="dxa"/>
            <w:vAlign w:val="bottom"/>
            <w:tcBorders>
              <w:top w:val="single" w:sz="8" w:color="CFF0FC"/>
            </w:tcBorders>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173,891</w:t>
            </w:r>
          </w:p>
        </w:tc>
        <w:tc>
          <w:tcPr>
            <w:tcW w:w="160" w:type="dxa"/>
            <w:vAlign w:val="bottom"/>
            <w:tcBorders>
              <w:top w:val="single" w:sz="8" w:color="CFF0FC"/>
            </w:tcBorders>
          </w:tcPr>
          <w:p>
            <w:pPr>
              <w:spacing w:after="0"/>
              <w:rPr>
                <w:sz w:val="21"/>
                <w:szCs w:val="21"/>
                <w:color w:val="auto"/>
              </w:rPr>
            </w:pPr>
          </w:p>
        </w:tc>
        <w:tc>
          <w:tcPr>
            <w:tcW w:w="320" w:type="dxa"/>
            <w:vAlign w:val="bottom"/>
            <w:tcBorders>
              <w:top w:val="single" w:sz="8" w:color="CFF0FC"/>
            </w:tcBorders>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440,711</w:t>
            </w: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CFF0FC"/>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420,972</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Cement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27,604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36,871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87,962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93,535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Ready Mixed Concrete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32,787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70,562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Asphalt and Paving</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28,864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30,247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44,433</w:t>
            </w:r>
          </w:p>
        </w:tc>
        <w:tc>
          <w:tcPr>
            <w:tcW w:w="2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36,838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268,322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273,796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643,668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19,910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22,845</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65,849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67,564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Corporate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(8,908)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291,678</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293,307</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712,838</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685,988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22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 10-Q</w:t>
      </w:r>
    </w:p>
    <w:p>
      <w:pPr>
        <w:jc w:val="center"/>
        <w:ind w:right="-19"/>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(Continued)</w:t>
      </w:r>
    </w:p>
    <w:p>
      <w:pPr>
        <w:spacing w:after="0" w:line="122"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Operating Expense (Income), Net</w:t>
      </w:r>
    </w:p>
    <w:p>
      <w:pPr>
        <w:spacing w:after="0" w:line="111" w:lineRule="exact"/>
        <w:rPr>
          <w:rFonts w:ascii="Times New Roman" w:cs="Times New Roman" w:eastAsia="Times New Roman" w:hAnsi="Times New Roman"/>
          <w:sz w:val="20"/>
          <w:szCs w:val="20"/>
          <w:b w:val="1"/>
          <w:bCs w:val="1"/>
          <w:color w:val="auto"/>
        </w:rPr>
      </w:pPr>
    </w:p>
    <w:p>
      <w:pPr>
        <w:jc w:val="both"/>
        <w:ind w:left="38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Other operating expense (income), net, for the three-months ended September 30, 2017 reflects a gain on asset retirement obligations offset by a $12,425,000 of nonrecurring repair costs related to certain of the Company’s leased railcars. For the nine-months ended September 30, 2017, other operating expense (income), net, reflects a $13,500,000 gain on the sale of real estate and approximately $7,500,000 of expense, including both cash and stock-based compensation components, related to the retirement of Anne Lloyd, Chief Financial Officer. The vesting of Ms. Lloyd’s shares of restricted stock awards, performance stock awards and stock options will continue on their original vesting schedules, which extend beyond Ms. Lloyd's retirement date. Accordingly, the Company recognized all remaining expense related to the stock-based awards.</w:t>
      </w:r>
    </w:p>
    <w:p>
      <w:pPr>
        <w:sectPr>
          <w:pgSz w:w="11900" w:h="16838" w:orient="portrait"/>
          <w:cols w:equalWidth="0" w:num="1">
            <w:col w:w="11420"/>
          </w:cols>
          <w:pgMar w:left="240" w:top="118" w:right="239" w:bottom="1440" w:gutter="0" w:footer="0" w:header="0"/>
        </w:sectPr>
      </w:pPr>
    </w:p>
    <w:p>
      <w:pPr>
        <w:spacing w:after="0" w:line="183"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Supplemental Cash Flow Information</w:t>
      </w:r>
    </w:p>
    <w:p>
      <w:pPr>
        <w:spacing w:after="0" w:line="111"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components of the change in other assets and liabilities, net,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current and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salaries, benefits and payroll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Accrued insurance and other taxes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Accrued pension, postretirement and postemployment benefits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current and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Noncash investing and financing activities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Accrued liabilities for 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20"/>
          <w:szCs w:val="20"/>
          <w:color w:val="auto"/>
        </w:rPr>
        <w:t>Acquisition of assets through capital lease</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Settlement of royalty obligation via asset 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Nine-Months Ended</w:t>
      </w:r>
    </w:p>
    <w:p>
      <w:pPr>
        <w:spacing w:after="0" w:line="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2016</w:t>
            </w:r>
          </w:p>
        </w:tc>
        <w:tc>
          <w:tcPr>
            <w:tcW w:w="6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20" w:type="dxa"/>
            <w:vAlign w:val="bottom"/>
            <w:gridSpan w:val="4"/>
          </w:tcPr>
          <w:p>
            <w:pPr>
              <w:jc w:val="right"/>
              <w:ind w:right="721"/>
              <w:spacing w:after="0" w:line="228" w:lineRule="exact"/>
              <w:rPr>
                <w:sz w:val="20"/>
                <w:szCs w:val="20"/>
                <w:color w:val="auto"/>
              </w:rPr>
            </w:pPr>
            <w:r>
              <w:rPr>
                <w:rFonts w:ascii="Times New Roman" w:cs="Times New Roman" w:eastAsia="Times New Roman" w:hAnsi="Times New Roman"/>
                <w:sz w:val="20"/>
                <w:szCs w:val="20"/>
                <w:i w:val="1"/>
                <w:iCs w:val="1"/>
                <w:color w:val="auto"/>
              </w:rPr>
              <w:t>(Dollars in Thousands)</w:t>
            </w:r>
          </w:p>
        </w:tc>
        <w:tc>
          <w:tcPr>
            <w:tcW w:w="60" w:type="dxa"/>
            <w:vAlign w:val="bottom"/>
          </w:tcPr>
          <w:p>
            <w:pPr>
              <w:spacing w:after="0"/>
              <w:rPr>
                <w:sz w:val="19"/>
                <w:szCs w:val="19"/>
                <w:color w:val="auto"/>
              </w:rPr>
            </w:pPr>
          </w:p>
        </w:tc>
      </w:tr>
      <w:tr>
        <w:trPr>
          <w:trHeight w:val="243"/>
        </w:trPr>
        <w:tc>
          <w:tcPr>
            <w:tcW w:w="340" w:type="dxa"/>
            <w:vAlign w:val="bottom"/>
            <w:gridSpan w:val="2"/>
          </w:tcPr>
          <w:p>
            <w:pPr>
              <w:jc w:val="right"/>
              <w:ind w:right="158"/>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(29,342)</w:t>
            </w: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(3,997)</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(6,234)</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5,041</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(5,807)</w:t>
            </w:r>
          </w:p>
        </w:tc>
        <w:tc>
          <w:tcPr>
            <w:tcW w:w="3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(21,624)</w:t>
            </w:r>
          </w:p>
        </w:tc>
      </w:tr>
      <w:tr>
        <w:trPr>
          <w:trHeight w:val="252"/>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49,244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(1,437)</w:t>
            </w:r>
          </w:p>
        </w:tc>
      </w:tr>
      <w:tr>
        <w:trPr>
          <w:trHeight w:val="237"/>
        </w:trPr>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34,484</w:t>
            </w: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(20,911)</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Nine-Months Ended</w:t>
      </w:r>
    </w:p>
    <w:p>
      <w:pPr>
        <w:spacing w:after="0" w:line="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2017</w:t>
            </w:r>
          </w:p>
        </w:tc>
        <w:tc>
          <w:tcPr>
            <w:tcW w:w="5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2016</w:t>
            </w:r>
          </w:p>
        </w:tc>
      </w:tr>
      <w:tr>
        <w:trPr>
          <w:trHeight w:val="256"/>
        </w:trPr>
        <w:tc>
          <w:tcPr>
            <w:tcW w:w="340" w:type="dxa"/>
            <w:vAlign w:val="bottom"/>
          </w:tcPr>
          <w:p>
            <w:pPr>
              <w:spacing w:after="0"/>
              <w:rPr>
                <w:sz w:val="22"/>
                <w:szCs w:val="22"/>
                <w:color w:val="auto"/>
              </w:rPr>
            </w:pPr>
          </w:p>
        </w:tc>
        <w:tc>
          <w:tcPr>
            <w:tcW w:w="3120" w:type="dxa"/>
            <w:vAlign w:val="bottom"/>
            <w:gridSpan w:val="3"/>
          </w:tcPr>
          <w:p>
            <w:pPr>
              <w:jc w:val="right"/>
              <w:ind w:right="721"/>
              <w:spacing w:after="0"/>
              <w:rPr>
                <w:sz w:val="20"/>
                <w:szCs w:val="20"/>
                <w:color w:val="auto"/>
              </w:rPr>
            </w:pPr>
            <w:r>
              <w:rPr>
                <w:rFonts w:ascii="Times New Roman" w:cs="Times New Roman" w:eastAsia="Times New Roman" w:hAnsi="Times New Roman"/>
                <w:sz w:val="20"/>
                <w:szCs w:val="20"/>
                <w:i w:val="1"/>
                <w:iCs w:val="1"/>
                <w:color w:val="auto"/>
              </w:rPr>
              <w:t>(Dollars in Thousands)</w:t>
            </w:r>
          </w:p>
        </w:tc>
      </w:tr>
      <w:tr>
        <w:trPr>
          <w:trHeight w:val="458"/>
        </w:trPr>
        <w:tc>
          <w:tcPr>
            <w:tcW w:w="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20,339</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24,453</w:t>
            </w:r>
          </w:p>
        </w:tc>
      </w:tr>
      <w:tr>
        <w:trPr>
          <w:trHeight w:val="243"/>
        </w:trPr>
        <w:tc>
          <w:tcPr>
            <w:tcW w:w="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196</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w:t>
            </w:r>
          </w:p>
        </w:tc>
      </w:tr>
      <w:tr>
        <w:trPr>
          <w:trHeight w:val="258"/>
        </w:trPr>
        <w:tc>
          <w:tcPr>
            <w:tcW w:w="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900</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ectPr>
          <w:pgSz w:w="11900" w:h="16838" w:orient="portrait"/>
          <w:cols w:equalWidth="0" w:num="2">
            <w:col w:w="7120" w:space="720"/>
            <w:col w:w="3580"/>
          </w:cols>
          <w:pgMar w:left="240" w:top="118" w:right="2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Page 23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38" w:lineRule="exact"/>
        <w:rPr>
          <w:sz w:val="20"/>
          <w:szCs w:val="20"/>
          <w:color w:val="auto"/>
        </w:rPr>
      </w:pPr>
    </w:p>
    <w:p>
      <w:pPr>
        <w:ind w:left="380" w:right="5800" w:hanging="372"/>
        <w:spacing w:after="0" w:line="419" w:lineRule="auto"/>
        <w:tabs>
          <w:tab w:leader="none" w:pos="378"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Supplemental Cash Flow Information (continued) </w:t>
      </w:r>
      <w:r>
        <w:rPr>
          <w:rFonts w:ascii="Times New Roman" w:cs="Times New Roman" w:eastAsia="Times New Roman" w:hAnsi="Times New Roman"/>
          <w:sz w:val="19"/>
          <w:szCs w:val="19"/>
          <w:color w:val="auto"/>
        </w:rPr>
        <w:t>Supplemental disclosures of cash flow information are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4"/>
          </w:tcPr>
          <w:p>
            <w:pPr>
              <w:jc w:val="center"/>
              <w:ind w:right="480"/>
              <w:spacing w:after="0"/>
              <w:rPr>
                <w:sz w:val="20"/>
                <w:szCs w:val="20"/>
                <w:color w:val="auto"/>
              </w:rPr>
            </w:pPr>
            <w:r>
              <w:rPr>
                <w:rFonts w:ascii="Times New Roman" w:cs="Times New Roman" w:eastAsia="Times New Roman" w:hAnsi="Times New Roman"/>
                <w:sz w:val="20"/>
                <w:szCs w:val="20"/>
                <w:color w:val="auto"/>
                <w:w w:val="98"/>
              </w:rPr>
              <w:t>Nine-Months Ended</w:t>
            </w:r>
          </w:p>
        </w:tc>
      </w:tr>
      <w:tr>
        <w:trPr>
          <w:trHeight w:val="252"/>
        </w:trPr>
        <w:tc>
          <w:tcPr>
            <w:tcW w:w="50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2"/>
          </w:tcPr>
          <w:p>
            <w:pPr>
              <w:jc w:val="center"/>
              <w:ind w:left="641"/>
              <w:spacing w:after="0"/>
              <w:rPr>
                <w:sz w:val="20"/>
                <w:szCs w:val="20"/>
                <w:color w:val="auto"/>
              </w:rPr>
            </w:pPr>
            <w:r>
              <w:rPr>
                <w:rFonts w:ascii="Times New Roman" w:cs="Times New Roman" w:eastAsia="Times New Roman" w:hAnsi="Times New Roman"/>
                <w:sz w:val="20"/>
                <w:szCs w:val="20"/>
                <w:color w:val="auto"/>
                <w:w w:val="98"/>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5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2017</w:t>
            </w: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0"/>
                <w:szCs w:val="20"/>
                <w:color w:val="auto"/>
              </w:rPr>
            </w:pPr>
          </w:p>
        </w:tc>
      </w:tr>
      <w:tr>
        <w:trPr>
          <w:trHeight w:val="237"/>
        </w:trPr>
        <w:tc>
          <w:tcPr>
            <w:tcW w:w="5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3"/>
          </w:tcPr>
          <w:p>
            <w:pPr>
              <w:jc w:val="center"/>
              <w:ind w:right="261"/>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0" w:type="dxa"/>
            <w:vAlign w:val="bottom"/>
          </w:tcPr>
          <w:p>
            <w:pPr>
              <w:spacing w:after="0"/>
              <w:rPr>
                <w:sz w:val="20"/>
                <w:szCs w:val="20"/>
                <w:color w:val="auto"/>
              </w:rPr>
            </w:pPr>
          </w:p>
        </w:tc>
      </w:tr>
      <w:tr>
        <w:trPr>
          <w:trHeight w:val="24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Cash paid for interest</w:t>
            </w:r>
          </w:p>
        </w:tc>
        <w:tc>
          <w:tcPr>
            <w:tcW w:w="3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49,564</w:t>
            </w:r>
          </w:p>
        </w:tc>
        <w:tc>
          <w:tcPr>
            <w:tcW w:w="660" w:type="dxa"/>
            <w:vAlign w:val="bottom"/>
            <w:shd w:val="clear" w:color="auto" w:fill="CFF0FC"/>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48,813</w:t>
            </w:r>
          </w:p>
        </w:tc>
        <w:tc>
          <w:tcPr>
            <w:tcW w:w="120" w:type="dxa"/>
            <w:vAlign w:val="bottom"/>
            <w:shd w:val="clear" w:color="auto" w:fill="CFF0FC"/>
          </w:tcPr>
          <w:p>
            <w:pPr>
              <w:spacing w:after="0"/>
              <w:rPr>
                <w:sz w:val="21"/>
                <w:szCs w:val="21"/>
                <w:color w:val="auto"/>
              </w:rPr>
            </w:pPr>
          </w:p>
        </w:tc>
      </w:tr>
      <w:tr>
        <w:trPr>
          <w:trHeight w:val="25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income taxes</w:t>
            </w:r>
          </w:p>
        </w:tc>
        <w:tc>
          <w:tcPr>
            <w:tcW w:w="3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96,643</w:t>
            </w:r>
          </w:p>
        </w:tc>
        <w:tc>
          <w:tcPr>
            <w:tcW w:w="6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81,589</w:t>
            </w:r>
          </w:p>
        </w:tc>
        <w:tc>
          <w:tcPr>
            <w:tcW w:w="120" w:type="dxa"/>
            <w:vAlign w:val="bottom"/>
          </w:tcPr>
          <w:p>
            <w:pPr>
              <w:spacing w:after="0"/>
              <w:rPr>
                <w:sz w:val="22"/>
                <w:szCs w:val="22"/>
                <w:color w:val="auto"/>
              </w:rPr>
            </w:pPr>
          </w:p>
        </w:tc>
      </w:tr>
    </w:tbl>
    <w:p>
      <w:pPr>
        <w:spacing w:after="0" w:line="214"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w:t>
      </w:r>
    </w:p>
    <w:p>
      <w:pPr>
        <w:spacing w:after="0" w:line="111" w:lineRule="exact"/>
        <w:rPr>
          <w:rFonts w:ascii="Times New Roman" w:cs="Times New Roman" w:eastAsia="Times New Roman" w:hAnsi="Times New Roman"/>
          <w:sz w:val="20"/>
          <w:szCs w:val="20"/>
          <w:b w:val="1"/>
          <w:bCs w:val="1"/>
          <w:color w:val="auto"/>
        </w:rPr>
      </w:pPr>
    </w:p>
    <w:p>
      <w:pPr>
        <w:jc w:val="both"/>
        <w:ind w:left="38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first quarter 2016, the Company acquired the outstanding stock of Rocky Mountain Materials and Asphalt, Inc., and Rocky Mountain Premix Inc. The acquisition provides more than 500 million tons of mineral reserves and expands the Company’s presence along the Front Range of the Rocky Mountains, home to 80% of Colorado’s population. The acquired operations are reported through the West Group.</w:t>
      </w:r>
    </w:p>
    <w:p>
      <w:pPr>
        <w:spacing w:after="0" w:line="71" w:lineRule="exact"/>
        <w:rPr>
          <w:rFonts w:ascii="Times New Roman" w:cs="Times New Roman" w:eastAsia="Times New Roman" w:hAnsi="Times New Roman"/>
          <w:sz w:val="20"/>
          <w:szCs w:val="20"/>
          <w:b w:val="1"/>
          <w:bCs w:val="1"/>
          <w:color w:val="auto"/>
        </w:rPr>
      </w:pPr>
    </w:p>
    <w:p>
      <w:pPr>
        <w:jc w:val="both"/>
        <w:ind w:left="38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July 2016, the Company acquired the remaining interest in Ratliff Ready-Mix, L.P. (Ratliff), which operates ready mixed concrete plants in central Texas. Prior to the acquisition, the Company owned a 40% interest in Ratliff which was accounted for under the equity method. The Company was required to re-measure the existing 40% interest to fair value upon closing of the transaction, resulting in a gain of $5,863,000, which was recorded in other nonoperating income in third quarter 2016. These operations are reported in the West Group.</w:t>
      </w:r>
    </w:p>
    <w:p>
      <w:pPr>
        <w:spacing w:after="0" w:line="72" w:lineRule="exact"/>
        <w:rPr>
          <w:rFonts w:ascii="Times New Roman" w:cs="Times New Roman" w:eastAsia="Times New Roman" w:hAnsi="Times New Roman"/>
          <w:sz w:val="20"/>
          <w:szCs w:val="20"/>
          <w:b w:val="1"/>
          <w:bCs w:val="1"/>
          <w:color w:val="auto"/>
        </w:rPr>
      </w:pPr>
    </w:p>
    <w:p>
      <w:pPr>
        <w:ind w:left="38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impact of these acquisitions on the operating results was not considered material; therefore, pro forma financial information is not included.</w:t>
      </w:r>
    </w:p>
    <w:p>
      <w:pPr>
        <w:spacing w:after="0" w:line="155"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Pending Acquisition of Bluegrass Materials</w:t>
      </w:r>
    </w:p>
    <w:p>
      <w:pPr>
        <w:spacing w:after="0" w:line="111" w:lineRule="exact"/>
        <w:rPr>
          <w:rFonts w:ascii="Times New Roman" w:cs="Times New Roman" w:eastAsia="Times New Roman" w:hAnsi="Times New Roman"/>
          <w:sz w:val="20"/>
          <w:szCs w:val="20"/>
          <w:b w:val="1"/>
          <w:bCs w:val="1"/>
          <w:color w:val="auto"/>
        </w:rPr>
      </w:pPr>
    </w:p>
    <w:p>
      <w:pPr>
        <w:jc w:val="both"/>
        <w:ind w:left="38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June 26, 2017, the Company announced a definitive agreement to acquire Bluegrass Materials Company (Bluegrass) for $1,625,000,000 in cash. The Company will not acquire any of Bluegrass’ cash and cash equivalents nor will it assume any of Bluegrass’ outstanding debt. Bluegrass is the largest privately held, pure-play aggregates business in the United States and has a portfolio of 23 active sites with more than 125 years of strategically-located, high-quality reserves, in Georgia, South Carolina, Tennessee, Maryland and Kentucky. These operations complement the Company’s existing southeastern footprint and provides a new growth platform within the southern portion of the Northeast Megaregion. The Company and Bluegrass are continuing to work closely and cooperatively with the Department of Justice in its review of the proposed transaction. The parties currently anticipate that the proposed acquisition will be completed in the first half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24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OVERVIEW</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Martin Marietta Materials, Inc. (the Company or Martin Marietta) is a leading supplier of building materials, including aggregates, cement, ready mixed concrete and asphalt and paving (collectively herein referred to as the Building Materials business). The aggregates product line is sold and shipped from a network of more than 270 quarries and distribution facilities in 26 states, Nova Scotia and the Bahamas. The cement, ready mixed concrete and asphalt and paving product lines are located in strategic, vertically-integrated markets, predominantly Texas and Colorado. The Company’s annual consolidated net sales and earnings from operations are predominantly derived from its Building Materials business which sells to all sectors of public infrastructure, environmental industries, nonresidential and residential construction industries, as well as agriculture, railroad ballast, chemical, utility and other uses. The Building Materials business’ products are used primarily by commercial customers principally in domestic construction of highways and other infrastructure projects and for nonresidential and residential building development.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January 1, 2017, the Company reorganized the operations and management reporting structure of its Texas-based aggregates, ready mixed concrete and cement product lines, resulting in a change to its reportable segments. The Company currently conducts its Building Materials business through three reportable business segments: Mid-America Group, Southeast Group and West Group.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BUILDING MATERIALS BUSINESS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Reportable Segments</w:t>
            </w:r>
          </w:p>
        </w:tc>
        <w:tc>
          <w:tcPr>
            <w:tcW w:w="452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9"/>
              </w:rPr>
              <w:t>Mid-America Group</w:t>
            </w:r>
          </w:p>
        </w:tc>
        <w:tc>
          <w:tcPr>
            <w:tcW w:w="18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Southeast Group</w:t>
            </w: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West Group</w:t>
            </w:r>
          </w:p>
        </w:tc>
      </w:tr>
      <w:tr>
        <w:trPr>
          <w:trHeight w:val="200"/>
        </w:trPr>
        <w:tc>
          <w:tcPr>
            <w:tcW w:w="170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Operating Locations</w:t>
            </w:r>
          </w:p>
        </w:tc>
        <w:tc>
          <w:tcPr>
            <w:tcW w:w="100" w:type="dxa"/>
            <w:vAlign w:val="bottom"/>
          </w:tcPr>
          <w:p>
            <w:pPr>
              <w:spacing w:after="0"/>
              <w:rPr>
                <w:sz w:val="17"/>
                <w:szCs w:val="17"/>
                <w:color w:val="auto"/>
              </w:rPr>
            </w:pPr>
          </w:p>
        </w:tc>
        <w:tc>
          <w:tcPr>
            <w:tcW w:w="440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Indiana, Iowa, northern Kansas, Kentucky, Maryland,</w:t>
            </w:r>
          </w:p>
        </w:tc>
        <w:tc>
          <w:tcPr>
            <w:tcW w:w="120" w:type="dxa"/>
            <w:vAlign w:val="bottom"/>
          </w:tcPr>
          <w:p>
            <w:pPr>
              <w:spacing w:after="0"/>
              <w:rPr>
                <w:sz w:val="17"/>
                <w:szCs w:val="17"/>
                <w:color w:val="auto"/>
              </w:rPr>
            </w:pPr>
          </w:p>
        </w:tc>
        <w:tc>
          <w:tcPr>
            <w:tcW w:w="174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Alabama, Florida,</w:t>
            </w:r>
          </w:p>
        </w:tc>
        <w:tc>
          <w:tcPr>
            <w:tcW w:w="100" w:type="dxa"/>
            <w:vAlign w:val="bottom"/>
          </w:tcPr>
          <w:p>
            <w:pPr>
              <w:spacing w:after="0"/>
              <w:rPr>
                <w:sz w:val="17"/>
                <w:szCs w:val="17"/>
                <w:color w:val="auto"/>
              </w:rPr>
            </w:pPr>
          </w:p>
        </w:tc>
        <w:tc>
          <w:tcPr>
            <w:tcW w:w="326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Arkansas, Colorado, southern Kansas,</w:t>
            </w: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Minnesota, Missouri, eastern Nebraska, North</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Georgia, Tennessee,</w:t>
            </w: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Louisiana, western Nebraska, Nevada,</w:t>
            </w: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Carolina, Ohio, South Carolina, Virginia, Washington</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Nova Scotia and the</w:t>
            </w: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Oklahoma, Texas, Utah and Wyoming</w:t>
            </w:r>
          </w:p>
        </w:tc>
      </w:tr>
      <w:tr>
        <w:trPr>
          <w:trHeight w:val="258"/>
        </w:trPr>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6"/>
              </w:rPr>
              <w:t>and West Virginia</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Bahamas</w:t>
            </w:r>
          </w:p>
        </w:tc>
        <w:tc>
          <w:tcPr>
            <w:tcW w:w="3260" w:type="dxa"/>
            <w:vAlign w:val="bottom"/>
          </w:tcPr>
          <w:p>
            <w:pPr>
              <w:spacing w:after="0"/>
              <w:rPr>
                <w:sz w:val="22"/>
                <w:szCs w:val="22"/>
                <w:color w:val="auto"/>
              </w:rPr>
            </w:pPr>
          </w:p>
        </w:tc>
      </w:tr>
      <w:tr>
        <w:trPr>
          <w:trHeight w:val="430"/>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Product Lines</w:t>
            </w:r>
          </w:p>
        </w:tc>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Aggregates (crushed stone, sand and gravel)</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9"/>
              </w:rPr>
              <w:t>Aggregates (crushed</w:t>
            </w: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Aggregates (crushed stone, sand and</w:t>
            </w: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stone, sand and</w:t>
            </w: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gravel), cement (Portland and specialty</w:t>
            </w:r>
          </w:p>
        </w:tc>
      </w:tr>
      <w:tr>
        <w:trPr>
          <w:trHeight w:val="23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gravel)</w:t>
            </w: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cements), ready mixed concrete and</w:t>
            </w:r>
          </w:p>
        </w:tc>
      </w:tr>
      <w:tr>
        <w:trPr>
          <w:trHeight w:val="258"/>
        </w:trPr>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asphalt and paving</w:t>
            </w:r>
          </w:p>
        </w:tc>
      </w:tr>
      <w:tr>
        <w:trPr>
          <w:trHeight w:val="430"/>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Plant Types</w:t>
            </w:r>
          </w:p>
        </w:tc>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9"/>
              </w:rPr>
              <w:t>Quarries and Distribution Facilities</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Quarries and</w:t>
            </w: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Quarries, Plants and</w:t>
            </w:r>
          </w:p>
        </w:tc>
      </w:tr>
      <w:tr>
        <w:trPr>
          <w:trHeight w:val="258"/>
        </w:trPr>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9"/>
              </w:rPr>
              <w:t>Distribution Facilities</w:t>
            </w: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Distribution Facilities</w:t>
            </w:r>
          </w:p>
        </w:tc>
      </w:tr>
      <w:tr>
        <w:trPr>
          <w:trHeight w:val="444"/>
        </w:trPr>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Modes of</w:t>
            </w:r>
          </w:p>
        </w:tc>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Truck and Rail</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7"/>
              </w:rPr>
              <w:t>Truck, Rail and</w:t>
            </w:r>
          </w:p>
        </w:tc>
        <w:tc>
          <w:tcPr>
            <w:tcW w:w="3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Truck and Rail</w:t>
            </w:r>
          </w:p>
        </w:tc>
      </w:tr>
      <w:tr>
        <w:trPr>
          <w:trHeight w:val="258"/>
        </w:trPr>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Transportation</w:t>
            </w:r>
          </w:p>
        </w:tc>
        <w:tc>
          <w:tcPr>
            <w:tcW w:w="4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4"/>
              </w:rPr>
              <w:t>Water</w:t>
            </w:r>
          </w:p>
        </w:tc>
        <w:tc>
          <w:tcPr>
            <w:tcW w:w="3260" w:type="dxa"/>
            <w:vAlign w:val="bottom"/>
          </w:tcPr>
          <w:p>
            <w:pPr>
              <w:spacing w:after="0"/>
              <w:rPr>
                <w:sz w:val="22"/>
                <w:szCs w:val="22"/>
                <w:color w:val="auto"/>
              </w:rPr>
            </w:pPr>
          </w:p>
        </w:tc>
      </w:tr>
    </w:tbl>
    <w:p>
      <w:pPr>
        <w:spacing w:after="0" w:line="2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also has a Magnesia Specialties segment that produces magnesia-based chemicals products used in industrial, agricultural and environmental applications and dolomitic lime sold primarily to customers in the steel industry.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25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CRITICAL ACCOUNTING POLICIES</w:t>
      </w:r>
    </w:p>
    <w:p>
      <w:pPr>
        <w:spacing w:after="0" w:line="1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outlined its critical accounting policies in its Annual Report on Form 10-K for the year ended December 31, 2016. There were no changes to the Company’s critical accounting policies during the nine-months ended September 30, 2017.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RESULTS OF OPERATIONS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shipments, production and profitability in all markets served by the Company. Because of the potentially significant impact of weather on the Company’s operations, current period and year-to-date results are not indicative of expected performance for other interim periods or the full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references to gross margin are calculated as a percentage of total revenues.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Earnings before interest, income taxes, depreciation, depletion and amortization (EBITDA) is a widely accepted financial indicator of a company’s ability to service and/or incur indebtedness. EBITDA is not defined by generally accepted accounting principles and, as such, should not be construed as an alternative to net earnings, operating earnings or operating cash flow. However, the Company’s management believes that EBITDA may provide additional information with respect to the Company’s performance or ability to meet its future debt service, capital expenditures or working capital requirements. Because EBITDA exclude some, but not all, items that affect net earnings and may vary among companies, the EBITDA presented by the Company may not be comparable to similarly titled measures of other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net earnings attributable to Martin Marietta Materials, Inc. to consolidated EBITDA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right"/>
              <w:ind w:right="341"/>
              <w:spacing w:after="0"/>
              <w:rPr>
                <w:sz w:val="20"/>
                <w:szCs w:val="20"/>
                <w:color w:val="auto"/>
              </w:rPr>
            </w:pPr>
            <w:r>
              <w:rPr>
                <w:rFonts w:ascii="Times New Roman" w:cs="Times New Roman" w:eastAsia="Times New Roman" w:hAnsi="Times New Roman"/>
                <w:sz w:val="20"/>
                <w:szCs w:val="20"/>
                <w:color w:val="auto"/>
              </w:rPr>
              <w:t>Three-Months Ended</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340"/>
              <w:spacing w:after="0"/>
              <w:rPr>
                <w:sz w:val="20"/>
                <w:szCs w:val="20"/>
                <w:color w:val="auto"/>
              </w:rPr>
            </w:pPr>
            <w:r>
              <w:rPr>
                <w:rFonts w:ascii="Times New Roman" w:cs="Times New Roman" w:eastAsia="Times New Roman" w:hAnsi="Times New Roman"/>
                <w:sz w:val="20"/>
                <w:szCs w:val="20"/>
                <w:color w:val="auto"/>
                <w:w w:val="98"/>
              </w:rPr>
              <w:t>Nine-Months Ended</w:t>
            </w:r>
          </w:p>
        </w:tc>
      </w:tr>
      <w:tr>
        <w:trPr>
          <w:trHeight w:val="252"/>
        </w:trPr>
        <w:tc>
          <w:tcPr>
            <w:tcW w:w="5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right"/>
              <w:ind w:right="601"/>
              <w:spacing w:after="0"/>
              <w:rPr>
                <w:sz w:val="20"/>
                <w:szCs w:val="20"/>
                <w:color w:val="auto"/>
              </w:rPr>
            </w:pPr>
            <w:r>
              <w:rPr>
                <w:rFonts w:ascii="Times New Roman" w:cs="Times New Roman" w:eastAsia="Times New Roman" w:hAnsi="Times New Roman"/>
                <w:sz w:val="20"/>
                <w:szCs w:val="20"/>
                <w:color w:val="auto"/>
              </w:rPr>
              <w:t>September 30,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20"/>
                <w:szCs w:val="20"/>
                <w:color w:val="auto"/>
                <w:w w:val="98"/>
              </w:rPr>
              <w:t>September 30,</w:t>
            </w:r>
          </w:p>
        </w:tc>
      </w:tr>
      <w:tr>
        <w:trPr>
          <w:trHeight w:val="237"/>
        </w:trPr>
        <w:tc>
          <w:tcPr>
            <w:tcW w:w="59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2017</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2016</w:t>
            </w:r>
          </w:p>
        </w:tc>
        <w:tc>
          <w:tcPr>
            <w:tcW w:w="26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2017</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jc w:val="right"/>
              <w:ind w:right="640"/>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Earnings Attributable to Martin Marietta Materials, Inc.</w:t>
            </w:r>
          </w:p>
        </w:tc>
        <w:tc>
          <w:tcPr>
            <w:tcW w:w="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151,546</w:t>
            </w:r>
          </w:p>
        </w:tc>
        <w:tc>
          <w:tcPr>
            <w:tcW w:w="4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159,479</w:t>
            </w:r>
          </w:p>
        </w:tc>
        <w:tc>
          <w:tcPr>
            <w:tcW w:w="4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336,159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326,526</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Add back:</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23,141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20,568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68,037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60,896</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Income tax expense for controlling interests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52,744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70,850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119,247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143,923</w:t>
            </w:r>
          </w:p>
        </w:tc>
        <w:tc>
          <w:tcPr>
            <w:tcW w:w="100" w:type="dxa"/>
            <w:vAlign w:val="bottom"/>
          </w:tcPr>
          <w:p>
            <w:pPr>
              <w:spacing w:after="0"/>
              <w:rPr>
                <w:sz w:val="21"/>
                <w:szCs w:val="21"/>
                <w:color w:val="auto"/>
              </w:rPr>
            </w:pPr>
          </w:p>
        </w:tc>
      </w:tr>
      <w:tr>
        <w:trPr>
          <w:trHeight w:val="243"/>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Depreciation, depletion and amortization expense</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74,531</w:t>
            </w:r>
          </w:p>
        </w:tc>
        <w:tc>
          <w:tcPr>
            <w:tcW w:w="2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71,899</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218,531</w:t>
            </w:r>
          </w:p>
        </w:tc>
        <w:tc>
          <w:tcPr>
            <w:tcW w:w="2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210,553</w:t>
            </w:r>
          </w:p>
        </w:tc>
        <w:tc>
          <w:tcPr>
            <w:tcW w:w="100" w:type="dxa"/>
            <w:vAlign w:val="bottom"/>
            <w:shd w:val="clear" w:color="auto" w:fill="CFF0FC"/>
          </w:tcPr>
          <w:p>
            <w:pPr>
              <w:spacing w:after="0"/>
              <w:rPr>
                <w:sz w:val="21"/>
                <w:szCs w:val="21"/>
                <w:color w:val="auto"/>
              </w:rPr>
            </w:pP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EBITDA</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301,962</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322,796</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741,974</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741,898</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26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items for the quarter ended September 30, 2017 (unless noted, all comparisons are versus the prior-year quarter):</w:t>
      </w:r>
    </w:p>
    <w:p>
      <w:pPr>
        <w:spacing w:after="0" w:line="54"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net sales of $1.02 billion compared with $1.04 billion</w:t>
      </w:r>
    </w:p>
    <w:p>
      <w:pPr>
        <w:spacing w:after="0" w:line="52" w:lineRule="exact"/>
        <w:rPr>
          <w:rFonts w:ascii="Arial" w:cs="Arial" w:eastAsia="Arial" w:hAnsi="Arial"/>
          <w:sz w:val="20"/>
          <w:szCs w:val="20"/>
          <w:color w:val="007DC6"/>
        </w:rPr>
      </w:pPr>
    </w:p>
    <w:p>
      <w:pPr>
        <w:ind w:left="760" w:hanging="374"/>
        <w:spacing w:after="0" w:line="263" w:lineRule="auto"/>
        <w:tabs>
          <w:tab w:leader="none" w:pos="760" w:val="left"/>
        </w:tabs>
        <w:numPr>
          <w:ilvl w:val="0"/>
          <w:numId w:val="23"/>
        </w:numPr>
        <w:rPr>
          <w:rFonts w:ascii="Arial" w:cs="Arial" w:eastAsia="Arial" w:hAnsi="Arial"/>
          <w:sz w:val="20"/>
          <w:szCs w:val="20"/>
          <w:color w:val="007DC6"/>
        </w:rPr>
      </w:pPr>
      <w:r>
        <w:rPr>
          <w:rFonts w:ascii="Times New Roman" w:cs="Times New Roman" w:eastAsia="Times New Roman" w:hAnsi="Times New Roman"/>
          <w:sz w:val="20"/>
          <w:szCs w:val="20"/>
          <w:color w:val="auto"/>
        </w:rPr>
        <w:t>Building Materials business net sales of $963.6 million compared with $978.1 million and Magnesia Specialties net sales of $58.5 million compared with $60.2 million</w:t>
      </w:r>
    </w:p>
    <w:p>
      <w:pPr>
        <w:spacing w:after="0" w:line="8" w:lineRule="exact"/>
        <w:rPr>
          <w:rFonts w:ascii="Arial" w:cs="Arial" w:eastAsia="Arial" w:hAnsi="Arial"/>
          <w:sz w:val="20"/>
          <w:szCs w:val="20"/>
          <w:color w:val="007DC6"/>
        </w:rPr>
      </w:pPr>
    </w:p>
    <w:p>
      <w:pPr>
        <w:ind w:left="760" w:hanging="374"/>
        <w:spacing w:after="0"/>
        <w:tabs>
          <w:tab w:leader="none" w:pos="760" w:val="left"/>
        </w:tabs>
        <w:numPr>
          <w:ilvl w:val="0"/>
          <w:numId w:val="23"/>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total revenues of $1.09 billion compared with $1.10 billion</w:t>
      </w:r>
    </w:p>
    <w:p>
      <w:pPr>
        <w:spacing w:after="0" w:line="52" w:lineRule="exact"/>
        <w:rPr>
          <w:rFonts w:ascii="Arial" w:cs="Arial" w:eastAsia="Arial" w:hAnsi="Arial"/>
          <w:sz w:val="20"/>
          <w:szCs w:val="20"/>
          <w:color w:val="007DC6"/>
        </w:rPr>
      </w:pPr>
    </w:p>
    <w:p>
      <w:pPr>
        <w:ind w:left="760" w:hanging="374"/>
        <w:spacing w:after="0"/>
        <w:tabs>
          <w:tab w:leader="none" w:pos="760" w:val="left"/>
        </w:tabs>
        <w:numPr>
          <w:ilvl w:val="0"/>
          <w:numId w:val="23"/>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gross profit of $291.7 million compared with $293.3 million</w:t>
      </w:r>
    </w:p>
    <w:p>
      <w:pPr>
        <w:spacing w:after="0" w:line="52" w:lineRule="exact"/>
        <w:rPr>
          <w:rFonts w:ascii="Arial" w:cs="Arial" w:eastAsia="Arial" w:hAnsi="Arial"/>
          <w:sz w:val="20"/>
          <w:szCs w:val="20"/>
          <w:color w:val="007DC6"/>
        </w:rPr>
      </w:pPr>
    </w:p>
    <w:p>
      <w:pPr>
        <w:ind w:left="760" w:hanging="374"/>
        <w:spacing w:after="0"/>
        <w:tabs>
          <w:tab w:leader="none" w:pos="760" w:val="left"/>
        </w:tabs>
        <w:numPr>
          <w:ilvl w:val="0"/>
          <w:numId w:val="23"/>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earnings from operations of $227.0 million compared with $242.7 million</w:t>
      </w:r>
    </w:p>
    <w:p>
      <w:pPr>
        <w:spacing w:after="0" w:line="52" w:lineRule="exact"/>
        <w:rPr>
          <w:rFonts w:ascii="Arial" w:cs="Arial" w:eastAsia="Arial" w:hAnsi="Arial"/>
          <w:sz w:val="20"/>
          <w:szCs w:val="20"/>
          <w:color w:val="007DC6"/>
        </w:rPr>
      </w:pPr>
    </w:p>
    <w:p>
      <w:pPr>
        <w:ind w:left="760" w:hanging="374"/>
        <w:spacing w:after="0"/>
        <w:tabs>
          <w:tab w:leader="none" w:pos="760" w:val="left"/>
        </w:tabs>
        <w:numPr>
          <w:ilvl w:val="0"/>
          <w:numId w:val="23"/>
        </w:numPr>
        <w:rPr>
          <w:rFonts w:ascii="Arial" w:cs="Arial" w:eastAsia="Arial" w:hAnsi="Arial"/>
          <w:sz w:val="20"/>
          <w:szCs w:val="20"/>
          <w:color w:val="007DC6"/>
        </w:rPr>
      </w:pPr>
      <w:r>
        <w:rPr>
          <w:rFonts w:ascii="Times New Roman" w:cs="Times New Roman" w:eastAsia="Times New Roman" w:hAnsi="Times New Roman"/>
          <w:sz w:val="20"/>
          <w:szCs w:val="20"/>
          <w:color w:val="auto"/>
        </w:rPr>
        <w:t>Net earnings attributable to Martin Marietta of $151.5 million compared with $159.5 million</w:t>
      </w:r>
    </w:p>
    <w:p>
      <w:pPr>
        <w:spacing w:after="0" w:line="52" w:lineRule="exact"/>
        <w:rPr>
          <w:rFonts w:ascii="Arial" w:cs="Arial" w:eastAsia="Arial" w:hAnsi="Arial"/>
          <w:sz w:val="20"/>
          <w:szCs w:val="20"/>
          <w:color w:val="007DC6"/>
        </w:rPr>
      </w:pPr>
    </w:p>
    <w:p>
      <w:pPr>
        <w:ind w:left="760" w:hanging="374"/>
        <w:spacing w:after="0"/>
        <w:tabs>
          <w:tab w:leader="none" w:pos="760" w:val="left"/>
        </w:tabs>
        <w:numPr>
          <w:ilvl w:val="0"/>
          <w:numId w:val="23"/>
        </w:numPr>
        <w:rPr>
          <w:rFonts w:ascii="Arial" w:cs="Arial" w:eastAsia="Arial" w:hAnsi="Arial"/>
          <w:sz w:val="20"/>
          <w:szCs w:val="20"/>
          <w:color w:val="007DC6"/>
        </w:rPr>
      </w:pPr>
      <w:r>
        <w:rPr>
          <w:rFonts w:ascii="Times New Roman" w:cs="Times New Roman" w:eastAsia="Times New Roman" w:hAnsi="Times New Roman"/>
          <w:sz w:val="20"/>
          <w:szCs w:val="20"/>
          <w:color w:val="auto"/>
        </w:rPr>
        <w:t>EBITDA of $302.0 million compared with $322.8 million</w:t>
      </w:r>
    </w:p>
    <w:p>
      <w:pPr>
        <w:spacing w:after="0" w:line="52" w:lineRule="exact"/>
        <w:rPr>
          <w:rFonts w:ascii="Arial" w:cs="Arial" w:eastAsia="Arial" w:hAnsi="Arial"/>
          <w:sz w:val="20"/>
          <w:szCs w:val="20"/>
          <w:color w:val="007DC6"/>
        </w:rPr>
      </w:pPr>
    </w:p>
    <w:p>
      <w:pPr>
        <w:ind w:left="760" w:hanging="374"/>
        <w:spacing w:after="0"/>
        <w:tabs>
          <w:tab w:leader="none" w:pos="760" w:val="left"/>
        </w:tabs>
        <w:numPr>
          <w:ilvl w:val="0"/>
          <w:numId w:val="23"/>
        </w:numPr>
        <w:rPr>
          <w:rFonts w:ascii="Arial" w:cs="Arial" w:eastAsia="Arial" w:hAnsi="Arial"/>
          <w:sz w:val="20"/>
          <w:szCs w:val="20"/>
          <w:color w:val="007DC6"/>
        </w:rPr>
      </w:pPr>
      <w:r>
        <w:rPr>
          <w:rFonts w:ascii="Times New Roman" w:cs="Times New Roman" w:eastAsia="Times New Roman" w:hAnsi="Times New Roman"/>
          <w:sz w:val="20"/>
          <w:szCs w:val="20"/>
          <w:color w:val="auto"/>
        </w:rPr>
        <w:t>Earnings per diluted share of $2.39 compared with $2.49</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following table presents total revenues, gross profit (loss), selling, general and administrative expenses and earnings (loss) from operations data for the Company and its reportable segments for the three-months ended September 30, 2017 and 2016. In each case, the data is stated as a percentage of total revenues of the Company or the relevant segment, as the case may be. Prior-year information has been reclassified to conform to the presentation of the Company’s current reportable segments and for the adoption of the accounting pronouncement discussed in Note 1 of the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20"/>
                <w:szCs w:val="20"/>
                <w:color w:val="auto"/>
                <w:w w:val="98"/>
              </w:rPr>
              <w:t>Three-Months Ended September 30,</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1241"/>
              <w:spacing w:after="0"/>
              <w:rPr>
                <w:sz w:val="20"/>
                <w:szCs w:val="20"/>
                <w:color w:val="auto"/>
              </w:rPr>
            </w:pPr>
            <w:r>
              <w:rPr>
                <w:rFonts w:ascii="Times New Roman" w:cs="Times New Roman" w:eastAsia="Times New Roman" w:hAnsi="Times New Roman"/>
                <w:sz w:val="20"/>
                <w:szCs w:val="20"/>
                <w:color w:val="auto"/>
              </w:rPr>
              <w:t>2017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2016</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3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jc w:val="center"/>
              <w:ind w:left="221"/>
              <w:spacing w:after="0" w:line="214" w:lineRule="exact"/>
              <w:rPr>
                <w:sz w:val="20"/>
                <w:szCs w:val="20"/>
                <w:color w:val="auto"/>
              </w:rPr>
            </w:pPr>
            <w:r>
              <w:rPr>
                <w:rFonts w:ascii="Times New Roman" w:cs="Times New Roman" w:eastAsia="Times New Roman" w:hAnsi="Times New Roman"/>
                <w:sz w:val="20"/>
                <w:szCs w:val="20"/>
                <w:color w:val="auto"/>
                <w:w w:val="98"/>
              </w:rPr>
              <w:t>% of Total</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center"/>
              <w:ind w:right="81"/>
              <w:spacing w:after="0" w:line="214" w:lineRule="exact"/>
              <w:rPr>
                <w:sz w:val="20"/>
                <w:szCs w:val="20"/>
                <w:color w:val="auto"/>
              </w:rPr>
            </w:pPr>
            <w:r>
              <w:rPr>
                <w:rFonts w:ascii="Times New Roman" w:cs="Times New Roman" w:eastAsia="Times New Roman" w:hAnsi="Times New Roman"/>
                <w:sz w:val="20"/>
                <w:szCs w:val="20"/>
                <w:color w:val="auto"/>
                <w:w w:val="98"/>
              </w:rPr>
              <w:t>% of Total</w:t>
            </w:r>
          </w:p>
        </w:tc>
        <w:tc>
          <w:tcPr>
            <w:tcW w:w="100" w:type="dxa"/>
            <w:vAlign w:val="bottom"/>
          </w:tcPr>
          <w:p>
            <w:pPr>
              <w:spacing w:after="0"/>
              <w:rPr>
                <w:sz w:val="18"/>
                <w:szCs w:val="18"/>
                <w:color w:val="auto"/>
              </w:rPr>
            </w:pPr>
          </w:p>
        </w:tc>
      </w:tr>
      <w:tr>
        <w:trPr>
          <w:trHeight w:val="252"/>
        </w:trPr>
        <w:tc>
          <w:tcPr>
            <w:tcW w:w="3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Amount</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Revenues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20"/>
                <w:szCs w:val="20"/>
                <w:color w:val="auto"/>
              </w:rPr>
              <w:t>Amount</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Revenues</w:t>
            </w:r>
          </w:p>
        </w:tc>
      </w:tr>
      <w:tr>
        <w:trPr>
          <w:trHeight w:val="237"/>
        </w:trPr>
        <w:tc>
          <w:tcPr>
            <w:tcW w:w="3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Mid-America Group</w:t>
            </w:r>
          </w:p>
        </w:tc>
        <w:tc>
          <w:tcPr>
            <w:tcW w:w="13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308,472</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297,275</w:t>
            </w: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Southeast Group</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94,843</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83,814</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West Group</w:t>
            </w:r>
          </w:p>
        </w:tc>
        <w:tc>
          <w:tcPr>
            <w:tcW w:w="11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620,512</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657,663</w:t>
            </w: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1,023,827</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1,038,752</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11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63,905</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65,149</w:t>
            </w: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16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1,087,732</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1,103,901</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27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20"/>
                <w:szCs w:val="20"/>
                <w:color w:val="auto"/>
                <w:w w:val="98"/>
              </w:rPr>
              <w:t>Three-Months Ended September 30,</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1241"/>
              <w:spacing w:after="0"/>
              <w:rPr>
                <w:sz w:val="20"/>
                <w:szCs w:val="20"/>
                <w:color w:val="auto"/>
              </w:rPr>
            </w:pPr>
            <w:r>
              <w:rPr>
                <w:rFonts w:ascii="Times New Roman" w:cs="Times New Roman" w:eastAsia="Times New Roman" w:hAnsi="Times New Roman"/>
                <w:sz w:val="20"/>
                <w:szCs w:val="20"/>
                <w:color w:val="auto"/>
              </w:rPr>
              <w:t>2017</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2016</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161"/>
              <w:spacing w:after="0" w:line="214" w:lineRule="exact"/>
              <w:rPr>
                <w:sz w:val="20"/>
                <w:szCs w:val="20"/>
                <w:color w:val="auto"/>
              </w:rPr>
            </w:pPr>
            <w:r>
              <w:rPr>
                <w:rFonts w:ascii="Times New Roman" w:cs="Times New Roman" w:eastAsia="Times New Roman" w:hAnsi="Times New Roman"/>
                <w:sz w:val="20"/>
                <w:szCs w:val="20"/>
                <w:color w:val="auto"/>
              </w:rPr>
              <w:t>% of Total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81"/>
              <w:spacing w:after="0" w:line="214" w:lineRule="exact"/>
              <w:rPr>
                <w:sz w:val="20"/>
                <w:szCs w:val="20"/>
                <w:color w:val="auto"/>
              </w:rPr>
            </w:pPr>
            <w:r>
              <w:rPr>
                <w:rFonts w:ascii="Times New Roman" w:cs="Times New Roman" w:eastAsia="Times New Roman" w:hAnsi="Times New Roman"/>
                <w:sz w:val="20"/>
                <w:szCs w:val="20"/>
                <w:color w:val="auto"/>
                <w:w w:val="98"/>
              </w:rPr>
              <w:t>% of 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20"/>
                <w:szCs w:val="20"/>
                <w:color w:val="auto"/>
              </w:rPr>
              <w:t>Amount</w:t>
            </w:r>
          </w:p>
        </w:tc>
        <w:tc>
          <w:tcPr>
            <w:tcW w:w="13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Revenues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right"/>
              <w:ind w:right="800"/>
              <w:spacing w:after="0"/>
              <w:rPr>
                <w:sz w:val="20"/>
                <w:szCs w:val="20"/>
                <w:color w:val="auto"/>
              </w:rPr>
            </w:pPr>
            <w:r>
              <w:rPr>
                <w:rFonts w:ascii="Times New Roman" w:cs="Times New Roman" w:eastAsia="Times New Roman" w:hAnsi="Times New Roman"/>
                <w:sz w:val="20"/>
                <w:szCs w:val="20"/>
                <w:color w:val="auto"/>
              </w:rPr>
              <w:t>Amount</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Revenues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Gross profit (loss):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Mid-America Group</w:t>
            </w:r>
          </w:p>
        </w:tc>
        <w:tc>
          <w:tcPr>
            <w:tcW w:w="9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117,957</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4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103,801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Southeast Group</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18,371</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15,950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West Group</w:t>
            </w:r>
          </w:p>
        </w:tc>
        <w:tc>
          <w:tcPr>
            <w:tcW w:w="6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131,994</w:t>
            </w:r>
          </w:p>
        </w:tc>
        <w:tc>
          <w:tcPr>
            <w:tcW w:w="320" w:type="dxa"/>
            <w:vAlign w:val="bottom"/>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154,045</w:t>
            </w:r>
          </w:p>
        </w:tc>
        <w:tc>
          <w:tcPr>
            <w:tcW w:w="2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268,322</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273,796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19,910</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22,845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Corporate</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3,446</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(3,334)</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6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291,678</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293,307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Selling, general &amp; administrative expenses: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Mid-America Group</w:t>
            </w:r>
          </w:p>
        </w:tc>
        <w:tc>
          <w:tcPr>
            <w:tcW w:w="9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12,671</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4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12,817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Southeast Group</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4,097</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West Group</w:t>
            </w:r>
          </w:p>
        </w:tc>
        <w:tc>
          <w:tcPr>
            <w:tcW w:w="6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24,716</w:t>
            </w:r>
          </w:p>
        </w:tc>
        <w:tc>
          <w:tcPr>
            <w:tcW w:w="320" w:type="dxa"/>
            <w:vAlign w:val="bottom"/>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22,459</w:t>
            </w:r>
          </w:p>
        </w:tc>
        <w:tc>
          <w:tcPr>
            <w:tcW w:w="2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41,484</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39,550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2,329</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2,387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Corporate</w:t>
            </w:r>
          </w:p>
        </w:tc>
        <w:tc>
          <w:tcPr>
            <w:tcW w:w="6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13,406</w:t>
            </w:r>
          </w:p>
        </w:tc>
        <w:tc>
          <w:tcPr>
            <w:tcW w:w="320" w:type="dxa"/>
            <w:vAlign w:val="bottom"/>
            <w:tcBorders>
              <w:bottom w:val="single" w:sz="8" w:color="CFF0FC"/>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12,836</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6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57,219</w:t>
            </w:r>
          </w:p>
        </w:tc>
        <w:tc>
          <w:tcPr>
            <w:tcW w:w="3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54,773</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Earnings (Loss) from operations: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Mid-America Group</w:t>
            </w:r>
          </w:p>
        </w:tc>
        <w:tc>
          <w:tcPr>
            <w:tcW w:w="90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106,235</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4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92,170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Southeast Group</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17,882</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West Group</w:t>
            </w:r>
          </w:p>
        </w:tc>
        <w:tc>
          <w:tcPr>
            <w:tcW w:w="6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96,522</w:t>
            </w:r>
          </w:p>
        </w:tc>
        <w:tc>
          <w:tcPr>
            <w:tcW w:w="320" w:type="dxa"/>
            <w:vAlign w:val="bottom"/>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134,559</w:t>
            </w:r>
          </w:p>
        </w:tc>
        <w:tc>
          <w:tcPr>
            <w:tcW w:w="2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220,639</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238,667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17,590</w:t>
            </w: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20,432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Corporate</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(11,265)</w:t>
            </w: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(16,430)</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6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226,964</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242,669</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28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Building Materials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sales by product line for the Building Materials business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5"/>
          </w:tcPr>
          <w:p>
            <w:pPr>
              <w:jc w:val="center"/>
              <w:ind w:right="480"/>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8"/>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Aggregates</w:t>
            </w:r>
          </w:p>
        </w:tc>
        <w:tc>
          <w:tcPr>
            <w:tcW w:w="290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647,121</w:t>
            </w:r>
          </w:p>
        </w:tc>
        <w:tc>
          <w:tcPr>
            <w:tcW w:w="280" w:type="dxa"/>
            <w:vAlign w:val="bottom"/>
          </w:tcPr>
          <w:p>
            <w:pPr>
              <w:spacing w:after="0"/>
              <w:rPr>
                <w:sz w:val="21"/>
                <w:szCs w:val="21"/>
                <w:color w:val="auto"/>
              </w:rPr>
            </w:pPr>
          </w:p>
        </w:tc>
        <w:tc>
          <w:tcPr>
            <w:tcW w:w="52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637,995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Cement</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91,884</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97,287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Ready Mixed Concrete</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240,456</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Asphalt and Paving</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150,375</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151,141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Less: Interproduct revenues</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(106,009)</w:t>
            </w:r>
          </w:p>
        </w:tc>
        <w:tc>
          <w:tcPr>
            <w:tcW w:w="5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(111,721)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56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1,023,827</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1,038,752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Aggregates</w:t>
            </w:r>
          </w:p>
        </w:tc>
        <w:tc>
          <w:tcPr>
            <w:tcW w:w="290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591,195</w:t>
            </w:r>
          </w:p>
        </w:tc>
        <w:tc>
          <w:tcPr>
            <w:tcW w:w="280" w:type="dxa"/>
            <w:vAlign w:val="bottom"/>
          </w:tcPr>
          <w:p>
            <w:pPr>
              <w:spacing w:after="0"/>
              <w:rPr>
                <w:sz w:val="21"/>
                <w:szCs w:val="21"/>
                <w:color w:val="auto"/>
              </w:rPr>
            </w:pPr>
          </w:p>
        </w:tc>
        <w:tc>
          <w:tcPr>
            <w:tcW w:w="52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581,536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Cement</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88,615</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94,744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Ready Mixed Concrete</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240,216</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263,747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Asphalt and Paving</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149,594</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149,794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Less: Interproduct sales</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(106,009)</w:t>
            </w:r>
          </w:p>
        </w:tc>
        <w:tc>
          <w:tcPr>
            <w:tcW w:w="5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(111,721)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56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963,611</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978,100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volume and pricing variance data and shipments data for the aggregates product line by segment.</w:t>
      </w:r>
    </w:p>
    <w:p>
      <w:pPr>
        <w:spacing w:after="0" w:line="22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20"/>
          <w:szCs w:val="20"/>
          <w:color w:val="auto"/>
        </w:rPr>
        <w:t>Three-Months Ended</w:t>
      </w:r>
    </w:p>
    <w:p>
      <w:pPr>
        <w:spacing w:after="0" w:line="28"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20"/>
          <w:szCs w:val="20"/>
          <w:color w:val="auto"/>
        </w:rPr>
        <w:t>September 30, 2017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00" w:type="dxa"/>
            <w:vAlign w:val="bottom"/>
            <w:tcBorders>
              <w:bottom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Volume</w:t>
            </w:r>
          </w:p>
        </w:tc>
        <w:tc>
          <w:tcPr>
            <w:tcW w:w="4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CFF0FC"/>
            </w:tcBorders>
          </w:tcPr>
          <w:p>
            <w:pPr>
              <w:spacing w:after="0"/>
              <w:rPr>
                <w:sz w:val="20"/>
                <w:szCs w:val="20"/>
                <w:color w:val="auto"/>
              </w:rPr>
            </w:pPr>
          </w:p>
        </w:tc>
        <w:tc>
          <w:tcPr>
            <w:tcW w:w="15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7"/>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 xml:space="preserve">Volume/Pricing Variance </w:t>
            </w:r>
            <w:r>
              <w:rPr>
                <w:rFonts w:ascii="Times New Roman" w:cs="Times New Roman" w:eastAsia="Times New Roman" w:hAnsi="Times New Roman"/>
                <w:sz w:val="16"/>
                <w:szCs w:val="16"/>
                <w:color w:val="auto"/>
              </w:rPr>
              <w:t>(1)</w:t>
            </w:r>
          </w:p>
        </w:tc>
        <w:tc>
          <w:tcPr>
            <w:tcW w:w="1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88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Mid-America Group</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6.2%</w:t>
            </w:r>
          </w:p>
        </w:tc>
      </w:tr>
      <w:tr>
        <w:trPr>
          <w:trHeight w:val="243"/>
        </w:trPr>
        <w:tc>
          <w:tcPr>
            <w:tcW w:w="88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Southeast Group</w:t>
            </w: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4.7%</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9.6%</w:t>
            </w:r>
          </w:p>
        </w:tc>
      </w:tr>
      <w:tr>
        <w:trPr>
          <w:trHeight w:val="243"/>
        </w:trPr>
        <w:tc>
          <w:tcPr>
            <w:tcW w:w="88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West Group</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(6.8)%</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r>
      <w:tr>
        <w:trPr>
          <w:trHeight w:val="243"/>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Product Line</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20"/>
                <w:szCs w:val="20"/>
                <w:color w:val="auto"/>
              </w:rPr>
              <w:t>(3.2)%</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r>
    </w:tbl>
    <w:p>
      <w:pPr>
        <w:spacing w:after="0" w:line="81" w:lineRule="exact"/>
        <w:rPr>
          <w:sz w:val="20"/>
          <w:szCs w:val="20"/>
          <w:color w:val="auto"/>
        </w:rPr>
      </w:pPr>
    </w:p>
    <w:p>
      <w:pPr>
        <w:ind w:left="5160" w:right="2120" w:hanging="5152"/>
        <w:spacing w:after="0" w:line="738" w:lineRule="auto"/>
        <w:tabs>
          <w:tab w:leader="none" w:pos="258"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20"/>
          <w:szCs w:val="20"/>
          <w:i w:val="1"/>
          <w:iCs w:val="1"/>
          <w:color w:val="auto"/>
        </w:rPr>
        <w:t xml:space="preserve">Volume/pricing variances reflect the percentage increase/(decrease) from the comparable period in the prior year. </w:t>
      </w:r>
      <w:r>
        <w:rPr>
          <w:rFonts w:ascii="Times New Roman" w:cs="Times New Roman" w:eastAsia="Times New Roman" w:hAnsi="Times New Roman"/>
          <w:sz w:val="20"/>
          <w:szCs w:val="20"/>
          <w:color w:val="auto"/>
        </w:rPr>
        <w:t>Page 29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56"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20"/>
          <w:szCs w:val="20"/>
          <w:color w:val="auto"/>
        </w:rPr>
        <w:t>Three-Months Ended</w:t>
      </w:r>
    </w:p>
    <w:p>
      <w:pPr>
        <w:spacing w:after="0" w:line="28"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20"/>
          <w:szCs w:val="20"/>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gridSpan w:val="2"/>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18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2016</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860" w:type="dxa"/>
            <w:vAlign w:val="bottom"/>
            <w:gridSpan w:val="4"/>
          </w:tcPr>
          <w:p>
            <w:pPr>
              <w:jc w:val="center"/>
              <w:ind w:left="481"/>
              <w:spacing w:after="0"/>
              <w:rPr>
                <w:sz w:val="20"/>
                <w:szCs w:val="20"/>
                <w:color w:val="auto"/>
              </w:rPr>
            </w:pPr>
            <w:r>
              <w:rPr>
                <w:rFonts w:ascii="Times New Roman" w:cs="Times New Roman" w:eastAsia="Times New Roman" w:hAnsi="Times New Roman"/>
                <w:sz w:val="20"/>
                <w:szCs w:val="20"/>
                <w:i w:val="1"/>
                <w:iCs w:val="1"/>
                <w:color w:val="auto"/>
                <w:w w:val="97"/>
              </w:rPr>
              <w:t>(Tons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Shipments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Mid-America Group</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21,371</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21,818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Southeast Group</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5,349</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5,109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West Group</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17,085</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18,331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Product Line</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8"/>
              </w:rPr>
              <w:t>43,805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8"/>
              </w:rPr>
              <w:t>45,258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8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following table presents shipments data for the Building Materials business by product line.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860" w:type="dxa"/>
            <w:vAlign w:val="bottom"/>
            <w:gridSpan w:val="4"/>
          </w:tcPr>
          <w:p>
            <w:pPr>
              <w:jc w:val="center"/>
              <w:ind w:left="481"/>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20"/>
                <w:szCs w:val="20"/>
                <w:color w:val="auto"/>
                <w:w w:val="98"/>
              </w:rPr>
              <w:t>September 30,</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Shipments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Product Line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40,787</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41,947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Internal tons used in other product lines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3,018</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3,311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aggregates tons</w:t>
            </w:r>
          </w:p>
        </w:tc>
        <w:tc>
          <w:tcPr>
            <w:tcW w:w="10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43,805</w:t>
            </w:r>
          </w:p>
        </w:tc>
        <w:tc>
          <w:tcPr>
            <w:tcW w:w="280" w:type="dxa"/>
            <w:vAlign w:val="bottom"/>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45,258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84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Cement (in thousands):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Internal tons used in ready mixed concrete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cement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817</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Ready Mixed Concrete (in thousands of cubic yards)</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2,160</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2,486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Asphalt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Internal tons used in paving business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asphalt tons</w:t>
            </w:r>
          </w:p>
        </w:tc>
        <w:tc>
          <w:tcPr>
            <w:tcW w:w="10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1,214</w:t>
            </w:r>
          </w:p>
        </w:tc>
        <w:tc>
          <w:tcPr>
            <w:tcW w:w="280" w:type="dxa"/>
            <w:vAlign w:val="bottom"/>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volume declines are attributable to near-record precipitation, even before disruptions from hurricane activity in the Gulf of Mexico and the Atlantic Ocean, coupled with on-going project delays, customer- and Department of Transportation-related labor constraints and government uncertainty. Particularly for Texas, third quarter 2017 marked the fourth wettest quarter out of the last 123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30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infrastructure market comprised 42% of third quarter aggregates product line volumes, which remains below the Company’s most recent five-year average. Continued underinvestment in the nation’s infrastructure, coupled with marginal infrastructure construction activity from the </w:t>
      </w:r>
      <w:r>
        <w:rPr>
          <w:rFonts w:ascii="Times New Roman" w:cs="Times New Roman" w:eastAsia="Times New Roman" w:hAnsi="Times New Roman"/>
          <w:sz w:val="20"/>
          <w:szCs w:val="20"/>
          <w:i w:val="1"/>
          <w:iCs w:val="1"/>
          <w:color w:val="auto"/>
        </w:rPr>
        <w:t xml:space="preserve">Fixing America’s Surface Transportation Act (FAST Act) </w:t>
      </w:r>
      <w:r>
        <w:rPr>
          <w:rFonts w:ascii="Times New Roman" w:cs="Times New Roman" w:eastAsia="Times New Roman" w:hAnsi="Times New Roman"/>
          <w:sz w:val="20"/>
          <w:szCs w:val="20"/>
          <w:color w:val="auto"/>
        </w:rPr>
        <w:t>and ongoing project delays, resulted in declining infrastructure shipments.</w:t>
      </w:r>
    </w:p>
    <w:p>
      <w:pPr>
        <w:spacing w:after="0" w:line="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nonresidential market represented 32% of aggregates product line shipments and overall nonresidential shipments were relatively flat for the third quarter. Volumes were driven primarily by office, retail and warehouse projects along interstate corridors as the Company awaits the start of the next round of major energy-sector construction projects along the Gulf of Mexico. The Mid-America and Southeast Groups reported strong industrial construction growth. Consistent with management’s expectations, the West Group reported a decline in nonresidential shipments due to the completion of several large energy-related projects in 2016 that were not immediately replaced in 2017. Management expects the next wave of these projects to bid in 2018.</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residential market accounted for 19% of third quarter aggregates product line shipments, which increased 4%, driven by continued strength in housing across the Company’s geographic footprint, particularly in the southeastern United States. Texas, Florida, North Carolina, Georgia, South Carolina and Colorado, key geographies for the Building Materials business, comprised six of the top ten states for growth in single-family housing starts as of September 2017.</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ChemRock/Rail market accounted for the remaining 7% of aggregates product line volumes and declined versus the prior-year quarter.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average selling price by product line for the Building Materials business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40" w:type="dxa"/>
            <w:vAlign w:val="bottom"/>
            <w:gridSpan w:val="4"/>
          </w:tcPr>
          <w:p>
            <w:pPr>
              <w:jc w:val="center"/>
              <w:ind w:right="440"/>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2"/>
        </w:trPr>
        <w:tc>
          <w:tcPr>
            <w:tcW w:w="4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0"/>
                <w:szCs w:val="20"/>
                <w:color w:val="auto"/>
                <w:w w:val="98"/>
              </w:rPr>
              <w:t>September 30,</w:t>
            </w:r>
          </w:p>
        </w:tc>
        <w:tc>
          <w:tcPr>
            <w:tcW w:w="13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44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2016</w:t>
            </w: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(per ton)</w:t>
            </w:r>
          </w:p>
        </w:tc>
        <w:tc>
          <w:tcPr>
            <w:tcW w:w="1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13.40</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12.75</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r>
      <w:tr>
        <w:trPr>
          <w:trHeight w:val="243"/>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Cement (per ton)</w:t>
            </w:r>
          </w:p>
        </w:tc>
        <w:tc>
          <w:tcPr>
            <w:tcW w:w="2420" w:type="dxa"/>
            <w:vAlign w:val="bottom"/>
            <w:gridSpan w:val="2"/>
          </w:tcPr>
          <w:p>
            <w:pPr>
              <w:jc w:val="right"/>
              <w:ind w:right="921"/>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103.08</w:t>
            </w:r>
          </w:p>
        </w:tc>
        <w:tc>
          <w:tcPr>
            <w:tcW w:w="36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w:t>
            </w:r>
          </w:p>
        </w:tc>
      </w:tr>
      <w:tr>
        <w:trPr>
          <w:trHeight w:val="24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Ready Mixed Concrete (per cubic yard)</w:t>
            </w:r>
          </w:p>
        </w:tc>
        <w:tc>
          <w:tcPr>
            <w:tcW w:w="2420" w:type="dxa"/>
            <w:vAlign w:val="bottom"/>
            <w:gridSpan w:val="2"/>
            <w:shd w:val="clear" w:color="auto" w:fill="CFF0FC"/>
          </w:tcPr>
          <w:p>
            <w:pPr>
              <w:jc w:val="right"/>
              <w:ind w:right="921"/>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109.22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104.16</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4.9%</w:t>
            </w:r>
          </w:p>
        </w:tc>
      </w:tr>
      <w:tr>
        <w:trPr>
          <w:trHeight w:val="258"/>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Asphalt (per ton)</w:t>
            </w:r>
          </w:p>
        </w:tc>
        <w:tc>
          <w:tcPr>
            <w:tcW w:w="2420" w:type="dxa"/>
            <w:vAlign w:val="bottom"/>
            <w:gridSpan w:val="2"/>
          </w:tcPr>
          <w:p>
            <w:pPr>
              <w:jc w:val="right"/>
              <w:ind w:right="921"/>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40.01</w:t>
            </w:r>
          </w:p>
        </w:tc>
        <w:tc>
          <w:tcPr>
            <w:tcW w:w="360" w:type="dxa"/>
            <w:vAlign w:val="bottom"/>
          </w:tcPr>
          <w:p>
            <w:pPr>
              <w:spacing w:after="0"/>
              <w:rPr>
                <w:sz w:val="22"/>
                <w:szCs w:val="22"/>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11.8%</w:t>
            </w:r>
          </w:p>
        </w:tc>
      </w:tr>
    </w:tbl>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Average selling prices improved across all product lines and geographies despite lower shipment volumes. The aggregates product line average selling price improvement was led by a 9.6% increase in the Southeast Group. The Mid-America Group and West Group reported increases of 6.2% and 1.1%, respectively. The cement product line generated pricing growth of 3.9%, driven by ongoing construction activity in the Dallas/Fort Worth area.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Magnesia Specialties Business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Magnesia Specialties reported third-quarter net sales of $58.5 million compared with $60.2 million, reflecting inventory adjustments by several large chemical customers due to their unplanned downtime. Total revenues were $63.9 million compared with $65.1 million in the prior-year quarter. Gross profit for the third quarter was $19.9 million compared with $22.8 million and earnings from operations were $17.6 million compared with $20.4 million. Timing of kiln outages coupled with higher energy and maintenance costs led to the lower gross profit and earnings from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31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presents a rollforward of consolidated gross profit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Consolidated gross profit, quarter-ended September 30, 2016</w:t>
            </w:r>
          </w:p>
        </w:tc>
        <w:tc>
          <w:tcPr>
            <w:tcW w:w="9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34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293,307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Aggregates product line:</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Volume</w:t>
            </w:r>
          </w:p>
        </w:tc>
        <w:tc>
          <w:tcPr>
            <w:tcW w:w="9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(19,638)</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Pricing</w:t>
            </w: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Cost decreases, net</w:t>
            </w:r>
          </w:p>
        </w:tc>
        <w:tc>
          <w:tcPr>
            <w:tcW w:w="9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4,355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Change in aggregates product line gross profit</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Vertically-integrated product lines</w:t>
            </w:r>
          </w:p>
        </w:tc>
        <w:tc>
          <w:tcPr>
            <w:tcW w:w="9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(19,530)</w:t>
            </w: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(2,935)</w:t>
            </w:r>
          </w:p>
        </w:tc>
        <w:tc>
          <w:tcPr>
            <w:tcW w:w="0" w:type="dxa"/>
            <w:vAlign w:val="bottom"/>
          </w:tcPr>
          <w:p>
            <w:pPr>
              <w:spacing w:after="0"/>
              <w:rPr>
                <w:sz w:val="1"/>
                <w:szCs w:val="1"/>
                <w:color w:val="auto"/>
              </w:rPr>
            </w:pPr>
          </w:p>
        </w:tc>
      </w:tr>
      <w:tr>
        <w:trPr>
          <w:trHeight w:val="24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w:t>
            </w:r>
          </w:p>
        </w:tc>
        <w:tc>
          <w:tcPr>
            <w:tcW w:w="9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6,780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Change in consolidated gross profit</w:t>
            </w:r>
          </w:p>
        </w:tc>
        <w:tc>
          <w:tcPr>
            <w:tcW w:w="90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Consolidated gross profit, quarter-ended September 30, 2017</w:t>
            </w:r>
          </w:p>
        </w:tc>
        <w:tc>
          <w:tcPr>
            <w:tcW w:w="9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4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291,678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profit (loss) by business is as follows:</w:t>
            </w: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7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8"/>
              </w:rPr>
              <w:t>Three-Months Ended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September 30,</w:t>
            </w: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Gross profit (loss):</w:t>
            </w:r>
          </w:p>
        </w:tc>
        <w:tc>
          <w:tcPr>
            <w:tcW w:w="9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Aggregates</w:t>
            </w:r>
          </w:p>
        </w:tc>
        <w:tc>
          <w:tcPr>
            <w:tcW w:w="2240" w:type="dxa"/>
            <w:vAlign w:val="bottom"/>
            <w:gridSpan w:val="2"/>
            <w:shd w:val="clear" w:color="auto" w:fill="CFF0FC"/>
          </w:tcPr>
          <w:p>
            <w:pPr>
              <w:jc w:val="right"/>
              <w:ind w:right="114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187,947</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173,891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Cement</w:t>
            </w: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27,604</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Ready Mixed Concrete</w:t>
            </w:r>
          </w:p>
        </w:tc>
        <w:tc>
          <w:tcPr>
            <w:tcW w:w="9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23,907</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32,787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20"/>
                <w:szCs w:val="20"/>
                <w:color w:val="auto"/>
              </w:rPr>
              <w:t>Asphalt and Paving</w:t>
            </w:r>
          </w:p>
        </w:tc>
        <w:tc>
          <w:tcPr>
            <w:tcW w:w="90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28,864</w:t>
            </w: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30,247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9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268,322</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273,796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19,910</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w:t>
            </w:r>
          </w:p>
        </w:tc>
        <w:tc>
          <w:tcPr>
            <w:tcW w:w="9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3,446</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(3,334)</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90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114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291,678</w:t>
            </w:r>
          </w:p>
        </w:tc>
        <w:tc>
          <w:tcPr>
            <w:tcW w:w="3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Cement kiln maintenance costs were $1.6 million for the quarter compared with $1.8 million for the prior-year quarter. Consolidated gross margin for the quarter was up 20 basis points compared with the prior-year quarter.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Consolidated Operating Results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Consolidated SG&amp;A was 5.3% of total revenues compared with 5.0% in the prior-year quarter. The increase of 30 basis points reflects the negative impact of weather and project delays on total revenues. Earnings from operations for the quarter were $227.0 million compared with $242.7 million in 2016.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32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third quarter, consolidated other operating income and expenses, net, was an expense of $6.2 million in 2017 and income of $4.4 million in 2016. The expense compared with the prior-year quarter income is primarily attributable to $12.4 million of nonrecurring repair costs related to certain of the Company’s leased railcars.</w:t>
      </w:r>
    </w:p>
    <w:p>
      <w:pPr>
        <w:spacing w:after="0" w:line="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Other nonoperating income and expenses, net, includes pension and postretirement benefit cost, excluding service cost; foreign currency transaction gains and losses; interest; equity adjustments for nonconsolidated affiliates and other miscellaneous income. For the third quarter, nonoperating income and expenses, net, was income of $0.5 million and $8.2 million in 2017 and 2016, respectively. Nonoperating income, net, for 2016 reflects a $5.9 million net gain recognized on the purchase of the remaining interest in a joint venture.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items for the nine-months ended September 30, 2017 (unless noted, all comparisons are versus the prior-year period):</w:t>
      </w:r>
    </w:p>
    <w:p>
      <w:pPr>
        <w:spacing w:after="0" w:line="54" w:lineRule="exact"/>
        <w:rPr>
          <w:sz w:val="20"/>
          <w:szCs w:val="20"/>
          <w:color w:val="auto"/>
        </w:rPr>
      </w:pPr>
    </w:p>
    <w:p>
      <w:pPr>
        <w:ind w:left="760" w:hanging="374"/>
        <w:spacing w:after="0"/>
        <w:tabs>
          <w:tab w:leader="none" w:pos="760" w:val="left"/>
        </w:tabs>
        <w:numPr>
          <w:ilvl w:val="0"/>
          <w:numId w:val="25"/>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net sales of $2.81 billion increased 4.6% compared with $2.69 billion</w:t>
      </w:r>
    </w:p>
    <w:p>
      <w:pPr>
        <w:spacing w:after="0" w:line="52" w:lineRule="exact"/>
        <w:rPr>
          <w:rFonts w:ascii="Arial" w:cs="Arial" w:eastAsia="Arial" w:hAnsi="Arial"/>
          <w:sz w:val="20"/>
          <w:szCs w:val="20"/>
          <w:color w:val="007DC6"/>
        </w:rPr>
      </w:pPr>
    </w:p>
    <w:p>
      <w:pPr>
        <w:ind w:left="760" w:hanging="374"/>
        <w:spacing w:after="0" w:line="263" w:lineRule="auto"/>
        <w:tabs>
          <w:tab w:leader="none" w:pos="760" w:val="left"/>
        </w:tabs>
        <w:numPr>
          <w:ilvl w:val="0"/>
          <w:numId w:val="25"/>
        </w:numPr>
        <w:rPr>
          <w:rFonts w:ascii="Arial" w:cs="Arial" w:eastAsia="Arial" w:hAnsi="Arial"/>
          <w:sz w:val="20"/>
          <w:szCs w:val="20"/>
          <w:color w:val="007DC6"/>
        </w:rPr>
      </w:pPr>
      <w:r>
        <w:rPr>
          <w:rFonts w:ascii="Times New Roman" w:cs="Times New Roman" w:eastAsia="Times New Roman" w:hAnsi="Times New Roman"/>
          <w:sz w:val="20"/>
          <w:szCs w:val="20"/>
          <w:color w:val="auto"/>
        </w:rPr>
        <w:t>Building Materials business net sales of $2.62 billion compared with $2.51 billion, an increase of 4.6%, and Magnesia Specialties net sales of $186.3 million compared with $178.6 million, an increase of 4.3%</w:t>
      </w:r>
    </w:p>
    <w:p>
      <w:pPr>
        <w:spacing w:after="0" w:line="8" w:lineRule="exact"/>
        <w:rPr>
          <w:rFonts w:ascii="Arial" w:cs="Arial" w:eastAsia="Arial" w:hAnsi="Arial"/>
          <w:sz w:val="20"/>
          <w:szCs w:val="20"/>
          <w:color w:val="007DC6"/>
        </w:rPr>
      </w:pPr>
    </w:p>
    <w:p>
      <w:pPr>
        <w:ind w:left="760" w:hanging="374"/>
        <w:spacing w:after="0"/>
        <w:tabs>
          <w:tab w:leader="none" w:pos="760" w:val="left"/>
        </w:tabs>
        <w:numPr>
          <w:ilvl w:val="0"/>
          <w:numId w:val="25"/>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total revenues of $2.81 billion compared with $2.69 billion, an increase of 4.6%</w:t>
      </w:r>
    </w:p>
    <w:p>
      <w:pPr>
        <w:spacing w:after="0" w:line="52" w:lineRule="exact"/>
        <w:rPr>
          <w:rFonts w:ascii="Arial" w:cs="Arial" w:eastAsia="Arial" w:hAnsi="Arial"/>
          <w:sz w:val="20"/>
          <w:szCs w:val="20"/>
          <w:color w:val="007DC6"/>
        </w:rPr>
      </w:pPr>
    </w:p>
    <w:p>
      <w:pPr>
        <w:ind w:left="760" w:hanging="374"/>
        <w:spacing w:after="0"/>
        <w:tabs>
          <w:tab w:leader="none" w:pos="760" w:val="left"/>
        </w:tabs>
        <w:numPr>
          <w:ilvl w:val="0"/>
          <w:numId w:val="25"/>
        </w:numPr>
        <w:rPr>
          <w:rFonts w:ascii="Arial" w:cs="Arial" w:eastAsia="Arial" w:hAnsi="Arial"/>
          <w:sz w:val="20"/>
          <w:szCs w:val="20"/>
          <w:color w:val="007DC6"/>
        </w:rPr>
      </w:pPr>
      <w:r>
        <w:rPr>
          <w:rFonts w:ascii="Times New Roman" w:cs="Times New Roman" w:eastAsia="Times New Roman" w:hAnsi="Times New Roman"/>
          <w:sz w:val="20"/>
          <w:szCs w:val="20"/>
          <w:color w:val="auto"/>
        </w:rPr>
        <w:t>Consolidated gross profit of $712.8 million compared with $686.0 million, an increase of 3.9%</w:t>
      </w:r>
    </w:p>
    <w:p>
      <w:pPr>
        <w:spacing w:after="0" w:line="52" w:lineRule="exact"/>
        <w:rPr>
          <w:rFonts w:ascii="Arial" w:cs="Arial" w:eastAsia="Arial" w:hAnsi="Arial"/>
          <w:sz w:val="20"/>
          <w:szCs w:val="20"/>
          <w:color w:val="007DC6"/>
        </w:rPr>
      </w:pPr>
    </w:p>
    <w:p>
      <w:pPr>
        <w:ind w:left="760" w:hanging="374"/>
        <w:spacing w:after="0"/>
        <w:tabs>
          <w:tab w:leader="none" w:pos="760" w:val="left"/>
        </w:tabs>
        <w:numPr>
          <w:ilvl w:val="0"/>
          <w:numId w:val="25"/>
        </w:numPr>
        <w:rPr>
          <w:rFonts w:ascii="Arial" w:cs="Arial" w:eastAsia="Arial" w:hAnsi="Arial"/>
          <w:sz w:val="20"/>
          <w:szCs w:val="20"/>
          <w:color w:val="007DC6"/>
        </w:rPr>
      </w:pPr>
      <w:r>
        <w:rPr>
          <w:rFonts w:ascii="Times New Roman" w:cs="Times New Roman" w:eastAsia="Times New Roman" w:hAnsi="Times New Roman"/>
          <w:sz w:val="20"/>
          <w:szCs w:val="20"/>
          <w:color w:val="auto"/>
        </w:rPr>
        <w:t>Net earnings attributable to Martin Marietta of $336.2 million compared with $326.5 million, an increase of 3.0%</w:t>
      </w:r>
    </w:p>
    <w:p>
      <w:pPr>
        <w:spacing w:after="0" w:line="52" w:lineRule="exact"/>
        <w:rPr>
          <w:rFonts w:ascii="Arial" w:cs="Arial" w:eastAsia="Arial" w:hAnsi="Arial"/>
          <w:sz w:val="20"/>
          <w:szCs w:val="20"/>
          <w:color w:val="007DC6"/>
        </w:rPr>
      </w:pPr>
    </w:p>
    <w:p>
      <w:pPr>
        <w:ind w:left="760" w:hanging="374"/>
        <w:spacing w:after="0"/>
        <w:tabs>
          <w:tab w:leader="none" w:pos="760" w:val="left"/>
        </w:tabs>
        <w:numPr>
          <w:ilvl w:val="0"/>
          <w:numId w:val="25"/>
        </w:numPr>
        <w:rPr>
          <w:rFonts w:ascii="Arial" w:cs="Arial" w:eastAsia="Arial" w:hAnsi="Arial"/>
          <w:sz w:val="20"/>
          <w:szCs w:val="20"/>
          <w:color w:val="007DC6"/>
        </w:rPr>
      </w:pPr>
      <w:r>
        <w:rPr>
          <w:rFonts w:ascii="Times New Roman" w:cs="Times New Roman" w:eastAsia="Times New Roman" w:hAnsi="Times New Roman"/>
          <w:sz w:val="20"/>
          <w:szCs w:val="20"/>
          <w:color w:val="auto"/>
        </w:rPr>
        <w:t>EBITDA of $742.0 million compared with $741.9 million</w:t>
      </w:r>
    </w:p>
    <w:p>
      <w:pPr>
        <w:spacing w:after="0" w:line="52" w:lineRule="exact"/>
        <w:rPr>
          <w:rFonts w:ascii="Arial" w:cs="Arial" w:eastAsia="Arial" w:hAnsi="Arial"/>
          <w:sz w:val="20"/>
          <w:szCs w:val="20"/>
          <w:color w:val="007DC6"/>
        </w:rPr>
      </w:pPr>
    </w:p>
    <w:p>
      <w:pPr>
        <w:ind w:left="760" w:hanging="374"/>
        <w:spacing w:after="0"/>
        <w:tabs>
          <w:tab w:leader="none" w:pos="760" w:val="left"/>
        </w:tabs>
        <w:numPr>
          <w:ilvl w:val="0"/>
          <w:numId w:val="25"/>
        </w:numPr>
        <w:rPr>
          <w:rFonts w:ascii="Arial" w:cs="Arial" w:eastAsia="Arial" w:hAnsi="Arial"/>
          <w:sz w:val="20"/>
          <w:szCs w:val="20"/>
          <w:color w:val="007DC6"/>
        </w:rPr>
      </w:pPr>
      <w:r>
        <w:rPr>
          <w:rFonts w:ascii="Times New Roman" w:cs="Times New Roman" w:eastAsia="Times New Roman" w:hAnsi="Times New Roman"/>
          <w:sz w:val="20"/>
          <w:szCs w:val="20"/>
          <w:color w:val="auto"/>
        </w:rPr>
        <w:t>Earnings per diluted share of $5.30 compared with $5.08, an increase of 4.3%</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presents total revenues, gross profit (loss), selling, general and administrative expenses and earnings (loss) from operations data for the Company and its reportable segments for the nine-months ended September 30, 2017 and 2016. In each case, the data is stated as a percentage of total revenues of the Company or the relevant segment, as the case may be.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33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20"/>
                <w:szCs w:val="20"/>
                <w:color w:val="auto"/>
                <w:w w:val="98"/>
              </w:rPr>
              <w:t>Nine-Months Ended September 30,</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2017</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2016</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21"/>
              <w:spacing w:after="0" w:line="214" w:lineRule="exact"/>
              <w:rPr>
                <w:sz w:val="20"/>
                <w:szCs w:val="20"/>
                <w:color w:val="auto"/>
              </w:rPr>
            </w:pPr>
            <w:r>
              <w:rPr>
                <w:rFonts w:ascii="Times New Roman" w:cs="Times New Roman" w:eastAsia="Times New Roman" w:hAnsi="Times New Roman"/>
                <w:sz w:val="20"/>
                <w:szCs w:val="20"/>
                <w:color w:val="auto"/>
                <w:w w:val="98"/>
              </w:rPr>
              <w:t>% of Total</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01"/>
              <w:spacing w:after="0" w:line="214" w:lineRule="exact"/>
              <w:rPr>
                <w:sz w:val="20"/>
                <w:szCs w:val="20"/>
                <w:color w:val="auto"/>
              </w:rPr>
            </w:pPr>
            <w:r>
              <w:rPr>
                <w:rFonts w:ascii="Times New Roman" w:cs="Times New Roman" w:eastAsia="Times New Roman" w:hAnsi="Times New Roman"/>
                <w:sz w:val="20"/>
                <w:szCs w:val="20"/>
                <w:color w:val="auto"/>
                <w:w w:val="95"/>
              </w:rPr>
              <w:t>% of 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ind w:right="780"/>
              <w:spacing w:after="0"/>
              <w:rPr>
                <w:sz w:val="20"/>
                <w:szCs w:val="20"/>
                <w:color w:val="auto"/>
              </w:rPr>
            </w:pPr>
            <w:r>
              <w:rPr>
                <w:rFonts w:ascii="Times New Roman" w:cs="Times New Roman" w:eastAsia="Times New Roman" w:hAnsi="Times New Roman"/>
                <w:sz w:val="20"/>
                <w:szCs w:val="20"/>
                <w:color w:val="auto"/>
              </w:rPr>
              <w:t>Amount</w:t>
            </w: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7"/>
              </w:rPr>
              <w:t>Revenues</w:t>
            </w:r>
          </w:p>
        </w:tc>
        <w:tc>
          <w:tcPr>
            <w:tcW w:w="260" w:type="dxa"/>
            <w:vAlign w:val="bottom"/>
          </w:tcPr>
          <w:p>
            <w:pPr>
              <w:spacing w:after="0"/>
              <w:rPr>
                <w:sz w:val="21"/>
                <w:szCs w:val="21"/>
                <w:color w:val="auto"/>
              </w:rPr>
            </w:pPr>
          </w:p>
        </w:tc>
        <w:tc>
          <w:tcPr>
            <w:tcW w:w="1640" w:type="dxa"/>
            <w:vAlign w:val="bottom"/>
            <w:gridSpan w:val="3"/>
          </w:tcPr>
          <w:p>
            <w:pPr>
              <w:jc w:val="right"/>
              <w:ind w:right="860"/>
              <w:spacing w:after="0"/>
              <w:rPr>
                <w:sz w:val="20"/>
                <w:szCs w:val="20"/>
                <w:color w:val="auto"/>
              </w:rPr>
            </w:pPr>
            <w:r>
              <w:rPr>
                <w:rFonts w:ascii="Times New Roman" w:cs="Times New Roman" w:eastAsia="Times New Roman" w:hAnsi="Times New Roman"/>
                <w:sz w:val="20"/>
                <w:szCs w:val="20"/>
                <w:color w:val="auto"/>
              </w:rPr>
              <w:t>Amount</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rPr>
              <w:t>Revenues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Mid-America Group</w:t>
            </w:r>
          </w:p>
        </w:tc>
        <w:tc>
          <w:tcPr>
            <w:tcW w:w="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788,390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762,297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277,474</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243,086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West Group</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1,726,742</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1,671,596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2,792,606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2,676,979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202,510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192,955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2,995,116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2,869,934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Gross profit (loss):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Mid-America Group</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242,778</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260" w:type="dxa"/>
            <w:vAlign w:val="bottom"/>
          </w:tcPr>
          <w:p>
            <w:pPr>
              <w:spacing w:after="0"/>
              <w:rPr>
                <w:sz w:val="21"/>
                <w:szCs w:val="21"/>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224,194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Southeast Group</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51,623</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41,911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20"/>
                <w:szCs w:val="20"/>
                <w:color w:val="auto"/>
              </w:rPr>
              <w:t>West Group</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349,267</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361,227</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643,668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627,332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65,849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67,564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Corporate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3,321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20"/>
                <w:szCs w:val="20"/>
                <w:color w:val="auto"/>
              </w:rPr>
              <w:t>(8,908)</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712,838</w:t>
            </w: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26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685,988</w:t>
            </w:r>
          </w:p>
        </w:tc>
        <w:tc>
          <w:tcPr>
            <w:tcW w:w="26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Selling, general &amp; administrative expenses: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Mid-America Group</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39,934</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60" w:type="dxa"/>
            <w:vAlign w:val="bottom"/>
          </w:tcPr>
          <w:p>
            <w:pPr>
              <w:spacing w:after="0"/>
              <w:rPr>
                <w:sz w:val="21"/>
                <w:szCs w:val="21"/>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39,217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Southeast Group</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12,896</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12,666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20"/>
                <w:szCs w:val="20"/>
                <w:color w:val="auto"/>
              </w:rPr>
              <w:t>West Group</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75,665</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69,007</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128,495</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120,890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7,146</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Corporate</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59,486</w:t>
            </w:r>
          </w:p>
        </w:tc>
        <w:tc>
          <w:tcPr>
            <w:tcW w:w="28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44,867</w:t>
            </w:r>
          </w:p>
        </w:tc>
        <w:tc>
          <w:tcPr>
            <w:tcW w:w="2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195,127</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172,903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34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20"/>
                <w:szCs w:val="20"/>
                <w:color w:val="auto"/>
                <w:w w:val="98"/>
              </w:rPr>
              <w:t>Nine-Months Ended September 30,</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2017</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2016</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21"/>
              <w:spacing w:after="0" w:line="214" w:lineRule="exact"/>
              <w:rPr>
                <w:sz w:val="20"/>
                <w:szCs w:val="20"/>
                <w:color w:val="auto"/>
              </w:rPr>
            </w:pPr>
            <w:r>
              <w:rPr>
                <w:rFonts w:ascii="Times New Roman" w:cs="Times New Roman" w:eastAsia="Times New Roman" w:hAnsi="Times New Roman"/>
                <w:sz w:val="20"/>
                <w:szCs w:val="20"/>
                <w:color w:val="auto"/>
                <w:w w:val="98"/>
              </w:rPr>
              <w:t>% of Total</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01"/>
              <w:spacing w:after="0" w:line="214" w:lineRule="exact"/>
              <w:rPr>
                <w:sz w:val="20"/>
                <w:szCs w:val="20"/>
                <w:color w:val="auto"/>
              </w:rPr>
            </w:pPr>
            <w:r>
              <w:rPr>
                <w:rFonts w:ascii="Times New Roman" w:cs="Times New Roman" w:eastAsia="Times New Roman" w:hAnsi="Times New Roman"/>
                <w:sz w:val="20"/>
                <w:szCs w:val="20"/>
                <w:color w:val="auto"/>
                <w:w w:val="95"/>
              </w:rPr>
              <w:t>% of 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ind w:right="780"/>
              <w:spacing w:after="0"/>
              <w:rPr>
                <w:sz w:val="20"/>
                <w:szCs w:val="20"/>
                <w:color w:val="auto"/>
              </w:rPr>
            </w:pPr>
            <w:r>
              <w:rPr>
                <w:rFonts w:ascii="Times New Roman" w:cs="Times New Roman" w:eastAsia="Times New Roman" w:hAnsi="Times New Roman"/>
                <w:sz w:val="20"/>
                <w:szCs w:val="20"/>
                <w:color w:val="auto"/>
              </w:rPr>
              <w:t>Amount</w:t>
            </w: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7"/>
              </w:rPr>
              <w:t>Revenues</w:t>
            </w:r>
          </w:p>
        </w:tc>
        <w:tc>
          <w:tcPr>
            <w:tcW w:w="260" w:type="dxa"/>
            <w:vAlign w:val="bottom"/>
          </w:tcPr>
          <w:p>
            <w:pPr>
              <w:spacing w:after="0"/>
              <w:rPr>
                <w:sz w:val="21"/>
                <w:szCs w:val="21"/>
                <w:color w:val="auto"/>
              </w:rPr>
            </w:pPr>
          </w:p>
        </w:tc>
        <w:tc>
          <w:tcPr>
            <w:tcW w:w="1640" w:type="dxa"/>
            <w:vAlign w:val="bottom"/>
            <w:gridSpan w:val="3"/>
          </w:tcPr>
          <w:p>
            <w:pPr>
              <w:jc w:val="right"/>
              <w:ind w:right="860"/>
              <w:spacing w:after="0"/>
              <w:rPr>
                <w:sz w:val="20"/>
                <w:szCs w:val="20"/>
                <w:color w:val="auto"/>
              </w:rPr>
            </w:pPr>
            <w:r>
              <w:rPr>
                <w:rFonts w:ascii="Times New Roman" w:cs="Times New Roman" w:eastAsia="Times New Roman" w:hAnsi="Times New Roman"/>
                <w:sz w:val="20"/>
                <w:szCs w:val="20"/>
                <w:color w:val="auto"/>
              </w:rPr>
              <w:t>Amount</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rPr>
              <w:t>Revenues</w:t>
            </w:r>
          </w:p>
        </w:tc>
        <w:tc>
          <w:tcPr>
            <w:tcW w:w="0" w:type="dxa"/>
            <w:vAlign w:val="bottom"/>
          </w:tcPr>
          <w:p>
            <w:pPr>
              <w:spacing w:after="0"/>
              <w:rPr>
                <w:sz w:val="1"/>
                <w:szCs w:val="1"/>
                <w:color w:val="auto"/>
              </w:rPr>
            </w:pPr>
          </w:p>
        </w:tc>
      </w:tr>
      <w:tr>
        <w:trPr>
          <w:trHeight w:val="256"/>
        </w:trPr>
        <w:tc>
          <w:tcPr>
            <w:tcW w:w="47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Earnings (Loss) from operations:</w:t>
            </w:r>
          </w:p>
        </w:tc>
        <w:tc>
          <w:tcPr>
            <w:tcW w:w="2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80" w:type="dxa"/>
            <w:vAlign w:val="bottom"/>
            <w:tcBorders>
              <w:top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Mid-America Group</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204,939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260" w:type="dxa"/>
            <w:vAlign w:val="bottom"/>
          </w:tcPr>
          <w:p>
            <w:pPr>
              <w:spacing w:after="0"/>
              <w:rPr>
                <w:sz w:val="21"/>
                <w:szCs w:val="21"/>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187,656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Southeast Group</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42,331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30,579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20"/>
                <w:szCs w:val="20"/>
                <w:color w:val="auto"/>
              </w:rPr>
              <w:t>West Group</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270,246</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299,722</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517,516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517,957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Magnesia Specialties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58,589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60,319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Corporate</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20"/>
                <w:szCs w:val="20"/>
                <w:color w:val="auto"/>
              </w:rPr>
              <w:t>(59,138)</w:t>
            </w: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20"/>
                <w:szCs w:val="20"/>
                <w:color w:val="auto"/>
              </w:rPr>
              <w:t>(58,735)</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516,967</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519,541</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sales by product line for the Building Materials business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5"/>
          </w:tcPr>
          <w:p>
            <w:pPr>
              <w:jc w:val="center"/>
              <w:ind w:right="480"/>
              <w:spacing w:after="0"/>
              <w:rPr>
                <w:sz w:val="20"/>
                <w:szCs w:val="20"/>
                <w:color w:val="auto"/>
              </w:rPr>
            </w:pPr>
            <w:r>
              <w:rPr>
                <w:rFonts w:ascii="Times New Roman" w:cs="Times New Roman" w:eastAsia="Times New Roman" w:hAnsi="Times New Roman"/>
                <w:sz w:val="20"/>
                <w:szCs w:val="20"/>
                <w:color w:val="auto"/>
                <w:w w:val="98"/>
              </w:rPr>
              <w:t>Nine-Months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8"/>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20" w:type="dxa"/>
            <w:vAlign w:val="bottom"/>
            <w:gridSpan w:val="4"/>
          </w:tcPr>
          <w:p>
            <w:pPr>
              <w:jc w:val="center"/>
              <w:ind w:right="261"/>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80" w:type="dxa"/>
            <w:vAlign w:val="bottom"/>
            <w:gridSpan w:val="2"/>
            <w:vMerge w:val="continue"/>
          </w:tcPr>
          <w:p>
            <w:pPr>
              <w:spacing w:after="0"/>
              <w:rPr>
                <w:sz w:val="19"/>
                <w:szCs w:val="19"/>
                <w:color w:val="auto"/>
              </w:rPr>
            </w:pPr>
          </w:p>
        </w:tc>
        <w:tc>
          <w:tcPr>
            <w:tcW w:w="2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Aggregates</w:t>
            </w:r>
          </w:p>
        </w:tc>
        <w:tc>
          <w:tcPr>
            <w:tcW w:w="29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1,776,292</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1,715,457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Cement</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290,513</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287,944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Ready Mixed Concrete</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705,128</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666,506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Asphalt and Paving</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291,844</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253,937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Less: Interproduct revenues</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(271,171)</w:t>
            </w:r>
          </w:p>
        </w:tc>
        <w:tc>
          <w:tcPr>
            <w:tcW w:w="5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(246,865)</w:t>
            </w:r>
          </w:p>
        </w:tc>
        <w:tc>
          <w:tcPr>
            <w:tcW w:w="0" w:type="dxa"/>
            <w:vAlign w:val="bottom"/>
          </w:tcPr>
          <w:p>
            <w:pPr>
              <w:spacing w:after="0"/>
              <w:rPr>
                <w:sz w:val="1"/>
                <w:szCs w:val="1"/>
                <w:color w:val="auto"/>
              </w:rPr>
            </w:pPr>
          </w:p>
        </w:tc>
      </w:tr>
      <w:tr>
        <w:trPr>
          <w:trHeight w:val="277"/>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56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2,792,606</w:t>
            </w:r>
          </w:p>
        </w:tc>
        <w:tc>
          <w:tcPr>
            <w:tcW w:w="28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2,676,979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Aggregates</w:t>
            </w:r>
          </w:p>
        </w:tc>
        <w:tc>
          <w:tcPr>
            <w:tcW w:w="290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1,620,962</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1,559,688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Cement</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281,315</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279,045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Ready Mixed Concrete</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704,491</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665,546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Asphalt and Paving</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288,171</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251,712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Less: Interproduct sales</w:t>
            </w:r>
          </w:p>
        </w:tc>
        <w:tc>
          <w:tcPr>
            <w:tcW w:w="2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0"/>
                <w:szCs w:val="20"/>
                <w:color w:val="auto"/>
              </w:rPr>
              <w:t>(271,171)</w:t>
            </w:r>
          </w:p>
        </w:tc>
        <w:tc>
          <w:tcPr>
            <w:tcW w:w="5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20"/>
                <w:szCs w:val="20"/>
                <w:color w:val="auto"/>
              </w:rPr>
              <w:t>(246,866)</w:t>
            </w:r>
          </w:p>
        </w:tc>
        <w:tc>
          <w:tcPr>
            <w:tcW w:w="0" w:type="dxa"/>
            <w:vAlign w:val="bottom"/>
          </w:tcPr>
          <w:p>
            <w:pPr>
              <w:spacing w:after="0"/>
              <w:rPr>
                <w:sz w:val="1"/>
                <w:szCs w:val="1"/>
                <w:color w:val="auto"/>
              </w:rPr>
            </w:pPr>
          </w:p>
        </w:tc>
      </w:tr>
      <w:tr>
        <w:trPr>
          <w:trHeight w:val="237"/>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25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2,623,768</w:t>
            </w:r>
          </w:p>
        </w:tc>
        <w:tc>
          <w:tcPr>
            <w:tcW w:w="2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2,509,125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35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volume and pricing data and shipments data for the aggregates product line.</w:t>
      </w:r>
    </w:p>
    <w:p>
      <w:pPr>
        <w:spacing w:after="0" w:line="324"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20"/>
          <w:szCs w:val="20"/>
          <w:color w:val="auto"/>
        </w:rPr>
        <w:t>Nine-Months Ended</w:t>
      </w:r>
    </w:p>
    <w:p>
      <w:pPr>
        <w:spacing w:after="0" w:line="28"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20"/>
          <w:szCs w:val="20"/>
          <w:color w:val="auto"/>
        </w:rPr>
        <w:t>September 30, 2017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00" w:type="dxa"/>
            <w:vAlign w:val="bottom"/>
            <w:tcBorders>
              <w:bottom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Volume</w:t>
            </w:r>
          </w:p>
        </w:tc>
        <w:tc>
          <w:tcPr>
            <w:tcW w:w="4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CFF0FC"/>
            </w:tcBorders>
          </w:tcPr>
          <w:p>
            <w:pPr>
              <w:spacing w:after="0"/>
              <w:rPr>
                <w:sz w:val="20"/>
                <w:szCs w:val="20"/>
                <w:color w:val="auto"/>
              </w:rPr>
            </w:pPr>
          </w:p>
        </w:tc>
        <w:tc>
          <w:tcPr>
            <w:tcW w:w="15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7"/>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 xml:space="preserve">Volume/Pricing Variance </w:t>
            </w:r>
            <w:r>
              <w:rPr>
                <w:rFonts w:ascii="Times New Roman" w:cs="Times New Roman" w:eastAsia="Times New Roman" w:hAnsi="Times New Roman"/>
                <w:sz w:val="16"/>
                <w:szCs w:val="16"/>
                <w:color w:val="auto"/>
              </w:rPr>
              <w:t>(1)</w:t>
            </w:r>
          </w:p>
        </w:tc>
        <w:tc>
          <w:tcPr>
            <w:tcW w:w="1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88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Mid-America Group</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(0.5)%</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r>
      <w:tr>
        <w:trPr>
          <w:trHeight w:val="243"/>
        </w:trPr>
        <w:tc>
          <w:tcPr>
            <w:tcW w:w="88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Southeast Group</w:t>
            </w: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20"/>
                <w:szCs w:val="20"/>
                <w:color w:val="auto"/>
              </w:rPr>
              <w:t>5.3%</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10.2%</w:t>
            </w:r>
          </w:p>
        </w:tc>
      </w:tr>
      <w:tr>
        <w:trPr>
          <w:trHeight w:val="243"/>
        </w:trPr>
        <w:tc>
          <w:tcPr>
            <w:tcW w:w="88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West Group</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(2.4)%</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w:t>
            </w:r>
          </w:p>
        </w:tc>
      </w:tr>
      <w:tr>
        <w:trPr>
          <w:trHeight w:val="243"/>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Product Line</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20"/>
                <w:szCs w:val="20"/>
                <w:color w:val="auto"/>
              </w:rPr>
              <w:t>(0.6)%</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4.7%</w:t>
            </w:r>
          </w:p>
        </w:tc>
      </w:tr>
    </w:tbl>
    <w:p>
      <w:pPr>
        <w:spacing w:after="0" w:line="81"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20"/>
          <w:szCs w:val="20"/>
          <w:i w:val="1"/>
          <w:iCs w:val="1"/>
          <w:color w:val="auto"/>
        </w:rPr>
        <w:t>Volume/pricing variances reflect the percentage increase/(decrease) from the comparable period in the prior year.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tcPr>
          <w:p>
            <w:pPr>
              <w:spacing w:after="0"/>
              <w:rPr>
                <w:sz w:val="21"/>
                <w:szCs w:val="21"/>
                <w:color w:val="auto"/>
              </w:rPr>
            </w:pPr>
          </w:p>
        </w:tc>
        <w:tc>
          <w:tcPr>
            <w:tcW w:w="3560" w:type="dxa"/>
            <w:vAlign w:val="bottom"/>
            <w:gridSpan w:val="5"/>
          </w:tcPr>
          <w:p>
            <w:pPr>
              <w:jc w:val="center"/>
              <w:ind w:right="120"/>
              <w:spacing w:after="0"/>
              <w:rPr>
                <w:sz w:val="20"/>
                <w:szCs w:val="20"/>
                <w:color w:val="auto"/>
              </w:rPr>
            </w:pPr>
            <w:r>
              <w:rPr>
                <w:rFonts w:ascii="Times New Roman" w:cs="Times New Roman" w:eastAsia="Times New Roman" w:hAnsi="Times New Roman"/>
                <w:sz w:val="20"/>
                <w:szCs w:val="20"/>
                <w:color w:val="auto"/>
                <w:w w:val="98"/>
              </w:rPr>
              <w:t>Nine-Months Ended</w:t>
            </w:r>
          </w:p>
        </w:tc>
      </w:tr>
      <w:tr>
        <w:trPr>
          <w:trHeight w:val="252"/>
        </w:trPr>
        <w:tc>
          <w:tcPr>
            <w:tcW w:w="7860" w:type="dxa"/>
            <w:vAlign w:val="bottom"/>
          </w:tcPr>
          <w:p>
            <w:pPr>
              <w:spacing w:after="0"/>
              <w:rPr>
                <w:sz w:val="21"/>
                <w:szCs w:val="21"/>
                <w:color w:val="auto"/>
              </w:rPr>
            </w:pPr>
          </w:p>
        </w:tc>
        <w:tc>
          <w:tcPr>
            <w:tcW w:w="2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20"/>
                <w:szCs w:val="20"/>
                <w:color w:val="auto"/>
                <w:w w:val="98"/>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860" w:type="dxa"/>
            <w:vAlign w:val="bottom"/>
          </w:tcPr>
          <w:p>
            <w:pPr>
              <w:spacing w:after="0"/>
              <w:rPr>
                <w:sz w:val="20"/>
                <w:szCs w:val="20"/>
                <w:color w:val="auto"/>
              </w:rPr>
            </w:pPr>
          </w:p>
        </w:tc>
        <w:tc>
          <w:tcPr>
            <w:tcW w:w="15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0"/>
                <w:szCs w:val="20"/>
                <w:color w:val="auto"/>
              </w:rPr>
            </w:pPr>
          </w:p>
        </w:tc>
      </w:tr>
      <w:tr>
        <w:trPr>
          <w:trHeight w:val="237"/>
        </w:trPr>
        <w:tc>
          <w:tcPr>
            <w:tcW w:w="7860" w:type="dxa"/>
            <w:vAlign w:val="bottom"/>
          </w:tcPr>
          <w:p>
            <w:pPr>
              <w:spacing w:after="0"/>
              <w:rPr>
                <w:sz w:val="20"/>
                <w:szCs w:val="20"/>
                <w:color w:val="auto"/>
              </w:rPr>
            </w:pPr>
          </w:p>
        </w:tc>
        <w:tc>
          <w:tcPr>
            <w:tcW w:w="3440" w:type="dxa"/>
            <w:vAlign w:val="bottom"/>
            <w:gridSpan w:val="4"/>
          </w:tcPr>
          <w:p>
            <w:pPr>
              <w:jc w:val="center"/>
              <w:spacing w:after="0"/>
              <w:rPr>
                <w:sz w:val="20"/>
                <w:szCs w:val="20"/>
                <w:color w:val="auto"/>
              </w:rPr>
            </w:pPr>
            <w:r>
              <w:rPr>
                <w:rFonts w:ascii="Times New Roman" w:cs="Times New Roman" w:eastAsia="Times New Roman" w:hAnsi="Times New Roman"/>
                <w:sz w:val="20"/>
                <w:szCs w:val="20"/>
                <w:i w:val="1"/>
                <w:iCs w:val="1"/>
                <w:color w:val="auto"/>
                <w:w w:val="97"/>
              </w:rPr>
              <w:t>(Tons in Thousands)</w:t>
            </w:r>
          </w:p>
        </w:tc>
        <w:tc>
          <w:tcPr>
            <w:tcW w:w="120" w:type="dxa"/>
            <w:vAlign w:val="bottom"/>
          </w:tcPr>
          <w:p>
            <w:pPr>
              <w:spacing w:after="0"/>
              <w:rPr>
                <w:sz w:val="20"/>
                <w:szCs w:val="20"/>
                <w:color w:val="auto"/>
              </w:rPr>
            </w:pPr>
          </w:p>
        </w:tc>
      </w:tr>
      <w:tr>
        <w:trPr>
          <w:trHeight w:val="24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Shipments</w:t>
            </w:r>
          </w:p>
        </w:tc>
        <w:tc>
          <w:tcPr>
            <w:tcW w:w="1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78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Mid-America Group</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54,624</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54,872</w:t>
            </w:r>
          </w:p>
        </w:tc>
        <w:tc>
          <w:tcPr>
            <w:tcW w:w="120" w:type="dxa"/>
            <w:vAlign w:val="bottom"/>
          </w:tcPr>
          <w:p>
            <w:pPr>
              <w:spacing w:after="0"/>
              <w:rPr>
                <w:sz w:val="21"/>
                <w:szCs w:val="21"/>
                <w:color w:val="auto"/>
              </w:rPr>
            </w:pPr>
          </w:p>
        </w:tc>
      </w:tr>
      <w:tr>
        <w:trPr>
          <w:trHeight w:val="243"/>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Southeast Group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15,579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14,802</w:t>
            </w:r>
          </w:p>
        </w:tc>
        <w:tc>
          <w:tcPr>
            <w:tcW w:w="120" w:type="dxa"/>
            <w:vAlign w:val="bottom"/>
            <w:shd w:val="clear" w:color="auto" w:fill="CFF0FC"/>
          </w:tcPr>
          <w:p>
            <w:pPr>
              <w:spacing w:after="0"/>
              <w:rPr>
                <w:sz w:val="21"/>
                <w:szCs w:val="21"/>
                <w:color w:val="auto"/>
              </w:rPr>
            </w:pPr>
          </w:p>
        </w:tc>
      </w:tr>
      <w:tr>
        <w:trPr>
          <w:trHeight w:val="243"/>
        </w:trPr>
        <w:tc>
          <w:tcPr>
            <w:tcW w:w="7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20"/>
                <w:szCs w:val="20"/>
                <w:color w:val="auto"/>
              </w:rPr>
              <w:t>West Group</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49,637</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50,845</w:t>
            </w:r>
          </w:p>
        </w:tc>
        <w:tc>
          <w:tcPr>
            <w:tcW w:w="120" w:type="dxa"/>
            <w:vAlign w:val="bottom"/>
            <w:tcBorders>
              <w:bottom w:val="single" w:sz="8" w:color="CFF0FC"/>
            </w:tcBorders>
          </w:tcPr>
          <w:p>
            <w:pPr>
              <w:spacing w:after="0"/>
              <w:rPr>
                <w:sz w:val="21"/>
                <w:szCs w:val="21"/>
                <w:color w:val="auto"/>
              </w:rPr>
            </w:pPr>
          </w:p>
        </w:tc>
      </w:tr>
      <w:tr>
        <w:trPr>
          <w:trHeight w:val="237"/>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Product Line</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119,840</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120,519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36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Unit shipments by product line for the Company is as follows:</w:t>
            </w: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3560" w:type="dxa"/>
            <w:vAlign w:val="bottom"/>
            <w:gridSpan w:val="5"/>
          </w:tcPr>
          <w:p>
            <w:pPr>
              <w:jc w:val="center"/>
              <w:ind w:right="120"/>
              <w:spacing w:after="0"/>
              <w:rPr>
                <w:sz w:val="20"/>
                <w:szCs w:val="20"/>
                <w:color w:val="auto"/>
              </w:rPr>
            </w:pPr>
            <w:r>
              <w:rPr>
                <w:rFonts w:ascii="Times New Roman" w:cs="Times New Roman" w:eastAsia="Times New Roman" w:hAnsi="Times New Roman"/>
                <w:sz w:val="20"/>
                <w:szCs w:val="20"/>
                <w:color w:val="auto"/>
                <w:w w:val="98"/>
              </w:rPr>
              <w:t>Nine-Months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2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20"/>
                <w:szCs w:val="20"/>
                <w:color w:val="auto"/>
                <w:w w:val="98"/>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bottom w:val="single" w:sz="8" w:color="CFF0FC"/>
            </w:tcBorders>
          </w:tcPr>
          <w:p>
            <w:pPr>
              <w:spacing w:after="0"/>
              <w:rPr>
                <w:sz w:val="20"/>
                <w:szCs w:val="20"/>
                <w:color w:val="auto"/>
              </w:rPr>
            </w:pPr>
          </w:p>
        </w:tc>
        <w:tc>
          <w:tcPr>
            <w:tcW w:w="15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Shipments</w:t>
            </w:r>
          </w:p>
        </w:tc>
        <w:tc>
          <w:tcPr>
            <w:tcW w:w="1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Aggregates Product Line (in thousands):</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111,617</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112,602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20"/>
                <w:szCs w:val="20"/>
                <w:color w:val="auto"/>
              </w:rPr>
              <w:t>Internal tons used in other product lines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8,223</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7,917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aggregates tons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119,840</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120,519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Cement (in thousands):</w:t>
            </w:r>
          </w:p>
        </w:tc>
        <w:tc>
          <w:tcPr>
            <w:tcW w:w="1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1,749</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20"/>
                <w:szCs w:val="20"/>
                <w:color w:val="auto"/>
              </w:rPr>
              <w:t>Internal tons used in ready mixed concrete</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895</w:t>
            </w:r>
          </w:p>
        </w:tc>
        <w:tc>
          <w:tcPr>
            <w:tcW w:w="28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cement tons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2,644</w:t>
            </w:r>
          </w:p>
        </w:tc>
        <w:tc>
          <w:tcPr>
            <w:tcW w:w="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Ready Mixed Concrete (in thousands of cubic yards)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6,442</w:t>
            </w:r>
          </w:p>
        </w:tc>
        <w:tc>
          <w:tcPr>
            <w:tcW w:w="280" w:type="dxa"/>
            <w:vAlign w:val="bottom"/>
            <w:tcBorders>
              <w:bottom w:val="single" w:sz="8" w:color="CFF0FC"/>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6,269</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Asphalt (in thousands):</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20"/>
                <w:szCs w:val="20"/>
                <w:color w:val="auto"/>
              </w:rPr>
              <w:t>Tons to external customers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863</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755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20"/>
                <w:szCs w:val="20"/>
                <w:color w:val="auto"/>
              </w:rPr>
              <w:t>Internal tons used in paving business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1,615</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asphalt tons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2,478</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2,352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Average selling prices by product line for the Company were as follows:</w:t>
            </w: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44"/>
        </w:trPr>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gridSpan w:val="4"/>
          </w:tcPr>
          <w:p>
            <w:pPr>
              <w:jc w:val="center"/>
              <w:ind w:right="440"/>
              <w:spacing w:after="0"/>
              <w:rPr>
                <w:sz w:val="20"/>
                <w:szCs w:val="20"/>
                <w:color w:val="auto"/>
              </w:rPr>
            </w:pPr>
            <w:r>
              <w:rPr>
                <w:rFonts w:ascii="Times New Roman" w:cs="Times New Roman" w:eastAsia="Times New Roman" w:hAnsi="Times New Roman"/>
                <w:sz w:val="20"/>
                <w:szCs w:val="20"/>
                <w:color w:val="auto"/>
                <w:w w:val="98"/>
              </w:rPr>
              <w:t>Nine-Months Ended</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2"/>
        </w:trPr>
        <w:tc>
          <w:tcPr>
            <w:tcW w:w="4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0"/>
                <w:szCs w:val="20"/>
                <w:color w:val="auto"/>
                <w:w w:val="98"/>
              </w:rPr>
              <w:t>September 30,</w:t>
            </w:r>
          </w:p>
        </w:tc>
        <w:tc>
          <w:tcPr>
            <w:tcW w:w="13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44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2016</w:t>
            </w: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Aggregates (per ton)</w:t>
            </w:r>
          </w:p>
        </w:tc>
        <w:tc>
          <w:tcPr>
            <w:tcW w:w="1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13.43</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12.83</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4.7%</w:t>
            </w:r>
          </w:p>
        </w:tc>
      </w:tr>
      <w:tr>
        <w:trPr>
          <w:trHeight w:val="243"/>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Cement (per ton)</w:t>
            </w:r>
          </w:p>
        </w:tc>
        <w:tc>
          <w:tcPr>
            <w:tcW w:w="2420" w:type="dxa"/>
            <w:vAlign w:val="bottom"/>
            <w:gridSpan w:val="2"/>
          </w:tcPr>
          <w:p>
            <w:pPr>
              <w:jc w:val="right"/>
              <w:ind w:right="921"/>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101.37</w:t>
            </w:r>
          </w:p>
        </w:tc>
        <w:tc>
          <w:tcPr>
            <w:tcW w:w="36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3.8%</w:t>
            </w:r>
          </w:p>
        </w:tc>
      </w:tr>
      <w:tr>
        <w:trPr>
          <w:trHeight w:val="24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Ready Mixed Concrete (per cubic yard)</w:t>
            </w:r>
          </w:p>
        </w:tc>
        <w:tc>
          <w:tcPr>
            <w:tcW w:w="2420" w:type="dxa"/>
            <w:vAlign w:val="bottom"/>
            <w:gridSpan w:val="2"/>
            <w:shd w:val="clear" w:color="auto" w:fill="CFF0FC"/>
          </w:tcPr>
          <w:p>
            <w:pPr>
              <w:jc w:val="right"/>
              <w:ind w:right="921"/>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107.34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104.06</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3.2%</w:t>
            </w:r>
          </w:p>
        </w:tc>
      </w:tr>
      <w:tr>
        <w:trPr>
          <w:trHeight w:val="258"/>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Asphalt (per ton)</w:t>
            </w:r>
          </w:p>
        </w:tc>
        <w:tc>
          <w:tcPr>
            <w:tcW w:w="2420" w:type="dxa"/>
            <w:vAlign w:val="bottom"/>
            <w:gridSpan w:val="2"/>
          </w:tcPr>
          <w:p>
            <w:pPr>
              <w:jc w:val="right"/>
              <w:ind w:right="921"/>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39.54</w:t>
            </w:r>
          </w:p>
        </w:tc>
        <w:tc>
          <w:tcPr>
            <w:tcW w:w="360" w:type="dxa"/>
            <w:vAlign w:val="bottom"/>
          </w:tcPr>
          <w:p>
            <w:pPr>
              <w:spacing w:after="0"/>
              <w:rPr>
                <w:sz w:val="22"/>
                <w:szCs w:val="22"/>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w:t>
            </w:r>
          </w:p>
        </w:tc>
      </w:tr>
    </w:tbl>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first nine months of 2017, Magnesia Specialties reported net sales of $186.3 million, a 4.3% increase compared with the prior-year period. Earnings from operations were $58.6 million compared with $60.3 million. Production cost increases outpaced net sales growth due to planned and unplanned maintenance costs and stripping costs at the Woodville, Ohio limestone plant.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37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Consolidated gross margin declined 10 basis points in 2017. The following presents a rollforward of the Company’s gross profit (dollars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Consolidated gross profit, nine-months ended September 30, 2016</w:t>
            </w:r>
          </w:p>
        </w:tc>
        <w:tc>
          <w:tcPr>
            <w:tcW w:w="680" w:type="dxa"/>
            <w:vAlign w:val="bottom"/>
            <w:tcBorders>
              <w:bottom w:val="single" w:sz="8" w:color="auto"/>
            </w:tcBorders>
            <w:shd w:val="clear" w:color="auto" w:fill="CFF0FC"/>
          </w:tcPr>
          <w:p>
            <w:pPr>
              <w:jc w:val="right"/>
              <w:ind w:right="48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685,988</w:t>
            </w:r>
          </w:p>
        </w:tc>
        <w:tc>
          <w:tcPr>
            <w:tcW w:w="100" w:type="dxa"/>
            <w:vAlign w:val="bottom"/>
            <w:shd w:val="clear" w:color="auto" w:fill="CFF0FC"/>
          </w:tcPr>
          <w:p>
            <w:pPr>
              <w:spacing w:after="0"/>
              <w:rPr>
                <w:sz w:val="21"/>
                <w:szCs w:val="21"/>
                <w:color w:val="auto"/>
              </w:rPr>
            </w:pPr>
          </w:p>
        </w:tc>
      </w:tr>
      <w:tr>
        <w:trPr>
          <w:trHeight w:val="237"/>
        </w:trPr>
        <w:tc>
          <w:tcPr>
            <w:tcW w:w="9400" w:type="dxa"/>
            <w:vAlign w:val="bottom"/>
          </w:tcPr>
          <w:p>
            <w:pPr>
              <w:spacing w:after="0"/>
              <w:rPr>
                <w:sz w:val="20"/>
                <w:szCs w:val="20"/>
                <w:color w:val="auto"/>
              </w:rPr>
            </w:pPr>
            <w:r>
              <w:rPr>
                <w:rFonts w:ascii="Times New Roman" w:cs="Times New Roman" w:eastAsia="Times New Roman" w:hAnsi="Times New Roman"/>
                <w:sz w:val="20"/>
                <w:szCs w:val="20"/>
                <w:color w:val="auto"/>
              </w:rPr>
              <w:t>Aggregates product line:</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Volume</w:t>
            </w: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(11,802)</w:t>
            </w:r>
          </w:p>
        </w:tc>
      </w:tr>
      <w:tr>
        <w:trPr>
          <w:trHeight w:val="243"/>
        </w:trPr>
        <w:tc>
          <w:tcPr>
            <w:tcW w:w="9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Pricing</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72,718</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Cost increases, net</w:t>
            </w: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(41,177)</w:t>
            </w:r>
          </w:p>
        </w:tc>
      </w:tr>
      <w:tr>
        <w:trPr>
          <w:trHeight w:val="237"/>
        </w:trPr>
        <w:tc>
          <w:tcPr>
            <w:tcW w:w="9400" w:type="dxa"/>
            <w:vAlign w:val="bottom"/>
          </w:tcPr>
          <w:p>
            <w:pPr>
              <w:spacing w:after="0"/>
              <w:rPr>
                <w:sz w:val="20"/>
                <w:szCs w:val="20"/>
                <w:color w:val="auto"/>
              </w:rPr>
            </w:pPr>
            <w:r>
              <w:rPr>
                <w:rFonts w:ascii="Times New Roman" w:cs="Times New Roman" w:eastAsia="Times New Roman" w:hAnsi="Times New Roman"/>
                <w:sz w:val="20"/>
                <w:szCs w:val="20"/>
                <w:color w:val="auto"/>
              </w:rPr>
              <w:t>Change in aggregates product line gross profit</w:t>
            </w:r>
          </w:p>
        </w:tc>
        <w:tc>
          <w:tcPr>
            <w:tcW w:w="6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19,739</w:t>
            </w:r>
          </w:p>
        </w:tc>
        <w:tc>
          <w:tcPr>
            <w:tcW w:w="100" w:type="dxa"/>
            <w:vAlign w:val="bottom"/>
          </w:tcPr>
          <w:p>
            <w:pPr>
              <w:spacing w:after="0"/>
              <w:rPr>
                <w:sz w:val="20"/>
                <w:szCs w:val="20"/>
                <w:color w:val="auto"/>
              </w:rPr>
            </w:pPr>
          </w:p>
        </w:tc>
      </w:tr>
      <w:tr>
        <w:trPr>
          <w:trHeight w:val="243"/>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Vertically-integrated product lines</w:t>
            </w: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(3,403)</w:t>
            </w:r>
          </w:p>
        </w:tc>
      </w:tr>
      <w:tr>
        <w:trPr>
          <w:trHeight w:val="243"/>
        </w:trPr>
        <w:tc>
          <w:tcPr>
            <w:tcW w:w="9400" w:type="dxa"/>
            <w:vAlign w:val="bottom"/>
          </w:tcPr>
          <w:p>
            <w:pPr>
              <w:spacing w:after="0"/>
              <w:rPr>
                <w:sz w:val="20"/>
                <w:szCs w:val="20"/>
                <w:color w:val="auto"/>
              </w:rPr>
            </w:pPr>
            <w:r>
              <w:rPr>
                <w:rFonts w:ascii="Times New Roman" w:cs="Times New Roman" w:eastAsia="Times New Roman" w:hAnsi="Times New Roman"/>
                <w:sz w:val="20"/>
                <w:szCs w:val="20"/>
                <w:color w:val="auto"/>
              </w:rPr>
              <w:t>Magnesia Specialties</w:t>
            </w: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(1,715)</w:t>
            </w:r>
          </w:p>
        </w:tc>
      </w:tr>
      <w:tr>
        <w:trPr>
          <w:trHeight w:val="243"/>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w:t>
            </w:r>
          </w:p>
        </w:tc>
        <w:tc>
          <w:tcPr>
            <w:tcW w:w="6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12,229</w:t>
            </w:r>
          </w:p>
        </w:tc>
        <w:tc>
          <w:tcPr>
            <w:tcW w:w="100" w:type="dxa"/>
            <w:vAlign w:val="bottom"/>
            <w:shd w:val="clear" w:color="auto" w:fill="CFF0FC"/>
          </w:tcPr>
          <w:p>
            <w:pPr>
              <w:spacing w:after="0"/>
              <w:rPr>
                <w:sz w:val="21"/>
                <w:szCs w:val="21"/>
                <w:color w:val="auto"/>
              </w:rPr>
            </w:pPr>
          </w:p>
        </w:tc>
      </w:tr>
      <w:tr>
        <w:trPr>
          <w:trHeight w:val="237"/>
        </w:trPr>
        <w:tc>
          <w:tcPr>
            <w:tcW w:w="9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Change in consolidated gross profit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26,850</w:t>
            </w:r>
          </w:p>
        </w:tc>
        <w:tc>
          <w:tcPr>
            <w:tcW w:w="100" w:type="dxa"/>
            <w:vAlign w:val="bottom"/>
            <w:tcBorders>
              <w:bottom w:val="single" w:sz="8" w:color="CFF0FC"/>
            </w:tcBorders>
          </w:tcPr>
          <w:p>
            <w:pPr>
              <w:spacing w:after="0"/>
              <w:rPr>
                <w:sz w:val="20"/>
                <w:szCs w:val="20"/>
                <w:color w:val="auto"/>
              </w:rPr>
            </w:pPr>
          </w:p>
        </w:tc>
      </w:tr>
      <w:tr>
        <w:trPr>
          <w:trHeight w:val="237"/>
        </w:trPr>
        <w:tc>
          <w:tcPr>
            <w:tcW w:w="9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Consolidated gross profit, nine-months ended September 30, 2017</w:t>
            </w:r>
          </w:p>
        </w:tc>
        <w:tc>
          <w:tcPr>
            <w:tcW w:w="680" w:type="dxa"/>
            <w:vAlign w:val="bottom"/>
            <w:tcBorders>
              <w:bottom w:val="single" w:sz="8" w:color="auto"/>
            </w:tcBorders>
            <w:shd w:val="clear" w:color="auto" w:fill="CFF0FC"/>
          </w:tcPr>
          <w:p>
            <w:pPr>
              <w:jc w:val="right"/>
              <w:ind w:right="48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712,838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9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(loss) by business is as follows:</w:t>
            </w:r>
          </w:p>
        </w:tc>
        <w:tc>
          <w:tcPr>
            <w:tcW w:w="15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76"/>
        </w:trPr>
        <w:tc>
          <w:tcPr>
            <w:tcW w:w="5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Nine-Months Ended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50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September 30,</w:t>
            </w: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color w:val="auto"/>
              </w:rPr>
              <w:t>2016</w:t>
            </w:r>
          </w:p>
        </w:tc>
        <w:tc>
          <w:tcPr>
            <w:tcW w:w="100" w:type="dxa"/>
            <w:vAlign w:val="bottom"/>
          </w:tcPr>
          <w:p>
            <w:pPr>
              <w:spacing w:after="0"/>
              <w:rPr>
                <w:sz w:val="20"/>
                <w:szCs w:val="20"/>
                <w:color w:val="auto"/>
              </w:rPr>
            </w:pPr>
          </w:p>
        </w:tc>
      </w:tr>
      <w:tr>
        <w:trPr>
          <w:trHeight w:val="237"/>
        </w:trPr>
        <w:tc>
          <w:tcPr>
            <w:tcW w:w="5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Gross profit (loss):</w:t>
            </w:r>
          </w:p>
        </w:tc>
        <w:tc>
          <w:tcPr>
            <w:tcW w:w="15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Building Materials Business</w:t>
            </w:r>
          </w:p>
        </w:tc>
        <w:tc>
          <w:tcPr>
            <w:tcW w:w="1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Aggregates</w:t>
            </w:r>
          </w:p>
        </w:tc>
        <w:tc>
          <w:tcPr>
            <w:tcW w:w="2900" w:type="dxa"/>
            <w:vAlign w:val="bottom"/>
            <w:gridSpan w:val="2"/>
            <w:shd w:val="clear" w:color="auto" w:fill="CFF0FC"/>
          </w:tcPr>
          <w:p>
            <w:pPr>
              <w:jc w:val="right"/>
              <w:ind w:right="1141"/>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440,711</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0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420,972</w:t>
            </w:r>
          </w:p>
        </w:tc>
        <w:tc>
          <w:tcPr>
            <w:tcW w:w="100" w:type="dxa"/>
            <w:vAlign w:val="bottom"/>
            <w:shd w:val="clear" w:color="auto" w:fill="CFF0FC"/>
          </w:tcPr>
          <w:p>
            <w:pPr>
              <w:spacing w:after="0"/>
              <w:rPr>
                <w:sz w:val="21"/>
                <w:szCs w:val="21"/>
                <w:color w:val="auto"/>
              </w:rPr>
            </w:pPr>
          </w:p>
        </w:tc>
      </w:tr>
      <w:tr>
        <w:trPr>
          <w:trHeight w:val="243"/>
        </w:trPr>
        <w:tc>
          <w:tcPr>
            <w:tcW w:w="50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Cement</w:t>
            </w:r>
          </w:p>
        </w:tc>
        <w:tc>
          <w:tcPr>
            <w:tcW w:w="1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87,962</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93,535</w:t>
            </w:r>
          </w:p>
        </w:tc>
        <w:tc>
          <w:tcPr>
            <w:tcW w:w="100" w:type="dxa"/>
            <w:vAlign w:val="bottom"/>
          </w:tcPr>
          <w:p>
            <w:pPr>
              <w:spacing w:after="0"/>
              <w:rPr>
                <w:sz w:val="21"/>
                <w:szCs w:val="21"/>
                <w:color w:val="auto"/>
              </w:rPr>
            </w:pPr>
          </w:p>
        </w:tc>
      </w:tr>
      <w:tr>
        <w:trPr>
          <w:trHeight w:val="243"/>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Ready Mixed Concrete</w:t>
            </w:r>
          </w:p>
        </w:tc>
        <w:tc>
          <w:tcPr>
            <w:tcW w:w="15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70,562</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75,987</w:t>
            </w:r>
          </w:p>
        </w:tc>
        <w:tc>
          <w:tcPr>
            <w:tcW w:w="100" w:type="dxa"/>
            <w:vAlign w:val="bottom"/>
            <w:shd w:val="clear" w:color="auto" w:fill="CFF0FC"/>
          </w:tcPr>
          <w:p>
            <w:pPr>
              <w:spacing w:after="0"/>
              <w:rPr>
                <w:sz w:val="21"/>
                <w:szCs w:val="21"/>
                <w:color w:val="auto"/>
              </w:rPr>
            </w:pPr>
          </w:p>
        </w:tc>
      </w:tr>
      <w:tr>
        <w:trPr>
          <w:trHeight w:val="243"/>
        </w:trPr>
        <w:tc>
          <w:tcPr>
            <w:tcW w:w="5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20"/>
                <w:szCs w:val="20"/>
                <w:color w:val="auto"/>
              </w:rPr>
              <w:t>Asphalt and Paving</w:t>
            </w:r>
          </w:p>
        </w:tc>
        <w:tc>
          <w:tcPr>
            <w:tcW w:w="156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44,433</w:t>
            </w:r>
          </w:p>
        </w:tc>
        <w:tc>
          <w:tcPr>
            <w:tcW w:w="360" w:type="dxa"/>
            <w:vAlign w:val="bottom"/>
            <w:tcBorders>
              <w:bottom w:val="single" w:sz="8" w:color="CFF0FC"/>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36,838</w:t>
            </w:r>
          </w:p>
        </w:tc>
        <w:tc>
          <w:tcPr>
            <w:tcW w:w="100" w:type="dxa"/>
            <w:vAlign w:val="bottom"/>
            <w:tcBorders>
              <w:bottom w:val="single" w:sz="8" w:color="CFF0FC"/>
            </w:tcBorders>
          </w:tcPr>
          <w:p>
            <w:pPr>
              <w:spacing w:after="0"/>
              <w:rPr>
                <w:sz w:val="21"/>
                <w:szCs w:val="21"/>
                <w:color w:val="auto"/>
              </w:rPr>
            </w:pPr>
          </w:p>
        </w:tc>
      </w:tr>
      <w:tr>
        <w:trPr>
          <w:trHeight w:val="23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Building Materials Business</w:t>
            </w:r>
          </w:p>
        </w:tc>
        <w:tc>
          <w:tcPr>
            <w:tcW w:w="15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643,668</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627,332</w:t>
            </w:r>
          </w:p>
        </w:tc>
        <w:tc>
          <w:tcPr>
            <w:tcW w:w="100" w:type="dxa"/>
            <w:vAlign w:val="bottom"/>
            <w:shd w:val="clear" w:color="auto" w:fill="CFF0FC"/>
          </w:tcPr>
          <w:p>
            <w:pPr>
              <w:spacing w:after="0"/>
              <w:rPr>
                <w:sz w:val="20"/>
                <w:szCs w:val="20"/>
                <w:color w:val="auto"/>
              </w:rPr>
            </w:pPr>
          </w:p>
        </w:tc>
      </w:tr>
      <w:tr>
        <w:trPr>
          <w:trHeight w:val="243"/>
        </w:trPr>
        <w:tc>
          <w:tcPr>
            <w:tcW w:w="50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Magnesia Specialties</w:t>
            </w:r>
          </w:p>
        </w:tc>
        <w:tc>
          <w:tcPr>
            <w:tcW w:w="1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65,849</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67,564</w:t>
            </w:r>
          </w:p>
        </w:tc>
        <w:tc>
          <w:tcPr>
            <w:tcW w:w="100" w:type="dxa"/>
            <w:vAlign w:val="bottom"/>
          </w:tcPr>
          <w:p>
            <w:pPr>
              <w:spacing w:after="0"/>
              <w:rPr>
                <w:sz w:val="21"/>
                <w:szCs w:val="21"/>
                <w:color w:val="auto"/>
              </w:rPr>
            </w:pPr>
          </w:p>
        </w:tc>
      </w:tr>
      <w:tr>
        <w:trPr>
          <w:trHeight w:val="243"/>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Corporate</w:t>
            </w:r>
          </w:p>
        </w:tc>
        <w:tc>
          <w:tcPr>
            <w:tcW w:w="15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3,321</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(8,908)</w:t>
            </w:r>
          </w:p>
        </w:tc>
      </w:tr>
      <w:tr>
        <w:trPr>
          <w:trHeight w:val="237"/>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56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1141"/>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712,838</w:t>
            </w:r>
          </w:p>
        </w:tc>
        <w:tc>
          <w:tcPr>
            <w:tcW w:w="3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685,988</w:t>
            </w:r>
          </w:p>
        </w:tc>
        <w:tc>
          <w:tcPr>
            <w:tcW w:w="100" w:type="dxa"/>
            <w:vAlign w:val="bottom"/>
          </w:tcPr>
          <w:p>
            <w:pPr>
              <w:spacing w:after="0"/>
              <w:rPr>
                <w:sz w:val="20"/>
                <w:szCs w:val="20"/>
                <w:color w:val="auto"/>
              </w:rPr>
            </w:pPr>
          </w:p>
        </w:tc>
      </w:tr>
      <w:tr>
        <w:trPr>
          <w:trHeight w:val="20"/>
        </w:trPr>
        <w:tc>
          <w:tcPr>
            <w:tcW w:w="5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Consolidated SG&amp;A expenses were 6.5% of total revenues, up 50 basis points compared with the prior-year period, driven by higher personnel and share-based compensation expense.</w:t>
      </w:r>
    </w:p>
    <w:p>
      <w:pPr>
        <w:spacing w:after="0" w:line="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For the first nine months, consolidated other operating income and expenses, net, was income of $2.6 million and $7.3 million in 2017 and 2016, respectively. The 2017 amount reflects a $13.5 million gain on the sale of real estate, offset by $12.4 million of nonrecurring repair costs related to certain of the Company’s leased railcars and approximately $7.5 million expense related to the retirement of the Chief Financial Officer (CFO). The vesting of the CFO’s shares of restricted stock awards, performance stock awards and stock options will continue on their original vesting schedules, which extend beyond the CFO’s retirement date. Accordingly, the Company recognized all remaining expense related to the stock-based awards.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38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estimated effective income tax rate for the nine-months ended was 26.2%, which, as a result of the adoption of ASU 2016-09 (see Note 1), reflects a 130-basis-point favorable impact from excess tax benefits related to stock-based compensation, which are treated as discrete events effective January 1, 2017.</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LIQUIDITY AND CAPITAL RESOURCES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Cash provided by operating activities for the nine-months ended September 30, 2017 was $418.4 million compared with $421.7 million for the same period in 2016. Operating cash flow is primarily derived from consolidated net earnings before deducting depreciation, depletion and amortization, and the impact of changes in working capital. Depreciation, depletion and amortization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5"/>
          </w:tcPr>
          <w:p>
            <w:pPr>
              <w:jc w:val="center"/>
              <w:ind w:right="480"/>
              <w:spacing w:after="0"/>
              <w:rPr>
                <w:sz w:val="20"/>
                <w:szCs w:val="20"/>
                <w:color w:val="auto"/>
              </w:rPr>
            </w:pPr>
            <w:r>
              <w:rPr>
                <w:rFonts w:ascii="Times New Roman" w:cs="Times New Roman" w:eastAsia="Times New Roman" w:hAnsi="Times New Roman"/>
                <w:sz w:val="20"/>
                <w:szCs w:val="20"/>
                <w:color w:val="auto"/>
                <w:w w:val="98"/>
              </w:rPr>
              <w:t>Nine-Months Ended</w:t>
            </w:r>
          </w:p>
        </w:tc>
      </w:tr>
      <w:tr>
        <w:trPr>
          <w:trHeight w:val="252"/>
        </w:trPr>
        <w:tc>
          <w:tcPr>
            <w:tcW w:w="4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center"/>
              <w:ind w:left="641"/>
              <w:spacing w:after="0"/>
              <w:rPr>
                <w:sz w:val="20"/>
                <w:szCs w:val="20"/>
                <w:color w:val="auto"/>
              </w:rPr>
            </w:pPr>
            <w:r>
              <w:rPr>
                <w:rFonts w:ascii="Times New Roman" w:cs="Times New Roman" w:eastAsia="Times New Roman" w:hAnsi="Times New Roman"/>
                <w:sz w:val="20"/>
                <w:szCs w:val="20"/>
                <w:color w:val="auto"/>
                <w:w w:val="98"/>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2017</w:t>
            </w: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0"/>
                <w:szCs w:val="20"/>
                <w:color w:val="auto"/>
              </w:rPr>
            </w:pPr>
          </w:p>
        </w:tc>
      </w:tr>
      <w:tr>
        <w:trPr>
          <w:trHeight w:val="237"/>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Times New Roman" w:cs="Times New Roman" w:eastAsia="Times New Roman" w:hAnsi="Times New Roman"/>
                <w:sz w:val="20"/>
                <w:szCs w:val="20"/>
                <w:i w:val="1"/>
                <w:iCs w:val="1"/>
                <w:color w:val="auto"/>
                <w:w w:val="98"/>
              </w:rPr>
              <w:t>(Dollars in Thousands)</w:t>
            </w:r>
          </w:p>
        </w:tc>
        <w:tc>
          <w:tcPr>
            <w:tcW w:w="120" w:type="dxa"/>
            <w:vAlign w:val="bottom"/>
          </w:tcPr>
          <w:p>
            <w:pPr>
              <w:spacing w:after="0"/>
              <w:rPr>
                <w:sz w:val="20"/>
                <w:szCs w:val="20"/>
                <w:color w:val="auto"/>
              </w:rPr>
            </w:pPr>
          </w:p>
        </w:tc>
      </w:tr>
      <w:tr>
        <w:trPr>
          <w:trHeight w:val="24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37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195,009</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188,603</w:t>
            </w:r>
          </w:p>
        </w:tc>
        <w:tc>
          <w:tcPr>
            <w:tcW w:w="120" w:type="dxa"/>
            <w:vAlign w:val="bottom"/>
            <w:shd w:val="clear" w:color="auto" w:fill="CFF0FC"/>
          </w:tcPr>
          <w:p>
            <w:pPr>
              <w:spacing w:after="0"/>
              <w:rPr>
                <w:sz w:val="21"/>
                <w:szCs w:val="21"/>
                <w:color w:val="auto"/>
              </w:rPr>
            </w:pP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Depletion</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12,812</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11,666</w:t>
            </w:r>
          </w:p>
        </w:tc>
        <w:tc>
          <w:tcPr>
            <w:tcW w:w="120" w:type="dxa"/>
            <w:vAlign w:val="bottom"/>
          </w:tcPr>
          <w:p>
            <w:pPr>
              <w:spacing w:after="0"/>
              <w:rPr>
                <w:sz w:val="21"/>
                <w:szCs w:val="21"/>
                <w:color w:val="auto"/>
              </w:rPr>
            </w:pPr>
          </w:p>
        </w:tc>
      </w:tr>
      <w:tr>
        <w:trPr>
          <w:trHeight w:val="24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33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13,597</w:t>
            </w:r>
          </w:p>
        </w:tc>
        <w:tc>
          <w:tcPr>
            <w:tcW w:w="280" w:type="dxa"/>
            <w:vAlign w:val="bottom"/>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11,728</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221,418</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211,997</w:t>
            </w:r>
          </w:p>
        </w:tc>
        <w:tc>
          <w:tcPr>
            <w:tcW w:w="12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seasonal nature of the aggregates-led construction business impacts quarterly operating cash flow when compared with the full year. Full-year 2016 net cash provided by operating activities was $689.2 million compared with $421.7 million for the first nine months of 2016.</w:t>
      </w:r>
    </w:p>
    <w:p>
      <w:pPr>
        <w:spacing w:after="0" w:line="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nine-months ended September 30, 2017, the Company had capital spending of $308.7 million. Full-year capital spending is expected to approximate $450 million to $500 million.</w:t>
      </w:r>
    </w:p>
    <w:p>
      <w:pPr>
        <w:spacing w:after="0" w:line="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did not make any repurchases of common stock during the third quarter. At September 30, 2017, 14,669,000 shares of common stock were remaining under the Company’s repurchase authorization.</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June 26, 2017, the Company announced a definitive agreement to acquire Bluegrass Materials Company (Bluegrass) for $1.625 billion in cash. The Company will not acquire any of Bluegrass’ cash and cash equivalents nor will it assume any of Bluegrass’ outstanding debt. Bluegrass is the largest privately-held, pure-play aggregates business in the United States and has a portfolio of 23 active sites with more than 125 years of strategically-located, high-quality reserves in Georgia, South Carolina, Tennessee, Maryland and Kentucky. These operations complement the Company’s existing southeastern footprint and provides a new growth platform within the southern portion of the Northeast Megaregion. The Company and Bluegrass are continuing to work closely and cooperatively with the Department of Justice in its review of the proposed transaction. The parties currently anticipate that the proposed acquisition will be completed in the first half of 2018. The Company currently expects to finance this acquisition using proceeds from new issuances of senior notes and/or borrowings under credit facilities.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39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May 22, 2017, the Company issued $300 million aggregate principal amount of Floating Rate Senior Notes due in 2020 (the Floating Rate Notes) and $300 million principal amount of 3.450% Senior Notes due in 2027 (the 3.450% Senior Notes, and together with the Floating Rate Notes, the Senior Notes). The Senior Notes are senior unsecured obligations of the Company. The 3.450% Senior Notes may be redeemed in whole or in part prior to March 1, 2027 at a make-whole redemption price, or on or after March 1, 2027 at a redemption price equal to 100% of the principal amount of the notes to be redeemed, in either case plus unpaid interest, if any, accrued thereon to, but excluding, the date of redemption. The Floating Rate Notes may not be redeemed prior to their stated maturity date of May 22, 2020. The Floating Rate Notes bear interest at a rate, reset quarterly, equal to the three-month LIBOR for U.S. dollars plus 0.65% (or 65 basis points). If a change of control repurchase event, as defined, occurs, the Company will be required to make an irrevocable offer to repurchase all or, at the election of each holder, any part of the outstanding Senior Notes at a repurchase price equal to 101% of their principal amount, plus unpaid interest, if any, accrued thereon to, but excluding, the date of repurchase, unless, in the case of the 3.450% Senior Notes, the Company has exercised its right to redeem such notes in full.</w:t>
      </w:r>
    </w:p>
    <w:p>
      <w:pPr>
        <w:spacing w:after="0" w:line="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$700 million Revolving Facility requires the Company’s ratio of consolidated debt-to-consolidated EBITDA, as defined, for the trailing-twelve 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$300 million Trade Receivable Facility,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depletion and amortization expense for continuing operations. Additionally, stock-based compensation expense is added back and interest income is deducted in the calculation of consolidated EBITDA. Certain other nonrecurring items, if they occur, can affect the calculation of consolidated EBITDA.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40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 10-Q</w:t>
      </w:r>
    </w:p>
    <w:p>
      <w:pPr>
        <w:jc w:val="center"/>
        <w:ind w:right="-19"/>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RESULTS OF OPERATIONS</w:t>
      </w:r>
    </w:p>
    <w:p>
      <w:pPr>
        <w:jc w:val="center"/>
        <w:ind w:right="-19"/>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ind w:right="-19"/>
        <w:spacing w:after="0"/>
        <w:rPr>
          <w:sz w:val="20"/>
          <w:szCs w:val="20"/>
          <w:color w:val="auto"/>
        </w:rPr>
      </w:pP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At September 30, 2017, the Company’s ratio of consolidated debt-to-consolidated EBITDA, as defined by the Company’s Revolving Facility, for the trailing-twelve months was 1.74 times and was calculated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900"/>
        <w:spacing w:after="0" w:line="261" w:lineRule="auto"/>
        <w:rPr>
          <w:sz w:val="20"/>
          <w:szCs w:val="20"/>
          <w:color w:val="auto"/>
        </w:rPr>
      </w:pPr>
      <w:r>
        <w:rPr>
          <w:rFonts w:ascii="Times New Roman" w:cs="Times New Roman" w:eastAsia="Times New Roman" w:hAnsi="Times New Roman"/>
          <w:sz w:val="20"/>
          <w:szCs w:val="20"/>
          <w:color w:val="auto"/>
        </w:rPr>
        <w:t>Earnings from continuing operations attributable to Martin Marietta Add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20"/>
          <w:szCs w:val="20"/>
          <w:color w:val="auto"/>
        </w:rPr>
        <w:t>Interest expense</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20"/>
          <w:szCs w:val="20"/>
          <w:color w:val="auto"/>
        </w:rPr>
        <w:t>Depreciation, depletion and amortization expense</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20"/>
          <w:szCs w:val="20"/>
          <w:color w:val="auto"/>
        </w:rPr>
        <w:t>Acquisition-related expenses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20"/>
          <w:szCs w:val="20"/>
          <w:color w:val="auto"/>
        </w:rPr>
        <w:t>Interest income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EBITDA, as defined by the Company’s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32" w:lineRule="exact"/>
        <w:rPr>
          <w:sz w:val="20"/>
          <w:szCs w:val="20"/>
          <w:color w:val="auto"/>
        </w:rPr>
      </w:pPr>
    </w:p>
    <w:p>
      <w:pPr>
        <w:ind w:left="260" w:right="3020" w:hanging="246"/>
        <w:spacing w:after="0" w:line="267" w:lineRule="auto"/>
        <w:rPr>
          <w:sz w:val="20"/>
          <w:szCs w:val="20"/>
          <w:color w:val="auto"/>
        </w:rPr>
      </w:pPr>
      <w:r>
        <w:rPr>
          <w:rFonts w:ascii="Times New Roman" w:cs="Times New Roman" w:eastAsia="Times New Roman" w:hAnsi="Times New Roman"/>
          <w:sz w:val="20"/>
          <w:szCs w:val="20"/>
          <w:color w:val="auto"/>
        </w:rPr>
        <w:t>Consolidated net debt, as defined and including debt for which the Company is a co-borrower, at September 30, 2017</w:t>
      </w:r>
    </w:p>
    <w:p>
      <w:pPr>
        <w:spacing w:after="0" w:line="1" w:lineRule="exact"/>
        <w:rPr>
          <w:sz w:val="20"/>
          <w:szCs w:val="20"/>
          <w:color w:val="auto"/>
        </w:rPr>
      </w:pPr>
    </w:p>
    <w:p>
      <w:pPr>
        <w:ind w:left="260" w:right="2380" w:hanging="246"/>
        <w:spacing w:after="0" w:line="254" w:lineRule="auto"/>
        <w:rPr>
          <w:sz w:val="20"/>
          <w:szCs w:val="20"/>
          <w:color w:val="auto"/>
        </w:rPr>
      </w:pPr>
      <w:r>
        <w:rPr>
          <w:rFonts w:ascii="Times New Roman" w:cs="Times New Roman" w:eastAsia="Times New Roman" w:hAnsi="Times New Roman"/>
          <w:sz w:val="20"/>
          <w:szCs w:val="20"/>
          <w:color w:val="auto"/>
        </w:rPr>
        <w:t>Consolidated debt-to-consolidated EBITDA, as defined by the Company’s Revolving Facility, at September 30, 2017 for the trailing-twelve months EBITDA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October 1, 2016 to</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4579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jc w:val="center"/>
        <w:ind w:right="140"/>
        <w:spacing w:after="0"/>
        <w:rPr>
          <w:sz w:val="20"/>
          <w:szCs w:val="20"/>
          <w:color w:val="auto"/>
        </w:rPr>
      </w:pPr>
      <w:r>
        <w:rPr>
          <w:rFonts w:ascii="Times New Roman" w:cs="Times New Roman" w:eastAsia="Times New Roman" w:hAnsi="Times New Roman"/>
          <w:sz w:val="20"/>
          <w:szCs w:val="20"/>
          <w:i w:val="1"/>
          <w:iCs w:val="1"/>
          <w:color w:val="auto"/>
        </w:rPr>
        <w:t>(Dollars in thousands)</w:t>
      </w:r>
    </w:p>
    <w:p>
      <w:pPr>
        <w:spacing w:after="0" w:line="2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435,019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88,818</w:t>
            </w:r>
          </w:p>
        </w:tc>
        <w:tc>
          <w:tcPr>
            <w:tcW w:w="6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156,848</w:t>
            </w:r>
          </w:p>
        </w:tc>
        <w:tc>
          <w:tcPr>
            <w:tcW w:w="6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290,817</w:t>
            </w:r>
          </w:p>
        </w:tc>
        <w:tc>
          <w:tcPr>
            <w:tcW w:w="6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27,012</w:t>
            </w:r>
          </w:p>
        </w:tc>
        <w:tc>
          <w:tcPr>
            <w:tcW w:w="60" w:type="dxa"/>
            <w:vAlign w:val="bottom"/>
          </w:tcPr>
          <w:p>
            <w:pPr>
              <w:spacing w:after="0"/>
              <w:rPr>
                <w:sz w:val="21"/>
                <w:szCs w:val="21"/>
                <w:color w:val="auto"/>
              </w:rPr>
            </w:pPr>
          </w:p>
        </w:tc>
      </w:tr>
      <w:tr>
        <w:trPr>
          <w:trHeight w:val="258"/>
        </w:trPr>
        <w:tc>
          <w:tcPr>
            <w:tcW w:w="8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3,318</w:t>
            </w:r>
          </w:p>
        </w:tc>
        <w:tc>
          <w:tcPr>
            <w:tcW w:w="60" w:type="dxa"/>
            <w:vAlign w:val="bottom"/>
          </w:tcPr>
          <w:p>
            <w:pPr>
              <w:spacing w:after="0"/>
              <w:rPr>
                <w:sz w:val="22"/>
                <w:szCs w:val="22"/>
                <w:color w:val="auto"/>
              </w:rPr>
            </w:pPr>
          </w:p>
        </w:tc>
      </w:tr>
      <w:tr>
        <w:trPr>
          <w:trHeight w:val="480"/>
        </w:trPr>
        <w:tc>
          <w:tcPr>
            <w:tcW w:w="8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(342)</w:t>
            </w:r>
          </w:p>
        </w:tc>
      </w:tr>
      <w:tr>
        <w:trPr>
          <w:trHeight w:val="237"/>
        </w:trPr>
        <w:tc>
          <w:tcPr>
            <w:tcW w:w="800" w:type="dxa"/>
            <w:vAlign w:val="bottom"/>
            <w:tcBorders>
              <w:top w:val="single" w:sz="8" w:color="auto"/>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1,001,490</w:t>
            </w:r>
          </w:p>
        </w:tc>
        <w:tc>
          <w:tcPr>
            <w:tcW w:w="60" w:type="dxa"/>
            <w:vAlign w:val="bottom"/>
          </w:tcPr>
          <w:p>
            <w:pPr>
              <w:spacing w:after="0"/>
              <w:rPr>
                <w:sz w:val="20"/>
                <w:szCs w:val="20"/>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8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1,738,424</w:t>
            </w:r>
          </w:p>
        </w:tc>
        <w:tc>
          <w:tcPr>
            <w:tcW w:w="60" w:type="dxa"/>
            <w:vAlign w:val="bottom"/>
          </w:tcPr>
          <w:p>
            <w:pPr>
              <w:spacing w:after="0"/>
              <w:rPr>
                <w:sz w:val="24"/>
                <w:szCs w:val="24"/>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83"/>
        </w:trPr>
        <w:tc>
          <w:tcPr>
            <w:tcW w:w="800" w:type="dxa"/>
            <w:vAlign w:val="bottom"/>
          </w:tcPr>
          <w:p>
            <w:pPr>
              <w:spacing w:after="0"/>
              <w:rPr>
                <w:sz w:val="24"/>
                <w:szCs w:val="24"/>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1.74x</w:t>
            </w: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420"/>
          </w:cols>
          <w:pgMar w:left="240" w:top="118" w:right="239" w:bottom="1440" w:gutter="0" w:footer="0" w:header="0"/>
          <w:type w:val="continuous"/>
        </w:sectPr>
      </w:pPr>
    </w:p>
    <w:p>
      <w:pPr>
        <w:spacing w:after="0" w:line="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Trade Receivable Facility contains a cross-default provision to the Company’s other debt agreements. In the event of a default on the Ratio, the lenders can terminate the Revolving Facility and Trade Receivable Facility and declare any outstanding balances as immediately due. Outstanding amounts on the Trade Receivable Facility have been classified as a current liability on the Company’s consolidated balance sheet.</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the Bluegrass acquisition and certain other acquisition opportunities that may arise and allow for payment of dividends for the foreseeable future. Specifically, the Company expects to finance the Bluegrass acquisition using proceeds from new issuances of senior notes and/or borrowings under credit facilities. Any strategic acquisition of size for cash incremental to the pending Bluegrass acquisition would likely require an appropriate balance of newly-issued equity with debt in order to maintain a composite investment-grade credit rating. At September 30, 2017, the Company had $918.0 million of unused borrowing capacity under its Revolving Facility and Trade Receivable Facility, subject to complying with the related leverage covenant. The Revolving Facility expires on December 5, 2021 and the Trade Receivable Facility expires on September 26, 2018.</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6.60% Senior Notes, due 2018, have been classified as a noncurrent liability as the Company has the intent and ability to refinance on a long-term basis before or at its maturity on April 15, 2018.</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41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exposed to the credit markets, through the interest cost related to its variable-rate debt, which included borrowings under its Revolving Facility and Trade Receivable Facility at September 30, 2017 and the obligations in respect of the Floating Rate Notes. The Company is currently rated at an investment-grade level by all three credit rating agencies.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CONTRACTUAL AND OFF BALANCE SHEET OBLIGATIONS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an update to the contractual obligations table presented in the 2016 Annual Report to Shareholders, the Company is committed to either purchasing or leasing 1,100 railcars, which have a total cost of approximately $84,000,000, the majority of which is expected to be incurred in 2018.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TRENDS AND RISKS</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outlined the risks associated with its business in its Annual Report on Form 10-K for the year ended December 31, 2016. Management continues to evaluate its exposure to all operating risks on an ongoing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OUTLOOK</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remains optimistic about the Company’s long-term outlook given its continued ability to successfully execute its strategic business plans and the largely positive trends in the markets it serves. Given the skilled labor shortage, project delays and government uncertainty that has limited growth throughout the year, management has revised its guidance for full year 2017 as follows:</w:t>
      </w:r>
    </w:p>
    <w:p>
      <w:pPr>
        <w:spacing w:after="0" w:line="67" w:lineRule="exact"/>
        <w:rPr>
          <w:sz w:val="20"/>
          <w:szCs w:val="20"/>
          <w:color w:val="auto"/>
        </w:rPr>
      </w:pPr>
    </w:p>
    <w:p>
      <w:pPr>
        <w:ind w:left="760" w:hanging="374"/>
        <w:spacing w:after="0"/>
        <w:tabs>
          <w:tab w:leader="none" w:pos="760" w:val="left"/>
        </w:tabs>
        <w:numPr>
          <w:ilvl w:val="0"/>
          <w:numId w:val="27"/>
        </w:numPr>
        <w:rPr>
          <w:rFonts w:ascii="Arial" w:cs="Arial" w:eastAsia="Arial" w:hAnsi="Arial"/>
          <w:sz w:val="20"/>
          <w:szCs w:val="20"/>
          <w:color w:val="007DC6"/>
        </w:rPr>
      </w:pPr>
      <w:r>
        <w:rPr>
          <w:rFonts w:ascii="Times New Roman" w:cs="Times New Roman" w:eastAsia="Times New Roman" w:hAnsi="Times New Roman"/>
          <w:sz w:val="20"/>
          <w:szCs w:val="20"/>
          <w:color w:val="auto"/>
        </w:rPr>
        <w:t>Aggregates product line end-use markets compared with 2016 levels are as follows:</w:t>
      </w:r>
    </w:p>
    <w:p>
      <w:pPr>
        <w:spacing w:after="0" w:line="20" w:lineRule="exact"/>
        <w:rPr>
          <w:rFonts w:ascii="Arial" w:cs="Arial" w:eastAsia="Arial" w:hAnsi="Arial"/>
          <w:sz w:val="20"/>
          <w:szCs w:val="20"/>
          <w:color w:val="007DC6"/>
        </w:rPr>
      </w:pPr>
    </w:p>
    <w:p>
      <w:pPr>
        <w:ind w:left="1140" w:hanging="376"/>
        <w:spacing w:after="0"/>
        <w:tabs>
          <w:tab w:leader="none" w:pos="11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Infrastructure market to decrease in the mid-single digits.</w:t>
      </w:r>
    </w:p>
    <w:p>
      <w:pPr>
        <w:spacing w:after="0" w:line="193" w:lineRule="exact"/>
        <w:rPr>
          <w:rFonts w:ascii="Times New Roman" w:cs="Times New Roman" w:eastAsia="Times New Roman" w:hAnsi="Times New Roman"/>
          <w:sz w:val="20"/>
          <w:szCs w:val="20"/>
          <w:color w:val="auto"/>
        </w:rPr>
      </w:pPr>
    </w:p>
    <w:p>
      <w:pPr>
        <w:ind w:left="1140" w:hanging="376"/>
        <w:spacing w:after="0"/>
        <w:tabs>
          <w:tab w:leader="none" w:pos="11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Nonresidential market to remain relatively flat.</w:t>
      </w:r>
    </w:p>
    <w:p>
      <w:pPr>
        <w:spacing w:after="0" w:line="215" w:lineRule="exact"/>
        <w:rPr>
          <w:rFonts w:ascii="Times New Roman" w:cs="Times New Roman" w:eastAsia="Times New Roman" w:hAnsi="Times New Roman"/>
          <w:sz w:val="20"/>
          <w:szCs w:val="20"/>
          <w:color w:val="auto"/>
        </w:rPr>
      </w:pPr>
    </w:p>
    <w:p>
      <w:pPr>
        <w:ind w:left="1140" w:hanging="376"/>
        <w:spacing w:after="0"/>
        <w:tabs>
          <w:tab w:leader="none" w:pos="11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Residential market to increase in the high-single digits.</w:t>
      </w:r>
    </w:p>
    <w:p>
      <w:pPr>
        <w:spacing w:after="0" w:line="21" w:lineRule="exact"/>
        <w:rPr>
          <w:rFonts w:ascii="Times New Roman" w:cs="Times New Roman" w:eastAsia="Times New Roman" w:hAnsi="Times New Roman"/>
          <w:sz w:val="20"/>
          <w:szCs w:val="20"/>
          <w:color w:val="auto"/>
        </w:rPr>
      </w:pPr>
    </w:p>
    <w:p>
      <w:pPr>
        <w:ind w:left="1140" w:hanging="376"/>
        <w:spacing w:after="0"/>
        <w:tabs>
          <w:tab w:leader="none" w:pos="11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ChemRock/Rail market to decrease in the high-double digits.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MATTERS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Forward-looking statements give the investor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42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RESULTS OF OPERATIONS</w:t>
      </w:r>
    </w:p>
    <w:p>
      <w:pPr>
        <w:jc w:val="center"/>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spacing w:after="0"/>
        <w:rPr>
          <w:sz w:val="20"/>
          <w:szCs w:val="20"/>
          <w:color w:val="auto"/>
        </w:rPr>
      </w:pP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Factors that the Company currently believes could cause actual results to differ materially from the forward-looking statements in this Form 10-Q include the performance of the United States economy; widespread decline in aggregates pricing; the history of both cement and ready mixed concrete being subject to significant changes in supply, demand and price; the termination, capping and/or reduction or suspension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a further slowdown in energy-related construction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Company; the volatility of fuel costs, particularly diesel fuel, and the impact on the cost of other consumables, namely steel, explosives, tires and conveyor belts, and with respect to the Magnesia Specialties business, natural gas; continued increases in the cost of other repair and supply parts; unexpected equipment failures, unscheduled maintenance, industrial accident or other prolonged and/or significant disruption to production facilities; increasing governmental regulation, including environmental laws; transportation availability, notably the availability of railcars and locomotive power to move trains to supply the Company’s Texas, Florida, and Gulf Coast markets; increased transportation costs, including increases from higher passed-through energy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proper functioning of information technology and 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reduction of the Company’s credit rating to non-investment grade resulting from strategic acquisitions; and other risk factors listed from time to time found in the Company’s filings with the SEC. Other factors besides those listed here may also adversely affect the Company, and may be material to the Company. The Company assumes no obligation to update any such forward-looking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ACCESS TO COMPANY FILINGS</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Shareholders may obtain, without charge, a copy of Martin Marietta’s Annual Report on Form 10-K, as filed with the Securities and Exchange Commission for the fiscal year ended December 31, 2016, by writing to:</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Martin Marietta</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Attn: Corporate Secretary</w:t>
      </w:r>
    </w:p>
    <w:p>
      <w:pPr>
        <w:ind w:left="260"/>
        <w:spacing w:after="0"/>
        <w:rPr>
          <w:sz w:val="20"/>
          <w:szCs w:val="20"/>
          <w:color w:val="auto"/>
        </w:rPr>
      </w:pPr>
      <w:r>
        <w:rPr>
          <w:rFonts w:ascii="Times New Roman" w:cs="Times New Roman" w:eastAsia="Times New Roman" w:hAnsi="Times New Roman"/>
          <w:sz w:val="20"/>
          <w:szCs w:val="20"/>
          <w:color w:val="auto"/>
        </w:rPr>
        <w:t>2710 Wycliff Road</w:t>
      </w:r>
    </w:p>
    <w:p>
      <w:pPr>
        <w:ind w:left="260"/>
        <w:spacing w:after="0"/>
        <w:rPr>
          <w:sz w:val="20"/>
          <w:szCs w:val="20"/>
          <w:color w:val="auto"/>
        </w:rPr>
      </w:pPr>
      <w:r>
        <w:rPr>
          <w:rFonts w:ascii="Times New Roman" w:cs="Times New Roman" w:eastAsia="Times New Roman" w:hAnsi="Times New Roman"/>
          <w:sz w:val="20"/>
          <w:szCs w:val="20"/>
          <w:color w:val="auto"/>
        </w:rPr>
        <w:t>Raleigh, North Carolina 27607-3033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43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 10-Q</w:t>
      </w:r>
    </w:p>
    <w:p>
      <w:pPr>
        <w:jc w:val="center"/>
        <w:ind w:right="-19"/>
        <w:spacing w:after="0"/>
        <w:rPr>
          <w:sz w:val="20"/>
          <w:szCs w:val="20"/>
          <w:color w:val="auto"/>
        </w:rPr>
      </w:pPr>
      <w:r>
        <w:rPr>
          <w:rFonts w:ascii="Times New Roman" w:cs="Times New Roman" w:eastAsia="Times New Roman" w:hAnsi="Times New Roman"/>
          <w:sz w:val="20"/>
          <w:szCs w:val="20"/>
          <w:color w:val="auto"/>
        </w:rPr>
        <w:t>For the Quarter September 30, 2017</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RESULTS OF OPERATIONS</w:t>
      </w:r>
    </w:p>
    <w:p>
      <w:pPr>
        <w:jc w:val="center"/>
        <w:ind w:right="-19"/>
        <w:spacing w:after="0"/>
        <w:rPr>
          <w:sz w:val="20"/>
          <w:szCs w:val="20"/>
          <w:color w:val="auto"/>
        </w:rPr>
      </w:pPr>
      <w:r>
        <w:rPr>
          <w:rFonts w:ascii="Times New Roman" w:cs="Times New Roman" w:eastAsia="Times New Roman" w:hAnsi="Times New Roman"/>
          <w:sz w:val="20"/>
          <w:szCs w:val="20"/>
          <w:color w:val="auto"/>
        </w:rPr>
        <w:t>Third Quarter Ended September 30, 2017</w:t>
      </w:r>
    </w:p>
    <w:p>
      <w:pPr>
        <w:jc w:val="center"/>
        <w:ind w:right="-19"/>
        <w:spacing w:after="0"/>
        <w:rPr>
          <w:sz w:val="20"/>
          <w:szCs w:val="20"/>
          <w:color w:val="auto"/>
        </w:rPr>
      </w:pPr>
      <w:r>
        <w:rPr>
          <w:rFonts w:ascii="Times New Roman" w:cs="Times New Roman" w:eastAsia="Times New Roman" w:hAnsi="Times New Roman"/>
          <w:sz w:val="20"/>
          <w:szCs w:val="20"/>
          <w:color w:val="auto"/>
        </w:rPr>
        <w:t>(Continued)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Telephone: (919) 510-4776</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Website address: www.martinmarietta.com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44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3. Quantitative and Qualitative Disclosures About Market Risk.</w:t>
      </w:r>
    </w:p>
    <w:p>
      <w:pPr>
        <w:spacing w:after="0" w:line="1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Demand in the residential construction market is affected by interest rates. The Federal Reserve kept the federal funds rate near one percent during the nine-months ended September 30, 2017. The residential construction market accounted for 21% of the Company’s aggregates product line shipments in 2016.</w:t>
      </w:r>
    </w:p>
    <w:p>
      <w:pPr>
        <w:spacing w:after="0" w:line="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Aside from these inherent risks from within its operations, the Company’s earnings are also affected by changes in short-term interest rates. However, rising interest rates are not necessarily predictive of weaker operating results. Historically, the Company’s profitability increased during periods of rising interest rates. In essence, the Company’s underlying business generally serves as a natural hedge to rising interest rates.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Variable-Rate Borrowing Facilities. </w:t>
      </w:r>
      <w:r>
        <w:rPr>
          <w:rFonts w:ascii="Times New Roman" w:cs="Times New Roman" w:eastAsia="Times New Roman" w:hAnsi="Times New Roman"/>
          <w:sz w:val="20"/>
          <w:szCs w:val="20"/>
          <w:color w:val="auto"/>
        </w:rPr>
        <w:t>At September 30, 2017, the Company had a $700 million Credit Agreement and a $300 million Trade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Receivable Facility. The Company also has $300 million variable-rate senior notes. Borrowings under these facilities bear interest at a variable interest rate. A hypothetical 100-basis-point increase in interest rates on borrowings of $380.0 million, which was the collective outstanding balance at September 30, 2017, would increase interest expense by $3.8 million on an annual basis.</w:t>
      </w:r>
    </w:p>
    <w:p>
      <w:pPr>
        <w:spacing w:after="0" w:line="6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Pension Expense. </w:t>
      </w:r>
      <w:r>
        <w:rPr>
          <w:rFonts w:ascii="Times New Roman" w:cs="Times New Roman" w:eastAsia="Times New Roman" w:hAnsi="Times New Roman"/>
          <w:sz w:val="20"/>
          <w:szCs w:val="20"/>
          <w:color w:val="auto"/>
        </w:rPr>
        <w:t>The Company’s results of operations are affected by its pension expense. Assumptions that affect pension expense include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discount rate and, for the defined benefit pension plans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2016.</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Energy Costs</w:t>
      </w:r>
      <w:r>
        <w:rPr>
          <w:rFonts w:ascii="Times New Roman" w:cs="Times New Roman" w:eastAsia="Times New Roman" w:hAnsi="Times New Roman"/>
          <w:sz w:val="20"/>
          <w:szCs w:val="20"/>
          <w:color w:val="auto"/>
        </w:rPr>
        <w:t>. Energy costs, including diesel fuel, natural gas, coal and liquid asphalt, represent significant production costs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The cement operations and Magnesia Specialties business have fixed price agreements covering 100% of its 2017 coal requirements. A hypothetical 10% change in the Company’s energy prices in 2017 as compared with 2016, assuming constant volumes, would change 2017 energy expense by $23.1 million.</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Commodity Risk. </w:t>
      </w:r>
      <w:r>
        <w:rPr>
          <w:rFonts w:ascii="Times New Roman" w:cs="Times New Roman" w:eastAsia="Times New Roman" w:hAnsi="Times New Roman"/>
          <w:sz w:val="20"/>
          <w:szCs w:val="20"/>
          <w:color w:val="auto"/>
        </w:rPr>
        <w:t>Cement is a commodity and competition is based principally on price, which is highly sensitive to changes in supply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net sales for the cement product line for full-year 2017 of $380 million to $400 million, a hypothetical 10% change in sales price would impact net sales by $38 million to $40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45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 10-Q</w:t>
      </w:r>
    </w:p>
    <w:p>
      <w:pPr>
        <w:jc w:val="center"/>
        <w:ind w:right="-19"/>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jc w:val="center"/>
        <w:ind w:right="-19"/>
        <w:spacing w:after="0"/>
        <w:rPr>
          <w:sz w:val="20"/>
          <w:szCs w:val="20"/>
          <w:color w:val="auto"/>
        </w:rPr>
      </w:pPr>
      <w:r>
        <w:rPr>
          <w:rFonts w:ascii="Times New Roman" w:cs="Times New Roman" w:eastAsia="Times New Roman" w:hAnsi="Times New Roman"/>
          <w:sz w:val="20"/>
          <w:szCs w:val="20"/>
          <w:color w:val="auto"/>
        </w:rPr>
        <w:t>(Continued)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4. Controls and Procedures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September 30, 2017, an evaluation was performed under the supervision and with 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September 30, 2017.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46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color w:val="auto"/>
        </w:rPr>
        <w:t>MARTIN MARIETTA MATERIALS, INC. AND CONSOLIDATED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10-Q</w:t>
      </w:r>
    </w:p>
    <w:p>
      <w:pPr>
        <w:jc w:val="center"/>
        <w:spacing w:after="0"/>
        <w:rPr>
          <w:sz w:val="20"/>
          <w:szCs w:val="20"/>
          <w:color w:val="auto"/>
        </w:rPr>
      </w:pPr>
      <w:r>
        <w:rPr>
          <w:rFonts w:ascii="Times New Roman" w:cs="Times New Roman" w:eastAsia="Times New Roman" w:hAnsi="Times New Roman"/>
          <w:sz w:val="20"/>
          <w:szCs w:val="20"/>
          <w:color w:val="auto"/>
        </w:rPr>
        <w:t>For the Quarter Ended September 30, 2017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PART II-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Reference is made to </w:t>
      </w:r>
      <w:r>
        <w:rPr>
          <w:rFonts w:ascii="Times New Roman" w:cs="Times New Roman" w:eastAsia="Times New Roman" w:hAnsi="Times New Roman"/>
          <w:sz w:val="20"/>
          <w:szCs w:val="20"/>
          <w:i w:val="1"/>
          <w:iCs w:val="1"/>
          <w:color w:val="auto"/>
        </w:rPr>
        <w:t>Part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Item 3. Legal Proceedings</w:t>
      </w:r>
      <w:r>
        <w:rPr>
          <w:rFonts w:ascii="Times New Roman" w:cs="Times New Roman" w:eastAsia="Times New Roman" w:hAnsi="Times New Roman"/>
          <w:sz w:val="20"/>
          <w:szCs w:val="20"/>
          <w:color w:val="auto"/>
        </w:rPr>
        <w:t xml:space="preserve"> of the Martin Marietta Annual Report on Form 10-K for the year ended December 31, 2016.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10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Reference is made to </w:t>
      </w:r>
      <w:r>
        <w:rPr>
          <w:rFonts w:ascii="Times New Roman" w:cs="Times New Roman" w:eastAsia="Times New Roman" w:hAnsi="Times New Roman"/>
          <w:sz w:val="20"/>
          <w:szCs w:val="20"/>
          <w:i w:val="1"/>
          <w:iCs w:val="1"/>
          <w:color w:val="auto"/>
        </w:rPr>
        <w:t>Part I. Item 1A. Risk Factors and Forward-Looking Statements</w:t>
      </w:r>
      <w:r>
        <w:rPr>
          <w:rFonts w:ascii="Times New Roman" w:cs="Times New Roman" w:eastAsia="Times New Roman" w:hAnsi="Times New Roman"/>
          <w:sz w:val="20"/>
          <w:szCs w:val="20"/>
          <w:color w:val="auto"/>
        </w:rPr>
        <w:t xml:space="preserve"> of the Martin Marietta Annual Report on Form 10-K for the year ended December 31, 2016.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2. Unregistered Sales of Equity Securities and Use of Proceeds</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ISSUER PURCHASES OF EQUITY SECURITIES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60" w:type="dxa"/>
            <w:vAlign w:val="bottom"/>
            <w:gridSpan w:val="2"/>
          </w:tcPr>
          <w:p>
            <w:pPr>
              <w:jc w:val="center"/>
              <w:ind w:left="145"/>
              <w:spacing w:after="0"/>
              <w:rPr>
                <w:sz w:val="20"/>
                <w:szCs w:val="20"/>
                <w:color w:val="auto"/>
              </w:rPr>
            </w:pPr>
            <w:r>
              <w:rPr>
                <w:rFonts w:ascii="Times New Roman" w:cs="Times New Roman" w:eastAsia="Times New Roman" w:hAnsi="Times New Roman"/>
                <w:sz w:val="19"/>
                <w:szCs w:val="19"/>
                <w:color w:val="auto"/>
                <w:w w:val="99"/>
              </w:rPr>
              <w:t>Total Number of Shares</w:t>
            </w:r>
          </w:p>
        </w:tc>
        <w:tc>
          <w:tcPr>
            <w:tcW w:w="24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w w:val="98"/>
              </w:rPr>
              <w:t>Maximum Number of</w:t>
            </w: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Purchased as Part of</w:t>
            </w:r>
          </w:p>
        </w:tc>
        <w:tc>
          <w:tcPr>
            <w:tcW w:w="240" w:type="dxa"/>
            <w:vAlign w:val="bottom"/>
          </w:tcPr>
          <w:p>
            <w:pPr>
              <w:spacing w:after="0"/>
              <w:rPr>
                <w:sz w:val="19"/>
                <w:szCs w:val="19"/>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Shares that May Yet</w:t>
            </w: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9"/>
                <w:szCs w:val="19"/>
                <w:color w:val="auto"/>
                <w:w w:val="98"/>
              </w:rPr>
              <w:t>Total Number of</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Average Price</w:t>
            </w:r>
          </w:p>
        </w:tc>
        <w:tc>
          <w:tcPr>
            <w:tcW w:w="2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Publicly Announced</w:t>
            </w:r>
          </w:p>
        </w:tc>
        <w:tc>
          <w:tcPr>
            <w:tcW w:w="240" w:type="dxa"/>
            <w:vAlign w:val="bottom"/>
          </w:tcPr>
          <w:p>
            <w:pPr>
              <w:spacing w:after="0"/>
              <w:rPr>
                <w:sz w:val="19"/>
                <w:szCs w:val="19"/>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be Purchased Under</w:t>
            </w:r>
          </w:p>
        </w:tc>
      </w:tr>
      <w:tr>
        <w:trPr>
          <w:trHeight w:val="242"/>
        </w:trPr>
        <w:tc>
          <w:tcPr>
            <w:tcW w:w="20" w:type="dxa"/>
            <w:vAlign w:val="bottom"/>
          </w:tcPr>
          <w:p>
            <w:pPr>
              <w:spacing w:after="0"/>
              <w:rPr>
                <w:sz w:val="21"/>
                <w:szCs w:val="21"/>
                <w:color w:val="auto"/>
              </w:rPr>
            </w:pPr>
          </w:p>
        </w:tc>
        <w:tc>
          <w:tcPr>
            <w:tcW w:w="4340" w:type="dxa"/>
            <w:vAlign w:val="bottom"/>
            <w:gridSpan w:val="2"/>
          </w:tcPr>
          <w:p>
            <w:pPr>
              <w:ind w:left="1840"/>
              <w:spacing w:after="0"/>
              <w:rPr>
                <w:sz w:val="20"/>
                <w:szCs w:val="20"/>
                <w:color w:val="auto"/>
              </w:rPr>
            </w:pPr>
            <w:r>
              <w:rPr>
                <w:rFonts w:ascii="Times New Roman" w:cs="Times New Roman" w:eastAsia="Times New Roman" w:hAnsi="Times New Roman"/>
                <w:sz w:val="19"/>
                <w:szCs w:val="19"/>
                <w:color w:val="auto"/>
              </w:rPr>
              <w:t>Period</w:t>
            </w: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9"/>
                <w:szCs w:val="19"/>
                <w:color w:val="auto"/>
              </w:rPr>
              <w:t>Shares Purchased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Paid per Share</w:t>
            </w:r>
          </w:p>
        </w:tc>
        <w:tc>
          <w:tcPr>
            <w:tcW w:w="2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Plans or Programs</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the Plans or Programs</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July 1, 2017 - July 31, 2017</w:t>
            </w:r>
          </w:p>
        </w:tc>
        <w:tc>
          <w:tcPr>
            <w:tcW w:w="140" w:type="dxa"/>
            <w:vAlign w:val="bottom"/>
          </w:tcPr>
          <w:p>
            <w:pPr>
              <w:spacing w:after="0"/>
              <w:rPr>
                <w:sz w:val="19"/>
                <w:szCs w:val="19"/>
                <w:color w:val="auto"/>
              </w:rPr>
            </w:pPr>
          </w:p>
        </w:tc>
        <w:tc>
          <w:tcPr>
            <w:tcW w:w="152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9"/>
                <w:szCs w:val="19"/>
                <w:color w:val="auto"/>
                <w:w w:val="94"/>
              </w:rPr>
              <w:t>—</w:t>
            </w: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ind w:right="365"/>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9"/>
                <w:szCs w:val="19"/>
                <w:color w:val="auto"/>
                <w:w w:val="94"/>
              </w:rPr>
              <w:t>—</w:t>
            </w:r>
          </w:p>
        </w:tc>
        <w:tc>
          <w:tcPr>
            <w:tcW w:w="240" w:type="dxa"/>
            <w:vAlign w:val="bottom"/>
          </w:tcPr>
          <w:p>
            <w:pPr>
              <w:spacing w:after="0"/>
              <w:rPr>
                <w:sz w:val="19"/>
                <w:szCs w:val="19"/>
                <w:color w:val="auto"/>
              </w:rPr>
            </w:pPr>
          </w:p>
        </w:tc>
        <w:tc>
          <w:tcPr>
            <w:tcW w:w="182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9"/>
                <w:szCs w:val="19"/>
                <w:color w:val="auto"/>
                <w:w w:val="94"/>
              </w:rPr>
              <w:t>—</w:t>
            </w:r>
          </w:p>
        </w:tc>
        <w:tc>
          <w:tcPr>
            <w:tcW w:w="24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14,668,891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9"/>
                <w:szCs w:val="19"/>
                <w:color w:val="auto"/>
              </w:rPr>
              <w:t>August 1, 2017 - August 31, 2017</w:t>
            </w:r>
          </w:p>
        </w:tc>
        <w:tc>
          <w:tcPr>
            <w:tcW w:w="176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CFF0FC"/>
          </w:tcPr>
          <w:p>
            <w:pPr>
              <w:jc w:val="right"/>
              <w:ind w:right="365"/>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9"/>
                <w:szCs w:val="19"/>
                <w:color w:val="auto"/>
                <w:w w:val="94"/>
              </w:rPr>
              <w:t>—</w:t>
            </w:r>
          </w:p>
        </w:tc>
        <w:tc>
          <w:tcPr>
            <w:tcW w:w="240" w:type="dxa"/>
            <w:vAlign w:val="bottom"/>
            <w:shd w:val="clear" w:color="auto" w:fill="CFF0FC"/>
          </w:tcPr>
          <w:p>
            <w:pPr>
              <w:spacing w:after="0"/>
              <w:rPr>
                <w:sz w:val="19"/>
                <w:szCs w:val="19"/>
                <w:color w:val="auto"/>
              </w:rPr>
            </w:pPr>
          </w:p>
        </w:tc>
        <w:tc>
          <w:tcPr>
            <w:tcW w:w="182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9"/>
                <w:szCs w:val="19"/>
                <w:color w:val="auto"/>
                <w:w w:val="94"/>
              </w:rPr>
              <w:t>—</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9"/>
                <w:szCs w:val="19"/>
                <w:color w:val="auto"/>
              </w:rPr>
              <w:t>14,668,891</w:t>
            </w:r>
          </w:p>
        </w:tc>
        <w:tc>
          <w:tcPr>
            <w:tcW w:w="100" w:type="dxa"/>
            <w:vAlign w:val="bottom"/>
            <w:shd w:val="clear" w:color="auto" w:fill="CFF0FC"/>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September 1, 2017 - September 30, 2017</w:t>
            </w:r>
          </w:p>
        </w:tc>
        <w:tc>
          <w:tcPr>
            <w:tcW w:w="1760" w:type="dxa"/>
            <w:vAlign w:val="bottom"/>
            <w:gridSpan w:val="2"/>
          </w:tcPr>
          <w:p>
            <w:pPr>
              <w:ind w:left="1320"/>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tcPr>
          <w:p>
            <w:pPr>
              <w:jc w:val="right"/>
              <w:ind w:right="365"/>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9"/>
                <w:szCs w:val="19"/>
                <w:color w:val="auto"/>
                <w:w w:val="94"/>
              </w:rPr>
              <w:t>—</w:t>
            </w:r>
          </w:p>
        </w:tc>
        <w:tc>
          <w:tcPr>
            <w:tcW w:w="240" w:type="dxa"/>
            <w:vAlign w:val="bottom"/>
          </w:tcPr>
          <w:p>
            <w:pPr>
              <w:spacing w:after="0"/>
              <w:rPr>
                <w:sz w:val="21"/>
                <w:szCs w:val="21"/>
                <w:color w:val="auto"/>
              </w:rPr>
            </w:pPr>
          </w:p>
        </w:tc>
        <w:tc>
          <w:tcPr>
            <w:tcW w:w="1820" w:type="dxa"/>
            <w:vAlign w:val="bottom"/>
          </w:tcPr>
          <w:p>
            <w:pPr>
              <w:ind w:left="1620"/>
              <w:spacing w:after="0"/>
              <w:rPr>
                <w:sz w:val="20"/>
                <w:szCs w:val="20"/>
                <w:color w:val="auto"/>
              </w:rPr>
            </w:pPr>
            <w:r>
              <w:rPr>
                <w:rFonts w:ascii="Times New Roman" w:cs="Times New Roman" w:eastAsia="Times New Roman" w:hAnsi="Times New Roman"/>
                <w:sz w:val="19"/>
                <w:szCs w:val="19"/>
                <w:color w:val="auto"/>
                <w:w w:val="94"/>
              </w:rPr>
              <w: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14,668,891</w:t>
            </w:r>
          </w:p>
        </w:tc>
        <w:tc>
          <w:tcPr>
            <w:tcW w:w="100" w:type="dxa"/>
            <w:vAlign w:val="bottom"/>
          </w:tcPr>
          <w:p>
            <w:pPr>
              <w:spacing w:after="0"/>
              <w:rPr>
                <w:sz w:val="21"/>
                <w:szCs w:val="21"/>
                <w:color w:val="auto"/>
              </w:rPr>
            </w:pPr>
          </w:p>
        </w:tc>
      </w:tr>
    </w:tbl>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Mine Safety Disclosures.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47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21"/>
              <w:spacing w:after="0"/>
              <w:rPr>
                <w:sz w:val="20"/>
                <w:szCs w:val="20"/>
                <w:color w:val="auto"/>
              </w:rPr>
            </w:pPr>
            <w:r>
              <w:rPr>
                <w:rFonts w:ascii="Times New Roman" w:cs="Times New Roman" w:eastAsia="Times New Roman" w:hAnsi="Times New Roman"/>
                <w:sz w:val="20"/>
                <w:szCs w:val="20"/>
                <w:color w:val="auto"/>
                <w:w w:val="97"/>
              </w:rPr>
              <w:t>MARTIN MARIETTA MATERIALS, INC. AND CONSOLIDATED SUBSIDIARIES</w:t>
            </w:r>
          </w:p>
        </w:tc>
      </w:tr>
      <w:tr>
        <w:trPr>
          <w:trHeight w:val="230"/>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21"/>
              <w:spacing w:after="0"/>
              <w:rPr>
                <w:sz w:val="20"/>
                <w:szCs w:val="20"/>
                <w:color w:val="auto"/>
              </w:rPr>
            </w:pPr>
            <w:r>
              <w:rPr>
                <w:rFonts w:ascii="Times New Roman" w:cs="Times New Roman" w:eastAsia="Times New Roman" w:hAnsi="Times New Roman"/>
                <w:sz w:val="20"/>
                <w:szCs w:val="20"/>
                <w:color w:val="auto"/>
                <w:w w:val="99"/>
              </w:rPr>
              <w:t>FORM 10-Q</w:t>
            </w:r>
          </w:p>
        </w:tc>
      </w:tr>
      <w:tr>
        <w:trPr>
          <w:trHeight w:val="258"/>
        </w:trPr>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00" w:type="dxa"/>
            <w:vAlign w:val="bottom"/>
          </w:tcPr>
          <w:p>
            <w:pPr>
              <w:jc w:val="center"/>
              <w:ind w:right="1221"/>
              <w:spacing w:after="0"/>
              <w:rPr>
                <w:sz w:val="20"/>
                <w:szCs w:val="20"/>
                <w:color w:val="auto"/>
              </w:rPr>
            </w:pPr>
            <w:r>
              <w:rPr>
                <w:rFonts w:ascii="Times New Roman" w:cs="Times New Roman" w:eastAsia="Times New Roman" w:hAnsi="Times New Roman"/>
                <w:sz w:val="20"/>
                <w:szCs w:val="20"/>
                <w:color w:val="auto"/>
                <w:w w:val="99"/>
              </w:rPr>
              <w:t>For the Quarter Ended September 30, 2017</w:t>
            </w:r>
          </w:p>
        </w:tc>
      </w:tr>
      <w:tr>
        <w:trPr>
          <w:trHeight w:val="417"/>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Pr>
          <w:p>
            <w:pPr>
              <w:jc w:val="center"/>
              <w:ind w:right="1201"/>
              <w:spacing w:after="0"/>
              <w:rPr>
                <w:sz w:val="20"/>
                <w:szCs w:val="20"/>
                <w:color w:val="auto"/>
              </w:rPr>
            </w:pPr>
            <w:r>
              <w:rPr>
                <w:rFonts w:ascii="Times New Roman" w:cs="Times New Roman" w:eastAsia="Times New Roman" w:hAnsi="Times New Roman"/>
                <w:sz w:val="20"/>
                <w:szCs w:val="20"/>
                <w:color w:val="auto"/>
                <w:w w:val="96"/>
              </w:rPr>
              <w:t>PART II- OTHER INFORMATION</w:t>
            </w:r>
          </w:p>
        </w:tc>
      </w:tr>
      <w:tr>
        <w:trPr>
          <w:trHeight w:val="258"/>
        </w:trPr>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00" w:type="dxa"/>
            <w:vAlign w:val="bottom"/>
          </w:tcPr>
          <w:p>
            <w:pPr>
              <w:jc w:val="center"/>
              <w:ind w:right="1201"/>
              <w:spacing w:after="0"/>
              <w:rPr>
                <w:sz w:val="20"/>
                <w:szCs w:val="20"/>
                <w:color w:val="auto"/>
              </w:rPr>
            </w:pPr>
            <w:r>
              <w:rPr>
                <w:rFonts w:ascii="Times New Roman" w:cs="Times New Roman" w:eastAsia="Times New Roman" w:hAnsi="Times New Roman"/>
                <w:sz w:val="20"/>
                <w:szCs w:val="20"/>
                <w:color w:val="auto"/>
                <w:w w:val="99"/>
              </w:rPr>
              <w:t>(Continued)</w:t>
            </w:r>
          </w:p>
        </w:tc>
      </w:tr>
      <w:tr>
        <w:trPr>
          <w:trHeight w:val="332"/>
        </w:trPr>
        <w:tc>
          <w:tcPr>
            <w:tcW w:w="11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Item 6. Exhibits.</w:t>
            </w:r>
          </w:p>
        </w:tc>
      </w:tr>
      <w:tr>
        <w:trPr>
          <w:trHeight w:val="480"/>
        </w:trPr>
        <w:tc>
          <w:tcPr>
            <w:tcW w:w="11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Exhibit No.</w:t>
            </w:r>
          </w:p>
        </w:tc>
        <w:tc>
          <w:tcPr>
            <w:tcW w:w="140" w:type="dxa"/>
            <w:vAlign w:val="bottom"/>
            <w:tcBorders>
              <w:top w:val="single" w:sz="8" w:color="auto"/>
            </w:tcBorders>
          </w:tcPr>
          <w:p>
            <w:pPr>
              <w:spacing w:after="0"/>
              <w:rPr>
                <w:sz w:val="24"/>
                <w:szCs w:val="24"/>
                <w:color w:val="auto"/>
              </w:rPr>
            </w:pPr>
          </w:p>
        </w:tc>
        <w:tc>
          <w:tcPr>
            <w:tcW w:w="10100" w:type="dxa"/>
            <w:vAlign w:val="bottom"/>
          </w:tcPr>
          <w:p>
            <w:pPr>
              <w:ind w:left="4560"/>
              <w:spacing w:after="0"/>
              <w:rPr>
                <w:sz w:val="20"/>
                <w:szCs w:val="20"/>
                <w:color w:val="auto"/>
              </w:rPr>
            </w:pPr>
            <w:r>
              <w:rPr>
                <w:rFonts w:ascii="Times New Roman" w:cs="Times New Roman" w:eastAsia="Times New Roman" w:hAnsi="Times New Roman"/>
                <w:sz w:val="20"/>
                <w:szCs w:val="20"/>
                <w:color w:val="auto"/>
              </w:rPr>
              <w:t>Document</w:t>
            </w:r>
          </w:p>
        </w:tc>
      </w:tr>
      <w:tr>
        <w:trPr>
          <w:trHeight w:val="304"/>
        </w:trPr>
        <w:tc>
          <w:tcPr>
            <w:tcW w:w="1060" w:type="dxa"/>
            <w:vAlign w:val="bottom"/>
            <w:tcBorders>
              <w:top w:val="single" w:sz="8" w:color="auto"/>
            </w:tcBorders>
            <w:gridSpan w:val="2"/>
          </w:tcPr>
          <w:p>
            <w:pPr>
              <w:spacing w:after="0"/>
              <w:rPr>
                <w:rFonts w:ascii="Times New Roman" w:cs="Times New Roman" w:eastAsia="Times New Roman" w:hAnsi="Times New Roman"/>
                <w:sz w:val="20"/>
                <w:szCs w:val="20"/>
                <w:color w:val="0000EE"/>
              </w:rPr>
            </w:pPr>
            <w:hyperlink w:anchor="page50">
              <w:r>
                <w:rPr>
                  <w:rFonts w:ascii="Times New Roman" w:cs="Times New Roman" w:eastAsia="Times New Roman" w:hAnsi="Times New Roman"/>
                  <w:sz w:val="20"/>
                  <w:szCs w:val="20"/>
                  <w:color w:val="0000EE"/>
                </w:rPr>
                <w:t>31.</w:t>
              </w:r>
              <w:r>
                <w:rPr>
                  <w:rFonts w:ascii="Times New Roman" w:cs="Times New Roman" w:eastAsia="Times New Roman" w:hAnsi="Times New Roman"/>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Certification dated November 2, 2017 of Chief Executive Officer pursuant to Securities and Exchange Act of 1934 rule 13a-14</w:t>
            </w:r>
          </w:p>
        </w:tc>
      </w:tr>
      <w:tr>
        <w:trPr>
          <w:trHeight w:val="256"/>
        </w:trPr>
        <w:tc>
          <w:tcPr>
            <w:tcW w:w="46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305"/>
        </w:trPr>
        <w:tc>
          <w:tcPr>
            <w:tcW w:w="1060" w:type="dxa"/>
            <w:vAlign w:val="bottom"/>
            <w:gridSpan w:val="2"/>
          </w:tcPr>
          <w:p>
            <w:pPr>
              <w:spacing w:after="0"/>
              <w:rPr>
                <w:rFonts w:ascii="Times New Roman" w:cs="Times New Roman" w:eastAsia="Times New Roman" w:hAnsi="Times New Roman"/>
                <w:sz w:val="20"/>
                <w:szCs w:val="20"/>
                <w:color w:val="0000EE"/>
              </w:rPr>
            </w:pPr>
            <w:hyperlink w:anchor="page52">
              <w:r>
                <w:rPr>
                  <w:rFonts w:ascii="Times New Roman" w:cs="Times New Roman" w:eastAsia="Times New Roman" w:hAnsi="Times New Roman"/>
                  <w:sz w:val="20"/>
                  <w:szCs w:val="20"/>
                  <w:color w:val="0000EE"/>
                </w:rPr>
                <w:t>31.</w:t>
              </w:r>
              <w:r>
                <w:rPr>
                  <w:rFonts w:ascii="Times New Roman" w:cs="Times New Roman" w:eastAsia="Times New Roman" w:hAnsi="Times New Roman"/>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Certification dated November 2, 2017 of Chief Financial Officer pursuant to Securities and Exchange Act of 1934 rule 13a-14 as</w:t>
            </w:r>
          </w:p>
        </w:tc>
      </w:tr>
      <w:tr>
        <w:trPr>
          <w:trHeight w:val="256"/>
        </w:trPr>
        <w:tc>
          <w:tcPr>
            <w:tcW w:w="46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adopted pursuant to Section 302 of the Sarbanes-Oxley Act of 2002</w:t>
            </w:r>
          </w:p>
        </w:tc>
      </w:tr>
      <w:tr>
        <w:trPr>
          <w:trHeight w:val="305"/>
        </w:trPr>
        <w:tc>
          <w:tcPr>
            <w:tcW w:w="1060" w:type="dxa"/>
            <w:vAlign w:val="bottom"/>
            <w:gridSpan w:val="2"/>
          </w:tcPr>
          <w:p>
            <w:pPr>
              <w:spacing w:after="0"/>
              <w:rPr>
                <w:rFonts w:ascii="Times New Roman" w:cs="Times New Roman" w:eastAsia="Times New Roman" w:hAnsi="Times New Roman"/>
                <w:sz w:val="20"/>
                <w:szCs w:val="20"/>
                <w:color w:val="0000EE"/>
              </w:rPr>
            </w:pPr>
            <w:hyperlink w:anchor="page54">
              <w:r>
                <w:rPr>
                  <w:rFonts w:ascii="Times New Roman" w:cs="Times New Roman" w:eastAsia="Times New Roman" w:hAnsi="Times New Roman"/>
                  <w:sz w:val="20"/>
                  <w:szCs w:val="20"/>
                  <w:color w:val="0000EE"/>
                </w:rPr>
                <w:t>32.</w:t>
              </w:r>
              <w:r>
                <w:rPr>
                  <w:rFonts w:ascii="Times New Roman" w:cs="Times New Roman" w:eastAsia="Times New Roman" w:hAnsi="Times New Roman"/>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Written Statement dated November 2, 2017 of Chief Executive Officer required by 18 U.S.C. 1350, as adopted pursuant to</w:t>
            </w:r>
          </w:p>
        </w:tc>
      </w:tr>
      <w:tr>
        <w:trPr>
          <w:trHeight w:val="256"/>
        </w:trPr>
        <w:tc>
          <w:tcPr>
            <w:tcW w:w="46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305"/>
        </w:trPr>
        <w:tc>
          <w:tcPr>
            <w:tcW w:w="1060" w:type="dxa"/>
            <w:vAlign w:val="bottom"/>
            <w:gridSpan w:val="2"/>
          </w:tcPr>
          <w:p>
            <w:pPr>
              <w:spacing w:after="0"/>
              <w:rPr>
                <w:rFonts w:ascii="Times New Roman" w:cs="Times New Roman" w:eastAsia="Times New Roman" w:hAnsi="Times New Roman"/>
                <w:sz w:val="20"/>
                <w:szCs w:val="20"/>
                <w:color w:val="0000EE"/>
              </w:rPr>
            </w:pPr>
            <w:hyperlink w:anchor="page55">
              <w:r>
                <w:rPr>
                  <w:rFonts w:ascii="Times New Roman" w:cs="Times New Roman" w:eastAsia="Times New Roman" w:hAnsi="Times New Roman"/>
                  <w:sz w:val="20"/>
                  <w:szCs w:val="20"/>
                  <w:color w:val="0000EE"/>
                </w:rPr>
                <w:t>32.</w:t>
              </w:r>
              <w:r>
                <w:rPr>
                  <w:rFonts w:ascii="Times New Roman" w:cs="Times New Roman" w:eastAsia="Times New Roman" w:hAnsi="Times New Roman"/>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Written Statement dated November 2, 2017 of Chief Financial Officer required by 18 U.S.C. 1350, as adopted pursuant to</w:t>
            </w:r>
          </w:p>
        </w:tc>
      </w:tr>
      <w:tr>
        <w:trPr>
          <w:trHeight w:val="256"/>
        </w:trPr>
        <w:tc>
          <w:tcPr>
            <w:tcW w:w="46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bl>
    <w:p>
      <w:pPr>
        <w:spacing w:after="0" w:line="93" w:lineRule="exact"/>
        <w:rPr>
          <w:sz w:val="20"/>
          <w:szCs w:val="20"/>
          <w:color w:val="auto"/>
        </w:rPr>
      </w:pPr>
    </w:p>
    <w:p>
      <w:pPr>
        <w:ind w:left="1180" w:hanging="1172"/>
        <w:spacing w:after="0"/>
        <w:tabs>
          <w:tab w:leader="none" w:pos="1180" w:val="left"/>
        </w:tabs>
        <w:numPr>
          <w:ilvl w:val="0"/>
          <w:numId w:val="28"/>
        </w:numPr>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color w:val="auto"/>
        </w:rPr>
        <w:t>Mine Safety Disclosures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Instance Document</w:t>
            </w: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Extension Schema Document</w:t>
            </w: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XBRL Taxonomy Extension Calculation Linkbase Document</w:t>
            </w: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Extension Label Linkbase Document</w:t>
            </w: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8"/>
              </w:rPr>
              <w:t>XBRL Taxonomy Extension Presentation Linkbase Document</w:t>
            </w:r>
          </w:p>
        </w:tc>
      </w:tr>
      <w:tr>
        <w:trPr>
          <w:trHeight w:val="351"/>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48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color w:val="auto"/>
        </w:rPr>
        <w:t>SIGNATURES</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MARTIN MARIETTA MATERIALS, INC.</w:t>
            </w:r>
          </w:p>
        </w:tc>
      </w:tr>
      <w:tr>
        <w:trPr>
          <w:trHeight w:val="258"/>
        </w:trPr>
        <w:tc>
          <w:tcPr>
            <w:tcW w:w="43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4200" w:type="dxa"/>
            <w:vAlign w:val="bottom"/>
          </w:tcPr>
          <w:p>
            <w:pPr>
              <w:jc w:val="center"/>
              <w:ind w:right="1961"/>
              <w:spacing w:after="0"/>
              <w:rPr>
                <w:sz w:val="20"/>
                <w:szCs w:val="20"/>
                <w:color w:val="auto"/>
              </w:rPr>
            </w:pPr>
            <w:r>
              <w:rPr>
                <w:rFonts w:ascii="Times New Roman" w:cs="Times New Roman" w:eastAsia="Times New Roman" w:hAnsi="Times New Roman"/>
                <w:sz w:val="20"/>
                <w:szCs w:val="20"/>
                <w:color w:val="auto"/>
                <w:w w:val="98"/>
              </w:rPr>
              <w:t>(Registrant)</w:t>
            </w:r>
          </w:p>
        </w:tc>
      </w:tr>
      <w:tr>
        <w:trPr>
          <w:trHeight w:val="453"/>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2, 2017</w:t>
            </w:r>
          </w:p>
        </w:tc>
        <w:tc>
          <w:tcPr>
            <w:tcW w:w="7040" w:type="dxa"/>
            <w:vAlign w:val="bottom"/>
            <w:gridSpan w:val="2"/>
          </w:tcPr>
          <w:p>
            <w:pPr>
              <w:ind w:left="2440"/>
              <w:spacing w:after="0"/>
              <w:rPr>
                <w:sz w:val="20"/>
                <w:szCs w:val="20"/>
                <w:color w:val="auto"/>
              </w:rPr>
            </w:pPr>
            <w:r>
              <w:rPr>
                <w:rFonts w:ascii="Times New Roman" w:cs="Times New Roman" w:eastAsia="Times New Roman" w:hAnsi="Times New Roman"/>
                <w:sz w:val="20"/>
                <w:szCs w:val="20"/>
                <w:color w:val="auto"/>
              </w:rPr>
              <w:t>By: /s/ James A. J. Nickolas</w:t>
            </w:r>
          </w:p>
        </w:tc>
      </w:tr>
      <w:tr>
        <w:trPr>
          <w:trHeight w:val="200"/>
        </w:trPr>
        <w:tc>
          <w:tcPr>
            <w:tcW w:w="43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20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James A. J. Nickolas</w:t>
            </w:r>
          </w:p>
        </w:tc>
      </w:tr>
      <w:tr>
        <w:trPr>
          <w:trHeight w:val="230"/>
        </w:trPr>
        <w:tc>
          <w:tcPr>
            <w:tcW w:w="43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Sr. Vice President and</w:t>
            </w:r>
          </w:p>
        </w:tc>
      </w:tr>
      <w:tr>
        <w:trPr>
          <w:trHeight w:val="258"/>
        </w:trPr>
        <w:tc>
          <w:tcPr>
            <w:tcW w:w="43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4200" w:type="dxa"/>
            <w:vAlign w:val="bottom"/>
          </w:tcPr>
          <w:p>
            <w:pPr>
              <w:jc w:val="center"/>
              <w:ind w:right="1961"/>
              <w:spacing w:after="0"/>
              <w:rPr>
                <w:sz w:val="20"/>
                <w:szCs w:val="20"/>
                <w:color w:val="auto"/>
              </w:rPr>
            </w:pPr>
            <w:r>
              <w:rPr>
                <w:rFonts w:ascii="Times New Roman" w:cs="Times New Roman" w:eastAsia="Times New Roman" w:hAnsi="Times New Roman"/>
                <w:sz w:val="20"/>
                <w:szCs w:val="20"/>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49 of 49</w:t>
      </w:r>
    </w:p>
    <w:p>
      <w:pPr>
        <w:sectPr>
          <w:pgSz w:w="11900" w:h="16838" w:orient="portrait"/>
          <w:cols w:equalWidth="0" w:num="1">
            <w:col w:w="11420"/>
          </w:cols>
          <w:pgMar w:left="240" w:top="34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SECURITIES AND EXCHANGE ACT OF 1934 RULE 13a-14 AS ADOPTED PURSUANT TO SECTION 302 OF SARBANES-OXLEY ACT OF 2002</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 Howard Nye, certify that:</w:t>
      </w:r>
    </w:p>
    <w:p>
      <w:pPr>
        <w:spacing w:after="0" w:line="229" w:lineRule="exact"/>
        <w:rPr>
          <w:sz w:val="20"/>
          <w:szCs w:val="20"/>
          <w:color w:val="auto"/>
        </w:rPr>
      </w:pPr>
    </w:p>
    <w:p>
      <w:pPr>
        <w:ind w:left="1300" w:hanging="428"/>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Form 10-Q of Martin Marietta Materials, Inc.;</w:t>
      </w:r>
    </w:p>
    <w:p>
      <w:pPr>
        <w:spacing w:after="0" w:line="229" w:lineRule="exact"/>
        <w:rPr>
          <w:rFonts w:ascii="Times New Roman" w:cs="Times New Roman" w:eastAsia="Times New Roman" w:hAnsi="Times New Roman"/>
          <w:sz w:val="20"/>
          <w:szCs w:val="20"/>
          <w:color w:val="auto"/>
        </w:rPr>
      </w:pPr>
    </w:p>
    <w:p>
      <w:pPr>
        <w:jc w:val="both"/>
        <w:ind w:left="1300" w:hanging="428"/>
        <w:spacing w:after="0" w:line="254" w:lineRule="auto"/>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jc w:val="both"/>
        <w:ind w:left="1300" w:hanging="428"/>
        <w:spacing w:after="0" w:line="254" w:lineRule="auto"/>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jc w:val="both"/>
        <w:ind w:left="1300" w:right="20" w:hanging="428"/>
        <w:spacing w:after="0" w:line="254" w:lineRule="auto"/>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2180" w:hanging="430"/>
        <w:spacing w:after="0" w:line="249" w:lineRule="auto"/>
        <w:tabs>
          <w:tab w:leader="none" w:pos="218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20"/>
          <w:szCs w:val="20"/>
          <w:color w:val="auto"/>
        </w:rPr>
      </w:pPr>
    </w:p>
    <w:p>
      <w:pPr>
        <w:jc w:val="both"/>
        <w:ind w:left="2180" w:hanging="430"/>
        <w:spacing w:after="0" w:line="249" w:lineRule="auto"/>
        <w:tabs>
          <w:tab w:leader="none" w:pos="218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93" w:lineRule="exact"/>
        <w:rPr>
          <w:rFonts w:ascii="Times New Roman" w:cs="Times New Roman" w:eastAsia="Times New Roman" w:hAnsi="Times New Roman"/>
          <w:sz w:val="20"/>
          <w:szCs w:val="20"/>
          <w:color w:val="auto"/>
        </w:rPr>
      </w:pPr>
    </w:p>
    <w:p>
      <w:pPr>
        <w:jc w:val="both"/>
        <w:ind w:left="2180" w:hanging="430"/>
        <w:spacing w:after="0" w:line="254" w:lineRule="auto"/>
        <w:tabs>
          <w:tab w:leader="none" w:pos="218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2180" w:hanging="430"/>
        <w:spacing w:after="0" w:line="249" w:lineRule="auto"/>
        <w:tabs>
          <w:tab w:leader="none" w:pos="218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15" w:right="239" w:bottom="1440" w:gutter="0" w:footer="0" w:header="0"/>
        </w:sectPr>
      </w:pPr>
    </w:p>
    <w:bookmarkStart w:id="50" w:name="page51"/>
    <w:bookmarkEnd w:id="50"/>
    <w:p>
      <w:pPr>
        <w:spacing w:after="0" w:line="41" w:lineRule="exact"/>
        <w:rPr>
          <w:sz w:val="20"/>
          <w:szCs w:val="20"/>
          <w:color w:val="auto"/>
        </w:rPr>
      </w:pPr>
    </w:p>
    <w:p>
      <w:pPr>
        <w:jc w:val="both"/>
        <w:ind w:left="1300" w:hanging="428"/>
        <w:spacing w:after="0" w:line="254" w:lineRule="auto"/>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jc w:val="both"/>
        <w:ind w:left="2180" w:hanging="430"/>
        <w:spacing w:after="0" w:line="254" w:lineRule="auto"/>
        <w:tabs>
          <w:tab w:leader="none" w:pos="218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2180" w:hanging="430"/>
        <w:spacing w:after="0" w:line="269" w:lineRule="auto"/>
        <w:tabs>
          <w:tab w:leader="none" w:pos="218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2, 2017</w:t>
            </w:r>
          </w:p>
        </w:tc>
        <w:tc>
          <w:tcPr>
            <w:tcW w:w="7000" w:type="dxa"/>
            <w:vAlign w:val="bottom"/>
            <w:gridSpan w:val="2"/>
          </w:tcPr>
          <w:p>
            <w:pPr>
              <w:ind w:left="2440"/>
              <w:spacing w:after="0"/>
              <w:rPr>
                <w:sz w:val="20"/>
                <w:szCs w:val="20"/>
                <w:color w:val="auto"/>
              </w:rPr>
            </w:pPr>
            <w:r>
              <w:rPr>
                <w:rFonts w:ascii="Times New Roman" w:cs="Times New Roman" w:eastAsia="Times New Roman" w:hAnsi="Times New Roman"/>
                <w:sz w:val="20"/>
                <w:szCs w:val="20"/>
                <w:color w:val="auto"/>
              </w:rPr>
              <w:t>By:  /s/ C. Howard Nye</w:t>
            </w:r>
          </w:p>
        </w:tc>
      </w:tr>
      <w:tr>
        <w:trPr>
          <w:trHeight w:val="200"/>
        </w:trPr>
        <w:tc>
          <w:tcPr>
            <w:tcW w:w="44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10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C. Howard Nye</w:t>
            </w:r>
          </w:p>
        </w:tc>
      </w:tr>
      <w:tr>
        <w:trPr>
          <w:trHeight w:val="230"/>
        </w:trPr>
        <w:tc>
          <w:tcPr>
            <w:tcW w:w="44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Chairman, President and</w:t>
            </w:r>
          </w:p>
        </w:tc>
      </w:tr>
      <w:tr>
        <w:trPr>
          <w:trHeight w:val="258"/>
        </w:trPr>
        <w:tc>
          <w:tcPr>
            <w:tcW w:w="44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420"/>
          </w:cols>
          <w:pgMar w:left="240" w:top="1440"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SECURITIES AND EXCHANGE ACT OF 1934 RULE 13a-14 AS ADOPTED PURSUANT TO SECTION 302 OF SARBANES-OXLEY ACT OF 2002</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James A. J. Nickolas, certify that:</w:t>
      </w:r>
    </w:p>
    <w:p>
      <w:pPr>
        <w:spacing w:after="0" w:line="229" w:lineRule="exact"/>
        <w:rPr>
          <w:sz w:val="20"/>
          <w:szCs w:val="20"/>
          <w:color w:val="auto"/>
        </w:rPr>
      </w:pPr>
    </w:p>
    <w:p>
      <w:pPr>
        <w:ind w:left="1300" w:hanging="428"/>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Form 10-Q of Martin Marietta Materials, Inc.;</w:t>
      </w:r>
    </w:p>
    <w:p>
      <w:pPr>
        <w:spacing w:after="0" w:line="229" w:lineRule="exact"/>
        <w:rPr>
          <w:rFonts w:ascii="Times New Roman" w:cs="Times New Roman" w:eastAsia="Times New Roman" w:hAnsi="Times New Roman"/>
          <w:sz w:val="20"/>
          <w:szCs w:val="20"/>
          <w:color w:val="auto"/>
        </w:rPr>
      </w:pPr>
    </w:p>
    <w:p>
      <w:pPr>
        <w:jc w:val="both"/>
        <w:ind w:left="1300" w:hanging="428"/>
        <w:spacing w:after="0" w:line="254" w:lineRule="auto"/>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jc w:val="both"/>
        <w:ind w:left="1300" w:hanging="428"/>
        <w:spacing w:after="0" w:line="254" w:lineRule="auto"/>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jc w:val="both"/>
        <w:ind w:left="1300" w:right="20" w:hanging="428"/>
        <w:spacing w:after="0" w:line="254" w:lineRule="auto"/>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2180" w:hanging="430"/>
        <w:spacing w:after="0" w:line="249" w:lineRule="auto"/>
        <w:tabs>
          <w:tab w:leader="none" w:pos="21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20"/>
          <w:szCs w:val="20"/>
          <w:color w:val="auto"/>
        </w:rPr>
      </w:pPr>
    </w:p>
    <w:p>
      <w:pPr>
        <w:jc w:val="both"/>
        <w:ind w:left="2180" w:hanging="430"/>
        <w:spacing w:after="0" w:line="249" w:lineRule="auto"/>
        <w:tabs>
          <w:tab w:leader="none" w:pos="21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93" w:lineRule="exact"/>
        <w:rPr>
          <w:rFonts w:ascii="Times New Roman" w:cs="Times New Roman" w:eastAsia="Times New Roman" w:hAnsi="Times New Roman"/>
          <w:sz w:val="20"/>
          <w:szCs w:val="20"/>
          <w:color w:val="auto"/>
        </w:rPr>
      </w:pPr>
    </w:p>
    <w:p>
      <w:pPr>
        <w:jc w:val="both"/>
        <w:ind w:left="2180" w:hanging="430"/>
        <w:spacing w:after="0" w:line="254" w:lineRule="auto"/>
        <w:tabs>
          <w:tab w:leader="none" w:pos="21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2180" w:hanging="430"/>
        <w:spacing w:after="0" w:line="249" w:lineRule="auto"/>
        <w:tabs>
          <w:tab w:leader="none" w:pos="21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15" w:right="239" w:bottom="1440" w:gutter="0" w:footer="0" w:header="0"/>
        </w:sectPr>
      </w:pPr>
    </w:p>
    <w:bookmarkStart w:id="52" w:name="page53"/>
    <w:bookmarkEnd w:id="52"/>
    <w:p>
      <w:pPr>
        <w:spacing w:after="0" w:line="41" w:lineRule="exact"/>
        <w:rPr>
          <w:sz w:val="20"/>
          <w:szCs w:val="20"/>
          <w:color w:val="auto"/>
        </w:rPr>
      </w:pPr>
    </w:p>
    <w:p>
      <w:pPr>
        <w:jc w:val="both"/>
        <w:ind w:left="1300" w:hanging="428"/>
        <w:spacing w:after="0" w:line="254" w:lineRule="auto"/>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0"/>
          <w:szCs w:val="20"/>
          <w:color w:val="auto"/>
        </w:rPr>
      </w:pPr>
    </w:p>
    <w:p>
      <w:pPr>
        <w:jc w:val="both"/>
        <w:ind w:left="2180" w:hanging="430"/>
        <w:spacing w:after="0" w:line="254" w:lineRule="auto"/>
        <w:tabs>
          <w:tab w:leader="none" w:pos="218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2180" w:hanging="430"/>
        <w:spacing w:after="0" w:line="269" w:lineRule="auto"/>
        <w:tabs>
          <w:tab w:leader="none" w:pos="218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Date: November 2, 2017</w:t>
            </w:r>
          </w:p>
        </w:tc>
        <w:tc>
          <w:tcPr>
            <w:tcW w:w="7020" w:type="dxa"/>
            <w:vAlign w:val="bottom"/>
            <w:gridSpan w:val="2"/>
          </w:tcPr>
          <w:p>
            <w:pPr>
              <w:ind w:left="2460"/>
              <w:spacing w:after="0"/>
              <w:rPr>
                <w:sz w:val="20"/>
                <w:szCs w:val="20"/>
                <w:color w:val="auto"/>
              </w:rPr>
            </w:pPr>
            <w:r>
              <w:rPr>
                <w:rFonts w:ascii="Times New Roman" w:cs="Times New Roman" w:eastAsia="Times New Roman" w:hAnsi="Times New Roman"/>
                <w:sz w:val="20"/>
                <w:szCs w:val="20"/>
                <w:color w:val="auto"/>
              </w:rPr>
              <w:t>By:  /s/ James A. J. Nickolas</w:t>
            </w:r>
          </w:p>
        </w:tc>
      </w:tr>
      <w:tr>
        <w:trPr>
          <w:trHeight w:val="200"/>
        </w:trPr>
        <w:tc>
          <w:tcPr>
            <w:tcW w:w="44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1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James A. J. Nickolas</w:t>
            </w:r>
          </w:p>
        </w:tc>
      </w:tr>
      <w:tr>
        <w:trPr>
          <w:trHeight w:val="230"/>
        </w:trPr>
        <w:tc>
          <w:tcPr>
            <w:tcW w:w="44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20"/>
                <w:szCs w:val="20"/>
                <w:color w:val="auto"/>
              </w:rPr>
              <w:t>Sr. Vice President and</w:t>
            </w:r>
          </w:p>
        </w:tc>
      </w:tr>
      <w:tr>
        <w:trPr>
          <w:trHeight w:val="258"/>
        </w:trPr>
        <w:tc>
          <w:tcPr>
            <w:tcW w:w="44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ectPr>
          <w:pgSz w:w="11900" w:h="16838" w:orient="portrait"/>
          <w:cols w:equalWidth="0" w:num="1">
            <w:col w:w="11420"/>
          </w:cols>
          <w:pgMar w:left="240" w:top="1440"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b w:val="1"/>
          <w:bCs w:val="1"/>
          <w:color w:val="auto"/>
        </w:rPr>
        <w:t>EXHIBIT 32.01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Written Statement Pursuant to 18 U.S.C.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 of the Sarbanes-Oxley Act of 2002</w:t>
      </w:r>
    </w:p>
    <w:p>
      <w:pPr>
        <w:spacing w:after="0" w:line="207" w:lineRule="exact"/>
        <w:rPr>
          <w:sz w:val="20"/>
          <w:szCs w:val="20"/>
          <w:color w:val="auto"/>
        </w:rPr>
      </w:pPr>
    </w:p>
    <w:p>
      <w:pPr>
        <w:jc w:val="both"/>
        <w:ind w:firstLine="877"/>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on Form 10-Q for the period ended September 30, 2017 (the “Report”) of Martin Marietta Materials, Inc. (the “Registrant”), as filed with the Securities and Exchange Commission on the date hereof, I, C. Howard Nye, the Chief Executive Officer of the Registrant, certify, to the best of my knowledge, that:</w:t>
      </w:r>
    </w:p>
    <w:p>
      <w:pPr>
        <w:spacing w:after="0" w:line="188" w:lineRule="exact"/>
        <w:rPr>
          <w:sz w:val="20"/>
          <w:szCs w:val="20"/>
          <w:color w:val="auto"/>
        </w:rPr>
      </w:pPr>
    </w:p>
    <w:p>
      <w:pPr>
        <w:ind w:left="1740" w:hanging="868"/>
        <w:spacing w:after="0" w:line="269" w:lineRule="auto"/>
        <w:tabs>
          <w:tab w:leader="none" w:pos="1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1740" w:right="20" w:hanging="868"/>
        <w:spacing w:after="0" w:line="269" w:lineRule="auto"/>
        <w:tabs>
          <w:tab w:leader="none" w:pos="1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Registrant.</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C. Howard Nye</w:t>
      </w:r>
    </w:p>
    <w:p>
      <w:pPr>
        <w:spacing w:after="0" w:line="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Chairman, President and</w:t>
      </w:r>
    </w:p>
    <w:p>
      <w:pPr>
        <w:ind w:left="70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November 2, 2017</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4"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32.02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Written Statement Pursuant to 18 U.S.C.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 of the Sarbanes-Oxley Act of 2002</w:t>
      </w:r>
    </w:p>
    <w:p>
      <w:pPr>
        <w:spacing w:after="0" w:line="207" w:lineRule="exact"/>
        <w:rPr>
          <w:sz w:val="20"/>
          <w:szCs w:val="20"/>
          <w:color w:val="auto"/>
        </w:rPr>
      </w:pPr>
    </w:p>
    <w:p>
      <w:pPr>
        <w:jc w:val="both"/>
        <w:ind w:firstLine="877"/>
        <w:spacing w:after="0" w:line="254" w:lineRule="auto"/>
        <w:rPr>
          <w:sz w:val="20"/>
          <w:szCs w:val="20"/>
          <w:color w:val="auto"/>
        </w:rPr>
      </w:pPr>
      <w:r>
        <w:rPr>
          <w:rFonts w:ascii="Times New Roman" w:cs="Times New Roman" w:eastAsia="Times New Roman" w:hAnsi="Times New Roman"/>
          <w:sz w:val="20"/>
          <w:szCs w:val="20"/>
          <w:color w:val="auto"/>
        </w:rPr>
        <w:t>In connection with the Quarterly Report on Form 10-Q for the period ended September 30, 2017 (the “Report”) of Martin Marietta Materials, Inc. (the “Registrant”), as filed with the Securities and Exchange Commission on the date hereof, I, James A. J. Nickolas, the Chief Financial Officer of the Registrant, certify, to the best of my knowledge, that:</w:t>
      </w:r>
    </w:p>
    <w:p>
      <w:pPr>
        <w:spacing w:after="0" w:line="188" w:lineRule="exact"/>
        <w:rPr>
          <w:sz w:val="20"/>
          <w:szCs w:val="20"/>
          <w:color w:val="auto"/>
        </w:rPr>
      </w:pPr>
    </w:p>
    <w:p>
      <w:pPr>
        <w:ind w:left="1740" w:hanging="868"/>
        <w:spacing w:after="0" w:line="269" w:lineRule="auto"/>
        <w:tabs>
          <w:tab w:leader="none" w:pos="1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1740" w:right="20" w:hanging="868"/>
        <w:spacing w:after="0" w:line="269" w:lineRule="auto"/>
        <w:tabs>
          <w:tab w:leader="none" w:pos="1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Registrant.</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James A. J. Nickolas</w:t>
      </w:r>
    </w:p>
    <w:p>
      <w:pPr>
        <w:spacing w:after="0" w:line="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Sr. Vice President and</w:t>
      </w:r>
    </w:p>
    <w:p>
      <w:pPr>
        <w:ind w:left="70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November 2, 2017</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4"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95</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MINE SAFETY DISCLOSURES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Corporation presents the following items regarding certain mining safety and health matters for the three months ended September 30, 2017:</w:t>
      </w:r>
    </w:p>
    <w:p>
      <w:pPr>
        <w:spacing w:after="0" w:line="173" w:lineRule="exact"/>
        <w:rPr>
          <w:sz w:val="20"/>
          <w:szCs w:val="20"/>
          <w:color w:val="auto"/>
        </w:rPr>
      </w:pPr>
    </w:p>
    <w:p>
      <w:pPr>
        <w:jc w:val="both"/>
        <w:ind w:left="440" w:hanging="432"/>
        <w:spacing w:after="0" w:line="245" w:lineRule="auto"/>
        <w:tabs>
          <w:tab w:leader="none" w:pos="44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171" w:lineRule="exact"/>
        <w:rPr>
          <w:rFonts w:ascii="Times New Roman" w:cs="Times New Roman" w:eastAsia="Times New Roman" w:hAnsi="Times New Roman"/>
          <w:sz w:val="20"/>
          <w:szCs w:val="20"/>
          <w:b w:val="1"/>
          <w:bCs w:val="1"/>
          <w:color w:val="auto"/>
        </w:rPr>
      </w:pPr>
    </w:p>
    <w:p>
      <w:pPr>
        <w:jc w:val="both"/>
        <w:ind w:left="440" w:hanging="432"/>
        <w:spacing w:after="0" w:line="249" w:lineRule="auto"/>
        <w:tabs>
          <w:tab w:leader="none" w:pos="44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193" w:lineRule="exact"/>
        <w:rPr>
          <w:rFonts w:ascii="Times New Roman" w:cs="Times New Roman" w:eastAsia="Times New Roman" w:hAnsi="Times New Roman"/>
          <w:sz w:val="20"/>
          <w:szCs w:val="20"/>
          <w:b w:val="1"/>
          <w:bCs w:val="1"/>
          <w:color w:val="auto"/>
        </w:rPr>
      </w:pPr>
    </w:p>
    <w:p>
      <w:pPr>
        <w:jc w:val="both"/>
        <w:ind w:left="440" w:hanging="432"/>
        <w:spacing w:after="0" w:line="254" w:lineRule="auto"/>
        <w:tabs>
          <w:tab w:leader="none" w:pos="44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6" w:name="page57"/>
    <w:bookmarkEnd w:id="56"/>
    <w:p>
      <w:pPr>
        <w:jc w:val="both"/>
        <w:ind w:left="432"/>
        <w:spacing w:after="0" w:line="253" w:lineRule="auto"/>
        <w:rPr>
          <w:sz w:val="20"/>
          <w:szCs w:val="20"/>
          <w:color w:val="auto"/>
        </w:rPr>
      </w:pPr>
      <w:r>
        <w:rPr>
          <w:rFonts w:ascii="Times New Roman" w:cs="Times New Roman" w:eastAsia="Times New Roman" w:hAnsi="Times New Roman"/>
          <w:sz w:val="20"/>
          <w:szCs w:val="20"/>
          <w:color w:val="auto"/>
        </w:rPr>
        <w:t>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190" w:lineRule="exact"/>
        <w:rPr>
          <w:sz w:val="20"/>
          <w:szCs w:val="20"/>
          <w:color w:val="auto"/>
        </w:rPr>
      </w:pPr>
    </w:p>
    <w:p>
      <w:pPr>
        <w:jc w:val="both"/>
        <w:ind w:left="432" w:hanging="432"/>
        <w:spacing w:after="0" w:line="266" w:lineRule="auto"/>
        <w:tabs>
          <w:tab w:leader="none" w:pos="432"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9" w:lineRule="exact"/>
        <w:rPr>
          <w:rFonts w:ascii="Times New Roman" w:cs="Times New Roman" w:eastAsia="Times New Roman" w:hAnsi="Times New Roman"/>
          <w:sz w:val="19"/>
          <w:szCs w:val="19"/>
          <w:b w:val="1"/>
          <w:bCs w:val="1"/>
          <w:color w:val="auto"/>
        </w:rPr>
      </w:pPr>
    </w:p>
    <w:p>
      <w:pPr>
        <w:jc w:val="both"/>
        <w:ind w:left="432" w:hanging="432"/>
        <w:spacing w:after="0" w:line="249" w:lineRule="auto"/>
        <w:tabs>
          <w:tab w:leader="none" w:pos="432"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93" w:lineRule="exact"/>
        <w:rPr>
          <w:rFonts w:ascii="Times New Roman" w:cs="Times New Roman" w:eastAsia="Times New Roman" w:hAnsi="Times New Roman"/>
          <w:sz w:val="20"/>
          <w:szCs w:val="20"/>
          <w:b w:val="1"/>
          <w:bCs w:val="1"/>
          <w:color w:val="auto"/>
        </w:rPr>
      </w:pPr>
    </w:p>
    <w:p>
      <w:pPr>
        <w:jc w:val="both"/>
        <w:ind w:left="432" w:hanging="432"/>
        <w:spacing w:after="0" w:line="249" w:lineRule="auto"/>
        <w:tabs>
          <w:tab w:leader="none" w:pos="432"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93" w:lineRule="exact"/>
        <w:rPr>
          <w:rFonts w:ascii="Times New Roman" w:cs="Times New Roman" w:eastAsia="Times New Roman" w:hAnsi="Times New Roman"/>
          <w:sz w:val="20"/>
          <w:szCs w:val="20"/>
          <w:b w:val="1"/>
          <w:bCs w:val="1"/>
          <w:color w:val="auto"/>
        </w:rPr>
      </w:pPr>
    </w:p>
    <w:p>
      <w:pPr>
        <w:jc w:val="both"/>
        <w:ind w:left="432" w:hanging="432"/>
        <w:spacing w:after="0" w:line="254" w:lineRule="auto"/>
        <w:tabs>
          <w:tab w:leader="none" w:pos="432"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88" w:lineRule="exact"/>
        <w:rPr>
          <w:rFonts w:ascii="Times New Roman" w:cs="Times New Roman" w:eastAsia="Times New Roman" w:hAnsi="Times New Roman"/>
          <w:sz w:val="20"/>
          <w:szCs w:val="20"/>
          <w:b w:val="1"/>
          <w:bCs w:val="1"/>
          <w:color w:val="auto"/>
        </w:rPr>
      </w:pPr>
    </w:p>
    <w:p>
      <w:pPr>
        <w:jc w:val="both"/>
        <w:ind w:left="432" w:hanging="432"/>
        <w:spacing w:after="0" w:line="249" w:lineRule="auto"/>
        <w:tabs>
          <w:tab w:leader="none" w:pos="432"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93" w:lineRule="exact"/>
        <w:rPr>
          <w:rFonts w:ascii="Times New Roman" w:cs="Times New Roman" w:eastAsia="Times New Roman" w:hAnsi="Times New Roman"/>
          <w:sz w:val="20"/>
          <w:szCs w:val="20"/>
          <w:b w:val="1"/>
          <w:bCs w:val="1"/>
          <w:color w:val="auto"/>
        </w:rPr>
      </w:pPr>
    </w:p>
    <w:p>
      <w:pPr>
        <w:ind w:left="432" w:hanging="432"/>
        <w:spacing w:after="0"/>
        <w:tabs>
          <w:tab w:leader="none" w:pos="432"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Legal actions before the Federal Mine Safety and Health Review Commissions pending as of the last day of period.</w:t>
      </w:r>
    </w:p>
    <w:p>
      <w:pPr>
        <w:spacing w:after="0" w:line="229" w:lineRule="exact"/>
        <w:rPr>
          <w:rFonts w:ascii="Times New Roman" w:cs="Times New Roman" w:eastAsia="Times New Roman" w:hAnsi="Times New Roman"/>
          <w:sz w:val="20"/>
          <w:szCs w:val="20"/>
          <w:b w:val="1"/>
          <w:bCs w:val="1"/>
          <w:color w:val="auto"/>
        </w:rPr>
      </w:pPr>
    </w:p>
    <w:p>
      <w:pPr>
        <w:ind w:left="432" w:hanging="432"/>
        <w:spacing w:after="0"/>
        <w:tabs>
          <w:tab w:leader="none" w:pos="432"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Legal actions before the Federal Mine Safety and Health Review Commissions initiated during period.</w:t>
      </w:r>
    </w:p>
    <w:p>
      <w:pPr>
        <w:spacing w:after="0" w:line="229" w:lineRule="exact"/>
        <w:rPr>
          <w:rFonts w:ascii="Times New Roman" w:cs="Times New Roman" w:eastAsia="Times New Roman" w:hAnsi="Times New Roman"/>
          <w:sz w:val="20"/>
          <w:szCs w:val="20"/>
          <w:b w:val="1"/>
          <w:bCs w:val="1"/>
          <w:color w:val="auto"/>
        </w:rPr>
      </w:pPr>
    </w:p>
    <w:p>
      <w:pPr>
        <w:ind w:left="432" w:hanging="432"/>
        <w:spacing w:after="0"/>
        <w:tabs>
          <w:tab w:leader="none" w:pos="432"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Legal actions before the Federal Mine Safety and Health Review Commissions resolved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627380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57" w:name="page58"/>
    <w:bookmarkEnd w:id="57"/>
    <w:p>
      <w:pPr>
        <w:jc w:val="both"/>
        <w:spacing w:after="0" w:line="243" w:lineRule="auto"/>
        <w:rPr>
          <w:sz w:val="20"/>
          <w:szCs w:val="20"/>
          <w:color w:val="auto"/>
        </w:rPr>
      </w:pPr>
      <w:r>
        <w:rPr>
          <w:rFonts w:ascii="Times New Roman" w:cs="Times New Roman" w:eastAsia="Times New Roman" w:hAnsi="Times New Roman"/>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September 30, 2017,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58"/>
        </w:trPr>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6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w w:val="97"/>
              </w:rPr>
              <w:t>Appendix 1</w:t>
            </w:r>
          </w:p>
        </w:tc>
      </w:tr>
      <w:tr>
        <w:trPr>
          <w:trHeight w:val="440"/>
        </w:trPr>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Received Received</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Notice of Notice of</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Total</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Pattern</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Section</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to have</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Pending</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Legal</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Legal</w:t>
            </w:r>
          </w:p>
        </w:tc>
      </w:tr>
      <w:tr>
        <w:trPr>
          <w:trHeight w:val="230"/>
        </w:trPr>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104(d)</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Total Dollar</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Violation Pattern</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as of</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Actions</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Actions</w:t>
            </w:r>
          </w:p>
        </w:tc>
      </w:tr>
      <w:tr>
        <w:trPr>
          <w:trHeight w:val="230"/>
        </w:trPr>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Section</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w w:val="96"/>
              </w:rPr>
              <w:t>Section Citations</w:t>
            </w:r>
          </w:p>
        </w:tc>
        <w:tc>
          <w:tcPr>
            <w:tcW w:w="86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Section</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w w:val="96"/>
              </w:rPr>
              <w:t>Section</w:t>
            </w:r>
          </w:p>
        </w:tc>
        <w:tc>
          <w:tcPr>
            <w:tcW w:w="140" w:type="dxa"/>
            <w:vAlign w:val="bottom"/>
          </w:tcPr>
          <w:p>
            <w:pPr>
              <w:spacing w:after="0"/>
              <w:rPr>
                <w:sz w:val="19"/>
                <w:szCs w:val="19"/>
                <w:color w:val="auto"/>
              </w:rPr>
            </w:pPr>
          </w:p>
        </w:tc>
        <w:tc>
          <w:tcPr>
            <w:tcW w:w="106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7"/>
              </w:rPr>
              <w:t>Value of</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Mining</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Under</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under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Last</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w w:val="98"/>
              </w:rPr>
              <w:t>Instituted Resolved</w:t>
            </w:r>
          </w:p>
        </w:tc>
      </w:tr>
      <w:tr>
        <w:trPr>
          <w:trHeight w:val="230"/>
        </w:trPr>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104 S&amp;S 104(b)</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and</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110(b)(2)</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107(a)</w:t>
            </w:r>
          </w:p>
        </w:tc>
        <w:tc>
          <w:tcPr>
            <w:tcW w:w="140" w:type="dxa"/>
            <w:vAlign w:val="bottom"/>
          </w:tcPr>
          <w:p>
            <w:pPr>
              <w:spacing w:after="0"/>
              <w:rPr>
                <w:sz w:val="19"/>
                <w:szCs w:val="19"/>
                <w:color w:val="auto"/>
              </w:rPr>
            </w:pPr>
          </w:p>
        </w:tc>
        <w:tc>
          <w:tcPr>
            <w:tcW w:w="106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6"/>
              </w:rPr>
              <w:t>MSHA</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Related</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Section</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Section</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Day of</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During</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During</w:t>
            </w:r>
          </w:p>
        </w:tc>
      </w:tr>
      <w:tr>
        <w:trPr>
          <w:trHeight w:val="230"/>
        </w:trPr>
        <w:tc>
          <w:tcPr>
            <w:tcW w:w="920" w:type="dxa"/>
            <w:vAlign w:val="bottom"/>
          </w:tcPr>
          <w:p>
            <w:pPr>
              <w:spacing w:after="0"/>
              <w:rPr>
                <w:sz w:val="19"/>
                <w:szCs w:val="19"/>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MSHA Citations 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Orders</w:t>
            </w:r>
          </w:p>
        </w:tc>
        <w:tc>
          <w:tcPr>
            <w:tcW w:w="354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w w:val="98"/>
              </w:rPr>
              <w:t>Violations Orders Assessment/$ Fatalities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104(e)</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104(e)</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Period</w:t>
            </w:r>
          </w:p>
        </w:tc>
      </w:tr>
      <w:tr>
        <w:trPr>
          <w:trHeight w:val="256"/>
        </w:trPr>
        <w:tc>
          <w:tcPr>
            <w:tcW w:w="9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76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ID</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22"/>
                <w:szCs w:val="22"/>
                <w:color w:val="auto"/>
              </w:rPr>
            </w:pPr>
          </w:p>
        </w:tc>
        <w:tc>
          <w:tcPr>
            <w:tcW w:w="106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7"/>
              </w:rPr>
              <w:t>Proposed</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(yes/no)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(yes/no)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2"/>
                <w:szCs w:val="22"/>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Alexander</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BN5</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American</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Stone</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3100189</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Anderson</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Creek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4402963</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Arrowood</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3100059</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Asheboro</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3100066</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Bakers</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3100071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Belgrade</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3100064</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Benson</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3101979</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Berkeley</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3800072</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Bessemer</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City</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3101105</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Black</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Ankle</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3102220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Bonds</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Gravel Pit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3101963</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Boonsboro</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1800024</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Burlington</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3100042</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Caldwell</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3101869</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Castle</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Hayne</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3100063</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Cayce</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3800016</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Central</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Rock</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3100050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Charlotte</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3100057</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Clarks</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3102009</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43"/>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Denver</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3101971</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Doswell</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4400045</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East</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Alamance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3102021</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1"/>
                <w:szCs w:val="21"/>
                <w:color w:val="auto"/>
              </w:rPr>
            </w:pPr>
          </w:p>
        </w:tc>
      </w:tr>
      <w:tr>
        <w:trPr>
          <w:trHeight w:val="220"/>
        </w:trPr>
        <w:tc>
          <w:tcPr>
            <w:tcW w:w="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Fountain</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Quarry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3100065</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9"/>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20" w:type="dxa"/>
            <w:vAlign w:val="bottom"/>
          </w:tcPr>
          <w:p>
            <w:pPr>
              <w:spacing w:after="0"/>
              <w:rPr>
                <w:sz w:val="22"/>
                <w:szCs w:val="22"/>
                <w:color w:val="auto"/>
              </w:rPr>
            </w:pPr>
          </w:p>
        </w:tc>
      </w:tr>
      <w:tr>
        <w:trPr>
          <w:trHeight w:val="757"/>
        </w:trPr>
        <w:tc>
          <w:tcPr>
            <w:tcW w:w="9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549"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7"/>
              </w:rPr>
              <w:t>Appendix 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Franklin 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3102130</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Fuquay 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3102055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Garner 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3100072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Georgetown ll</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3800525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Hickory 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3100043</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712</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Hicone 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3102088</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rPr>
              <w:t>Jamestown 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3100051</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320</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Kannapolis Quarry 3100070</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Kings Mountain</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3100047</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Lemon Springs</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3101104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Loamy Sand and</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Gravel</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3800721</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Maiden 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3102125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Mallard Creek</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3102006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Matthews 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3102084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Midlothian Quarry 4403767</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North Columbia</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3800146</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Onslow 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3102120</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Pinesburg</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1800021</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Pomona 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3100052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Raleigh Durham</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3101941</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Red Hill 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4400072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Reidsville 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3100068</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Rock Hill 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3800026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Rocky Point</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3101956</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Salem Stone</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Company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3102038</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Statesville 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3100055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Thomasville</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3101475</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Wilmington Sand</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3101308</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8"/>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0" w:name="page61"/>
    <w:bookmarkEnd w:id="60"/>
    <w:p>
      <w:pPr>
        <w:ind w:left="10500"/>
        <w:spacing w:after="0"/>
        <w:rPr>
          <w:sz w:val="20"/>
          <w:szCs w:val="20"/>
          <w:color w:val="auto"/>
        </w:rPr>
      </w:pPr>
      <w:r>
        <w:rPr>
          <w:rFonts w:ascii="Times New Roman" w:cs="Times New Roman" w:eastAsia="Times New Roman" w:hAnsi="Times New Roman"/>
          <w:sz w:val="20"/>
          <w:szCs w:val="20"/>
          <w:color w:val="auto"/>
        </w:rPr>
        <w:t>Appendix 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Woodleaf 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3100069</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20"/>
        </w:trPr>
        <w:tc>
          <w:tcPr>
            <w:tcW w:w="15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(45) North</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Indianapolis</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SURFACE</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1200002</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Apple Grove</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3301676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Belmont Sand</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1201911</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Burning Springs</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4608862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1</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Carmel SandG</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1202124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Cedarville</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3304072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Cloverdale</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1201744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734</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Cook Road</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3304534</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E-Town SandG</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3304279</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Fairfield</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3301396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Franklin Gravel</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3302940</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20"/>
        </w:trPr>
        <w:tc>
          <w:tcPr>
            <w:tcW w:w="156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Kentucky Ave</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Mine</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1201762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904</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1</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Kokomo Mine</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1202105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Kokomo Sand</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1202203</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Kokomo Stone</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1200142</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2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Noblesville SandG 1201994</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Noblesville Stone</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1202176</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580</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North Indianapolis</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1201993</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464</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Petersburg</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1516895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Phillippi 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4607788</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Phillipsburg</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3300006</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Shamrock SG</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3304011</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Troy Gravel</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3301678</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280</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Waverly Sand</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1202038</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Xenia</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3301393</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Appling 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901083</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Auburn, Al 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100006</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20"/>
        </w:trPr>
        <w:tc>
          <w:tcPr>
            <w:tcW w:w="156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Auburn, GA</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900436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20"/>
        </w:trPr>
        <w:tc>
          <w:tcPr>
            <w:tcW w:w="15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Augusta Quarry-</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GA</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900065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20"/>
        </w:trPr>
        <w:tc>
          <w:tcPr>
            <w:tcW w:w="156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Chattanooga</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4003159</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Forsyth 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901035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2"/>
                <w:szCs w:val="22"/>
                <w:color w:val="auto"/>
              </w:rPr>
            </w:pPr>
          </w:p>
        </w:tc>
      </w:tr>
      <w:tr>
        <w:trPr>
          <w:trHeight w:val="748"/>
        </w:trPr>
        <w:tc>
          <w:tcPr>
            <w:tcW w:w="1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7"/>
              </w:rPr>
              <w:t>Appendix 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Jefferson 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901106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Junction City</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901029</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Lithonia 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900023</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Maylene 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100634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rPr>
              <w:t>Morgan Co 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901126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Newton 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900899</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ONeal Quarry</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Co19</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103076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Paulding 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901107</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220</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Perry 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801083</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Red Oak 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900069</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Ruby 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900074</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Six Mile 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901144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Tyrone 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900306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Vance Quarry</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Co19</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103022</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Warrenton Quarry</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900580</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Alden Portable</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Sand</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1302037</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Alden Portable</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Plant 1</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1302031</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Alden Portable</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Plant 2</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1302033</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508</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Alden Portable</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Wash</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1302122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116</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Alden Quarry -</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Shop</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1300228</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Ames Mine</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1300014</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Cedar Rapids</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1300122</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Des Moines</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Portable</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1300150</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Dubois 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2501046</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Durham Mine</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1301225</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Earlham 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1302123</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4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Environmental</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Crew (Plant 854)</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1302126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Ferguson Quarry</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1300124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Fort Calhoun</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2500006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Fort Calhoun UG</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2501300</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Fort Dodge Mine</w:t>
            </w:r>
          </w:p>
        </w:tc>
        <w:tc>
          <w:tcPr>
            <w:tcW w:w="9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1300032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w w:val="97"/>
              </w:rPr>
              <w:t>1,052</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1</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Greenwood</w:t>
            </w:r>
          </w:p>
        </w:tc>
        <w:tc>
          <w:tcPr>
            <w:tcW w:w="9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2300141</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8"/>
        </w:trPr>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7"/>
              </w:rPr>
              <w:t>Appendix 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Iowa Grading</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1302316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Linn County Sand</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1302208</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Malcom Mine</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1300112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Marshalltown Sand 1300718</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Moore Quarry</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1302188</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New Harvey Sand</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1301778</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6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w w:val="97"/>
              </w:rPr>
              <w:t>Northwest Division</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OH</w:t>
            </w:r>
          </w:p>
        </w:tc>
        <w:tc>
          <w:tcPr>
            <w:tcW w:w="920" w:type="dxa"/>
            <w:vAlign w:val="bottom"/>
            <w:shd w:val="clear" w:color="auto" w:fill="CFF0FC"/>
          </w:tcPr>
          <w:p>
            <w:pPr>
              <w:jc w:val="right"/>
              <w:ind w:right="281"/>
              <w:spacing w:after="0"/>
              <w:rPr>
                <w:sz w:val="20"/>
                <w:szCs w:val="20"/>
                <w:color w:val="auto"/>
              </w:rPr>
            </w:pPr>
            <w:r>
              <w:rPr>
                <w:rFonts w:ascii="Times New Roman" w:cs="Times New Roman" w:eastAsia="Times New Roman" w:hAnsi="Times New Roman"/>
                <w:sz w:val="20"/>
                <w:szCs w:val="20"/>
                <w:color w:val="auto"/>
                <w:w w:val="95"/>
              </w:rPr>
              <w:t>A2354</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Ottawa Quarry</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1401590</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Pacific Quarry</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4500844</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Parkville Mine</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2301883</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7"/>
              </w:rPr>
              <w:t>1,740</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Pederson Quarry</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1302192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Raccoon River</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Sand</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1302315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6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Randolph Deep</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Mine</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2302308</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2</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Reasoner Sand</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1300814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Saylorville Sand</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1302290</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St Cloud Quarry</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2100081</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733</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Stamper Mine</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2302232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Sully Mine</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1300063</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Sunflower</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1401556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116</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Weeping Water</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Mine</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2500998</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7"/>
              </w:rPr>
              <w:t>1,117</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3</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6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Yellow Medicine</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2100033</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211 Quarry</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4103829</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6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Augusta Quarry-</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KS</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1400126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Beckman Quarry</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4101335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2</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Bedrock Plant</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4103283</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Bells Savoy SG</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TXI</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4104019</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98"/>
              </w:rPr>
              <w:t>Black Rock Quarry</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300011</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Black Spur Quarry 4104159</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Blake Quarry</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1401584</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Bridgeport Stone</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TXI</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4100007</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6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Broken Bow</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SandG</w:t>
            </w:r>
          </w:p>
        </w:tc>
        <w:tc>
          <w:tcPr>
            <w:tcW w:w="92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w w:val="99"/>
              </w:rPr>
              <w:t>3400460</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20"/>
                <w:szCs w:val="20"/>
                <w:color w:val="auto"/>
              </w:rPr>
              <w:t>Chico</w:t>
            </w: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4103360</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8"/>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7"/>
              </w:rPr>
              <w:t>Appendix 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Davis</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3401299</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Garfield SG TXI</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4103909</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Garwood</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4102886</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GMS - TXI</w:t>
            </w: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C335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Hatton 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301614</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Helotes</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4103137</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Hondo</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4104708</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Hondo-1</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4104090</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Hugo</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3400061</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Idabel</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3400507</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126</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Jena Aggregates</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TXI</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1601298</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Jones Mill 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301586</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Medina Rock and</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Rail</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4105170</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Mill Creek</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3401285</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Mill Creek TXI</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3401859</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Perryville</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Aggregates TXI</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1601417</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Poteet (Sand Plant) 4101342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464</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Rio Medina</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4103594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San Pedro Quarry</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4101337</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Sawyer</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3401634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289</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Snyder</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3401651</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2</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South Texas Port</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No.2</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4104204</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Tin Top SG TXI</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4102852</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Washita Quarry</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3402049</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Webberville TXI</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4104363</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1</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348</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Woodworth</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Aggregates TXI</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1601070</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Cottonwood Sand</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and Gravel</w:t>
            </w:r>
          </w:p>
        </w:tc>
        <w:tc>
          <w:tcPr>
            <w:tcW w:w="9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20"/>
                <w:szCs w:val="20"/>
                <w:color w:val="auto"/>
              </w:rPr>
              <w:t>504418</w:t>
            </w:r>
          </w:p>
        </w:tc>
        <w:tc>
          <w:tcPr>
            <w:tcW w:w="70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w w:val="99"/>
              </w:rPr>
              <w:t>Fountain Sand and</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Gravel</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503821</w:t>
            </w: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0</w:t>
            </w: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0</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7"/>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5"/>
              </w:rPr>
              <w:t>Appendix 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15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Granite Canyon</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4800018</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Greeley 35th</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Ready Mix</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503215</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w w:val="99"/>
              </w:rPr>
              <w:t>Greeley 35th Sand</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and Gravel</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504613</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Guernsey</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4800004</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1,226</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Milford</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4202177</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Northern Portable</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Plant #1</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504359</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Northern Portable</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Plant #4</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4801565</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Northern Portable</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Plant #19</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504382</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Parkdale Quarry</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504635</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148</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Penrose SG</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504509</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Portable Crushing</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503984</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Portable Recycle</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21</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504520</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Red Canyon</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Quarry</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504136</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Riverbend Sand</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Gravel</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504841</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116</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Spanish Springs</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 2</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2600803</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Spec Agg Sand</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Gravel</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500860</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Taft Sand and</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Gravel</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504526</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Taft Shop</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504735</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Three Bells</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Ditullio Sand and</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Gravel</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504361</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Hunter Cement</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TXI</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4102820</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500" w:type="dxa"/>
            <w:vAlign w:val="bottom"/>
            <w:shd w:val="clear" w:color="auto" w:fill="CFF0FC"/>
          </w:tcPr>
          <w:p>
            <w:pPr>
              <w:spacing w:after="0" w:line="220" w:lineRule="exact"/>
              <w:rPr>
                <w:sz w:val="20"/>
                <w:szCs w:val="20"/>
                <w:color w:val="auto"/>
              </w:rPr>
            </w:pPr>
            <w:r>
              <w:rPr>
                <w:rFonts w:ascii="Times New Roman" w:cs="Times New Roman" w:eastAsia="Times New Roman" w:hAnsi="Times New Roman"/>
                <w:sz w:val="20"/>
                <w:szCs w:val="20"/>
                <w:color w:val="auto"/>
              </w:rPr>
              <w:t>Midlothian</w:t>
            </w:r>
          </w:p>
        </w:tc>
        <w:tc>
          <w:tcPr>
            <w:tcW w:w="9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Cement TXI</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4100071</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Salisbury Shop</w:t>
            </w:r>
          </w:p>
        </w:tc>
        <w:tc>
          <w:tcPr>
            <w:tcW w:w="9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3101235</w:t>
            </w:r>
          </w:p>
        </w:tc>
        <w:tc>
          <w:tcPr>
            <w:tcW w:w="76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0</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98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Woodville</w:t>
            </w:r>
          </w:p>
        </w:tc>
        <w:tc>
          <w:tcPr>
            <w:tcW w:w="9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3300156</w:t>
            </w:r>
          </w:p>
        </w:tc>
        <w:tc>
          <w:tcPr>
            <w:tcW w:w="760" w:type="dxa"/>
            <w:vAlign w:val="bottom"/>
            <w:shd w:val="clear" w:color="auto" w:fill="CFF0FC"/>
          </w:tcPr>
          <w:p>
            <w:pPr>
              <w:jc w:val="center"/>
              <w:ind w:right="121"/>
              <w:spacing w:after="0"/>
              <w:rPr>
                <w:sz w:val="20"/>
                <w:szCs w:val="20"/>
                <w:color w:val="auto"/>
              </w:rPr>
            </w:pPr>
            <w:r>
              <w:rPr>
                <w:rFonts w:ascii="Times New Roman" w:cs="Times New Roman" w:eastAsia="Times New Roman" w:hAnsi="Times New Roman"/>
                <w:sz w:val="20"/>
                <w:szCs w:val="20"/>
                <w:color w:val="auto"/>
                <w:w w:val="99"/>
              </w:rPr>
              <w:t>5</w:t>
            </w:r>
          </w:p>
        </w:tc>
        <w:tc>
          <w:tcPr>
            <w:tcW w:w="8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20"/>
                <w:szCs w:val="20"/>
                <w:color w:val="auto"/>
              </w:rPr>
              <w:t>0</w:t>
            </w:r>
          </w:p>
        </w:tc>
        <w:tc>
          <w:tcPr>
            <w:tcW w:w="7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20"/>
                <w:szCs w:val="20"/>
                <w:color w:val="auto"/>
              </w:rPr>
              <w:t>0</w:t>
            </w:r>
          </w:p>
        </w:tc>
        <w:tc>
          <w:tcPr>
            <w:tcW w:w="72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rPr>
              <w:t>1,217</w:t>
            </w:r>
          </w:p>
        </w:tc>
        <w:tc>
          <w:tcPr>
            <w:tcW w:w="5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20"/>
                <w:szCs w:val="20"/>
                <w:color w:val="auto"/>
              </w:rPr>
              <w:t>0</w:t>
            </w:r>
          </w:p>
        </w:tc>
        <w:tc>
          <w:tcPr>
            <w:tcW w:w="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20"/>
                <w:szCs w:val="20"/>
                <w:color w:val="auto"/>
              </w:rPr>
              <w:t>no</w:t>
            </w:r>
          </w:p>
        </w:tc>
        <w:tc>
          <w:tcPr>
            <w:tcW w:w="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no</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980" w:type="dxa"/>
            <w:vAlign w:val="bottom"/>
            <w:shd w:val="clear" w:color="auto" w:fill="CFF0FC"/>
          </w:tcPr>
          <w:p>
            <w:pPr>
              <w:jc w:val="center"/>
              <w:ind w:left="181"/>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TOTALS</w:t>
            </w:r>
          </w:p>
        </w:tc>
        <w:tc>
          <w:tcPr>
            <w:tcW w:w="920" w:type="dxa"/>
            <w:vAlign w:val="bottom"/>
          </w:tcPr>
          <w:p>
            <w:pPr>
              <w:spacing w:after="0"/>
              <w:rPr>
                <w:sz w:val="22"/>
                <w:szCs w:val="22"/>
                <w:color w:val="auto"/>
              </w:rPr>
            </w:pPr>
          </w:p>
        </w:tc>
        <w:tc>
          <w:tcPr>
            <w:tcW w:w="76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9"/>
              </w:rPr>
              <w:t>24</w:t>
            </w: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1</w:t>
            </w: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98"/>
              </w:rPr>
              <w:t>13,994</w:t>
            </w: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0</w:t>
            </w: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25</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w:t>
            </w:r>
          </w:p>
        </w:tc>
        <w:tc>
          <w:tcPr>
            <w:tcW w:w="980" w:type="dxa"/>
            <w:vAlign w:val="bottom"/>
          </w:tcPr>
          <w:p>
            <w:pPr>
              <w:jc w:val="center"/>
              <w:ind w:left="161"/>
              <w:spacing w:after="0"/>
              <w:rPr>
                <w:sz w:val="20"/>
                <w:szCs w:val="20"/>
                <w:color w:val="auto"/>
              </w:rPr>
            </w:pPr>
            <w:r>
              <w:rPr>
                <w:rFonts w:ascii="Times New Roman" w:cs="Times New Roman" w:eastAsia="Times New Roman" w:hAnsi="Times New Roman"/>
                <w:sz w:val="20"/>
                <w:szCs w:val="20"/>
                <w:b w:val="1"/>
                <w:bCs w:val="1"/>
                <w:color w:val="auto"/>
                <w:w w:val="99"/>
              </w:rPr>
              <w:t>23</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*Of the 25 legal actions pending on September 30, 2017, 15 were contests of citations or orders referenced in Subpart B of CFR Part 2700, which includes contests of citations and orders issued under Section 104 of the Mine Act and contests of imminent danger orders under Section 107 of the Mine Act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color w:val="auto"/>
        </w:rPr>
        <w:t>Appendix 1</w:t>
      </w:r>
    </w:p>
    <w:p>
      <w:pPr>
        <w:spacing w:after="0" w:line="200" w:lineRule="exact"/>
        <w:rPr>
          <w:sz w:val="20"/>
          <w:szCs w:val="20"/>
          <w:color w:val="auto"/>
        </w:rPr>
      </w:pPr>
    </w:p>
    <w:p>
      <w:pPr>
        <w:spacing w:after="0" w:line="2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4"/>
    </w:lvl>
  </w:abstractNum>
  <w:abstractNum w:abstractNumId="12">
    <w:nsid w:val="8EDBDAB"/>
    <w:multiLevelType w:val="hybridMultilevel"/>
    <w:lvl w:ilvl="0">
      <w:lvlJc w:val="left"/>
      <w:lvlText w:val="%1."/>
      <w:numFmt w:val="decimal"/>
      <w:start w:val="4"/>
    </w:lvl>
  </w:abstractNum>
  <w:abstractNum w:abstractNumId="13">
    <w:nsid w:val="79838CB2"/>
    <w:multiLevelType w:val="hybridMultilevel"/>
    <w:lvl w:ilvl="0">
      <w:lvlJc w:val="left"/>
      <w:lvlText w:val="%1."/>
      <w:numFmt w:val="decimal"/>
      <w:start w:val="5"/>
    </w:lvl>
  </w:abstractNum>
  <w:abstractNum w:abstractNumId="14">
    <w:nsid w:val="4353D0CD"/>
    <w:multiLevelType w:val="hybridMultilevel"/>
    <w:lvl w:ilvl="0">
      <w:lvlJc w:val="left"/>
      <w:lvlText w:val="%1."/>
      <w:numFmt w:val="decimal"/>
      <w:start w:val="7"/>
    </w:lvl>
  </w:abstractNum>
  <w:abstractNum w:abstractNumId="15">
    <w:nsid w:val="B03E0C6"/>
    <w:multiLevelType w:val="hybridMultilevel"/>
    <w:lvl w:ilvl="0">
      <w:lvlJc w:val="left"/>
      <w:lvlText w:val="%1."/>
      <w:numFmt w:val="decimal"/>
      <w:start w:val="8"/>
    </w:lvl>
  </w:abstractNum>
  <w:abstractNum w:abstractNumId="16">
    <w:nsid w:val="189A769B"/>
    <w:multiLevelType w:val="hybridMultilevel"/>
    <w:lvl w:ilvl="0">
      <w:lvlJc w:val="left"/>
      <w:lvlText w:val="%1."/>
      <w:numFmt w:val="decimal"/>
      <w:start w:val="9"/>
    </w:lvl>
  </w:abstractNum>
  <w:abstractNum w:abstractNumId="17">
    <w:nsid w:val="54E49EB4"/>
    <w:multiLevelType w:val="hybridMultilevel"/>
    <w:lvl w:ilvl="0">
      <w:lvlJc w:val="left"/>
      <w:lvlText w:val="%1."/>
      <w:numFmt w:val="decimal"/>
      <w:start w:val="9"/>
    </w:lvl>
  </w:abstractNum>
  <w:abstractNum w:abstractNumId="18">
    <w:nsid w:val="71F32454"/>
    <w:multiLevelType w:val="hybridMultilevel"/>
    <w:lvl w:ilvl="0">
      <w:lvlJc w:val="left"/>
      <w:lvlText w:val="%1."/>
      <w:numFmt w:val="decimal"/>
      <w:start w:val="10"/>
    </w:lvl>
  </w:abstractNum>
  <w:abstractNum w:abstractNumId="19">
    <w:nsid w:val="2CA88611"/>
    <w:multiLevelType w:val="hybridMultilevel"/>
    <w:lvl w:ilvl="0">
      <w:lvlJc w:val="left"/>
      <w:lvlText w:val="%1."/>
      <w:numFmt w:val="decimal"/>
      <w:start w:val="11"/>
    </w:lvl>
  </w:abstractNum>
  <w:abstractNum w:abstractNumId="20">
    <w:nsid w:val="836C40E"/>
    <w:multiLevelType w:val="hybridMultilevel"/>
    <w:lvl w:ilvl="0">
      <w:lvlJc w:val="left"/>
      <w:lvlText w:val="%1."/>
      <w:numFmt w:val="decimal"/>
      <w:start w:val="11"/>
    </w:lvl>
  </w:abstractNum>
  <w:abstractNum w:abstractNumId="21">
    <w:nsid w:val="2901D82"/>
    <w:multiLevelType w:val="hybridMultilevel"/>
    <w:lvl w:ilvl="0">
      <w:lvlJc w:val="left"/>
      <w:lvlText w:val="%1."/>
      <w:numFmt w:val="decimal"/>
      <w:start w:val="12"/>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lvl w:ilvl="1">
      <w:lvlJc w:val="left"/>
      <w:lvlText w:val="•"/>
      <w:numFmt w:val="bullet"/>
      <w:start w:val="1"/>
    </w:lvl>
  </w:abstractNum>
  <w:abstractNum w:abstractNumId="27">
    <w:nsid w:val="6CEAF087"/>
    <w:multiLevelType w:val="hybridMultilevel"/>
    <w:lvl w:ilvl="0">
      <w:lvlJc w:val="left"/>
      <w:lvlText w:val="%1"/>
      <w:numFmt w:val="decimal"/>
      <w:start w:val="95"/>
    </w:lvl>
  </w:abstractNum>
  <w:abstractNum w:abstractNumId="28">
    <w:nsid w:val="22221A70"/>
    <w:multiLevelType w:val="hybridMultilevel"/>
    <w:lvl w:ilvl="0">
      <w:lvlJc w:val="left"/>
      <w:lvlText w:val="%1."/>
      <w:numFmt w:val="decimal"/>
      <w:start w:val="1"/>
    </w:lvl>
    <w:lvl w:ilvl="1">
      <w:lvlJc w:val="left"/>
      <w:lvlText w:val="%2."/>
      <w:numFmt w:val="lowerLetter"/>
      <w:start w:val="1"/>
    </w:lvl>
  </w:abstractNum>
  <w:abstractNum w:abstractNumId="29">
    <w:nsid w:val="4516DDE9"/>
    <w:multiLevelType w:val="hybridMultilevel"/>
    <w:lvl w:ilvl="0">
      <w:lvlJc w:val="left"/>
      <w:lvlText w:val="%1."/>
      <w:numFmt w:val="decimal"/>
      <w:start w:val="5"/>
    </w:lvl>
    <w:lvl w:ilvl="1">
      <w:lvlJc w:val="left"/>
      <w:lvlText w:val="%2."/>
      <w:numFmt w:val="lowerLetter"/>
      <w:start w:val="1"/>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decimal"/>
      <w:start w:val="5"/>
    </w:lvl>
    <w:lvl w:ilvl="1">
      <w:lvlJc w:val="left"/>
      <w:lvlText w:val="%2."/>
      <w:numFmt w:val="lowerLetter"/>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2019-12-29T03:48:40Z</dcterms:created>
  <dcterms:modified xsi:type="dcterms:W3CDTF">2019-12-29T03:48:40Z</dcterms:modified>
</cp:coreProperties>
</file>